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1393.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תקצוב ארגוני המתנדבים בחקלאות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מיכאל מרדכי ביטון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בצלאל סמוטריץ' - שר האוצר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באדר ב' התשפ"ד (19 במרץ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ארגוני המתנדבים בחקלאות מבצעים עבודת קודש ונותנים מענה לחקלאים, שנפגעו רבות גם בתקופת המלחמה.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תקציב ארגוני המתנדבים בחקלאות ירד מ70 מיליון ₪ בשנת 2023 ל20 מיליון ₪  ב2024.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הצטמצם התקציב?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ניתן להעתיק את היתרות על סך 20 מיליון ₪ לתקציב 2024?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22/05/2024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7CE6EDEC-BEE0-46E3-BB9C-EB02DE3CDF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2216340</vt:r8>
  </property>
</Properties>
</file>