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410.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גיוס עו"סים לטיפול בלהט"בים ערבים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נעמה לזימי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במשרד הרווחה והביטחון החברתי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כ"ה באייר התשפ"ג (16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בדיון בוועדת הצעירים בכנסת בנושא מענים ללהט"בים בחברה הערבית, נציג משרד הרווחה ציין שהמשרד מתכוון לגייס עו"סים נוספים להרחבת המענה ללהט"בים רבים.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עו"סים מתכוון המשרד לגייס עד שנת 2024?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תהיה הפריסה הארצית של העו"סים בחברה הערבית המספקים מענה ללהט"בים עד שנת 2024?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18/10/2023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125EE1A-9189-4A56-8D5B-4CC08CD1A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2208760</vt:r8>
  </property>
</Properties>
</file>