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282.</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מניעת מעבר לתושבי ב"ב בעת שמפגינים "צרו" על העיר</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יצחק פינדרוס</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השר לביטחון לאומי</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ח' בסיוון התשפ"ג (28 במאי 2023):</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ביום רביעי ה-17 במאי התקיימה צעדת הסתה  "מצור על בני ברק". במהלך ההפגנה, תושבים חרדים שרצו לעבור לביתם בסמוך למסלול המצעד, נבלמו על ידי שוטרי מג"ב. בעוד תנועת עוברי אורח שאינם חרדים אופשרה. הדבר תועד ואף פורסם ברשת הטוויטר. </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מי נתן את ההוראה ועל סמך איזו מדיניות היא ניתנה?</w:t>
      </w:r>
      <w:bookmarkEnd w:id="15"/>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18/06/2023</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21b4e32bcb8511948dcc17ecbb42540c">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9F82A24E-B1F1-4F8F-943B-3806C0F43D66}"/>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2205692</vt:r8>
  </property>
</Properties>
</file>