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100.</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דרישת הצגת הכנסת הורים כקריטריון בהענקת מילגה לסטודנט</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אליהו ברוכי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שר החינוך</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כ"ח בשבט התשפ"ג (19 בפברואר 2023):</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משה"ח ביצע השנה שינוי בקריטריונים לזכאות לקבלת מילגה לסטודנטים, כשהם נדרשים להציג תלושי שכר או הכנסות של ההורים כתנאי חובה להגשת הבקשה. מצב זה יוצר הפלייה וסינון מקדים מסטודנטים שלא יכולים להציג נתונים אלו מסיבות שונות, ומונע מסטודנטים נשואים שאינם תלויים בהוריהם להתפתח אקדמאית</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מדוע זה נדרש? וכיצד ניתן לבטלו?</w:t>
      </w:r>
      <w:bookmarkEnd w:id="15"/>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12/03/2023</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21b4e32bcb8511948dcc17ecbb42540c">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A58339F0-46AA-4C1F-AEEB-5B1653F08A4D}"/>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2201298</vt:r8>
  </property>
</Properties>
</file>