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4358.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התקפות מתנחלים באמצעות גז פלפל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עופר כסיף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ישראל כץ - שר הביטחון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ה' באדר התשפ"ו (22 בפברואר 2026):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לאחרונה התרחבו מקרי תקיפה מצד כנופיות מתנחלים כנגד פלסטינים ופעילי שלום ישראלים וזרים באמצעות שימוש בגז פלפל, לאחר שאנשי ימין קיצוני החלו בחלוקה סיטונאית של גז פלפל במאחזים בלתי חוקיים.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התופעה מוכרת וכיצד נערך הצבא להתמודדות עמה?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תורה לצבא למנוע חלוקת גז פלפל למטרות תקיפה במאחזים?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15/03/2026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46105145-E792-40F2-82C4-CD7E339F6A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2241044</vt:r8>
  </property>
</Properties>
</file>