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DFB67" w14:textId="77777777" w:rsidR="00C328BE" w:rsidRPr="00E635A2" w:rsidRDefault="00C328BE" w:rsidP="00C328BE">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2236458</w:t>
      </w:r>
      <w:bookmarkEnd w:id="0"/>
    </w:p>
    <w:p w14:paraId="00824563" w14:textId="77777777" w:rsidR="00C328BE" w:rsidRPr="00DB7060" w:rsidRDefault="00C328BE" w:rsidP="00C328BE">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20AC8577" w14:textId="77777777" w:rsidR="00C328BE" w:rsidRPr="00F67051" w:rsidRDefault="00C328BE" w:rsidP="00C328BE">
      <w:pPr>
        <w:rPr>
          <w:b/>
          <w:bCs/>
          <w:sz w:val="26"/>
          <w:szCs w:val="26"/>
          <w:rtl/>
        </w:rPr>
      </w:pPr>
    </w:p>
    <w:p w14:paraId="4F990B2E" w14:textId="34549D38" w:rsidR="00C328BE" w:rsidRPr="00904591" w:rsidRDefault="00C328BE" w:rsidP="00A35036">
      <w:pPr>
        <w:pStyle w:val="David"/>
        <w:ind w:left="1440" w:firstLine="720"/>
        <w:rPr>
          <w:sz w:val="4"/>
          <w:szCs w:val="4"/>
          <w:rtl/>
        </w:rPr>
      </w:pPr>
      <w:bookmarkStart w:id="2" w:name="LGS_Initiators_List"/>
      <w:r>
        <w:rPr>
          <w:b/>
          <w:bCs/>
          <w:rtl/>
        </w:rPr>
        <w:t>יוזמים:      חברי הכנסת</w:t>
      </w:r>
      <w:bookmarkEnd w:id="2"/>
      <w:r w:rsidRPr="00F67051">
        <w:rPr>
          <w:b/>
          <w:bCs/>
        </w:rPr>
        <w:tab/>
      </w:r>
      <w:bookmarkStart w:id="3" w:name="LGS_PM_Names"/>
      <w:r>
        <w:rPr>
          <w:rFonts w:hint="cs"/>
          <w:b/>
          <w:bCs/>
          <w:rtl/>
        </w:rPr>
        <w:t>יאיר לפיד</w:t>
      </w:r>
      <w:r w:rsidR="00A35036">
        <w:rPr>
          <w:rtl/>
        </w:rPr>
        <w:tab/>
      </w:r>
      <w:r w:rsidR="00A35036">
        <w:rPr>
          <w:rtl/>
        </w:rPr>
        <w:tab/>
      </w:r>
      <w:r w:rsidR="00A35036">
        <w:rPr>
          <w:rFonts w:hint="cs"/>
          <w:b/>
          <w:bCs/>
          <w:rtl/>
        </w:rPr>
        <w:t>ולדימיר בליאק</w:t>
      </w:r>
      <w:r>
        <w:br/>
      </w:r>
      <w:r>
        <w:rPr>
          <w:rFonts w:hint="cs"/>
          <w:b/>
          <w:bCs/>
          <w:rtl/>
        </w:rPr>
        <w:t xml:space="preserve"> </w:t>
      </w:r>
      <w:r>
        <w:tab/>
      </w:r>
      <w:r>
        <w:tab/>
      </w:r>
      <w:r>
        <w:tab/>
      </w:r>
      <w:r>
        <w:tab/>
      </w:r>
      <w:r w:rsidR="00A35036">
        <w:tab/>
      </w:r>
      <w:r>
        <w:rPr>
          <w:rFonts w:hint="cs"/>
          <w:b/>
          <w:bCs/>
          <w:rtl/>
        </w:rPr>
        <w:t>מאיר כהן</w:t>
      </w:r>
      <w:r w:rsidR="00A35036">
        <w:rPr>
          <w:rtl/>
        </w:rPr>
        <w:tab/>
      </w:r>
      <w:r w:rsidR="00A35036">
        <w:rPr>
          <w:rtl/>
        </w:rPr>
        <w:tab/>
      </w:r>
      <w:r w:rsidR="00A35036">
        <w:rPr>
          <w:rFonts w:hint="cs"/>
          <w:b/>
          <w:bCs/>
          <w:rtl/>
        </w:rPr>
        <w:t>רון כץ</w:t>
      </w:r>
      <w:r>
        <w:br/>
      </w:r>
      <w:r>
        <w:rPr>
          <w:rFonts w:hint="cs"/>
          <w:b/>
          <w:bCs/>
          <w:rtl/>
        </w:rPr>
        <w:t xml:space="preserve"> </w:t>
      </w:r>
      <w:r>
        <w:tab/>
      </w:r>
      <w:r>
        <w:tab/>
      </w:r>
      <w:r>
        <w:tab/>
      </w:r>
      <w:r>
        <w:tab/>
      </w:r>
      <w:r w:rsidR="00A35036">
        <w:tab/>
      </w:r>
      <w:r>
        <w:rPr>
          <w:rFonts w:hint="cs"/>
          <w:b/>
          <w:bCs/>
          <w:rtl/>
        </w:rPr>
        <w:t>קארין אלהרר</w:t>
      </w:r>
      <w:r w:rsidR="00A35036">
        <w:rPr>
          <w:rtl/>
        </w:rPr>
        <w:tab/>
      </w:r>
      <w:r w:rsidR="00A35036">
        <w:rPr>
          <w:rtl/>
        </w:rPr>
        <w:tab/>
      </w:r>
      <w:r w:rsidR="00A35036">
        <w:rPr>
          <w:rFonts w:hint="cs"/>
          <w:b/>
          <w:bCs/>
          <w:rtl/>
        </w:rPr>
        <w:t>טטיאנה מזרסקי</w:t>
      </w:r>
      <w:r>
        <w:br/>
      </w:r>
      <w:r>
        <w:rPr>
          <w:rFonts w:hint="cs"/>
          <w:b/>
          <w:bCs/>
          <w:rtl/>
        </w:rPr>
        <w:t xml:space="preserve"> </w:t>
      </w:r>
      <w:r>
        <w:tab/>
      </w:r>
      <w:r>
        <w:tab/>
      </w:r>
      <w:r>
        <w:tab/>
      </w:r>
      <w:r>
        <w:tab/>
      </w:r>
      <w:r w:rsidR="00A35036">
        <w:tab/>
      </w:r>
      <w:r>
        <w:rPr>
          <w:rFonts w:hint="cs"/>
          <w:b/>
          <w:bCs/>
          <w:rtl/>
        </w:rPr>
        <w:t>מירב כהן</w:t>
      </w:r>
      <w:r w:rsidR="00A35036">
        <w:rPr>
          <w:rtl/>
        </w:rPr>
        <w:tab/>
      </w:r>
      <w:r w:rsidR="00A35036">
        <w:rPr>
          <w:rtl/>
        </w:rPr>
        <w:tab/>
      </w:r>
      <w:r w:rsidR="00A35036">
        <w:rPr>
          <w:rFonts w:hint="cs"/>
          <w:b/>
          <w:bCs/>
          <w:rtl/>
        </w:rPr>
        <w:t>דבי ביטון</w:t>
      </w:r>
      <w:r>
        <w:br/>
      </w:r>
      <w:r>
        <w:rPr>
          <w:rFonts w:hint="cs"/>
          <w:b/>
          <w:bCs/>
          <w:rtl/>
        </w:rPr>
        <w:t xml:space="preserve"> </w:t>
      </w:r>
      <w:r>
        <w:tab/>
      </w:r>
      <w:r>
        <w:tab/>
      </w:r>
      <w:r>
        <w:tab/>
      </w:r>
      <w:r>
        <w:tab/>
      </w:r>
      <w:r w:rsidR="00A35036">
        <w:tab/>
      </w:r>
      <w:r>
        <w:rPr>
          <w:rFonts w:hint="cs"/>
          <w:b/>
          <w:bCs/>
          <w:rtl/>
        </w:rPr>
        <w:t>אלעזר שטרן</w:t>
      </w:r>
      <w:r w:rsidR="00A35036">
        <w:rPr>
          <w:rtl/>
        </w:rPr>
        <w:tab/>
      </w:r>
      <w:r w:rsidR="00A35036">
        <w:rPr>
          <w:rtl/>
        </w:rPr>
        <w:tab/>
      </w:r>
      <w:r w:rsidR="00A35036">
        <w:rPr>
          <w:rFonts w:hint="cs"/>
          <w:b/>
          <w:bCs/>
          <w:rtl/>
        </w:rPr>
        <w:t>סימון דוידסון</w:t>
      </w:r>
      <w:r>
        <w:br/>
      </w:r>
      <w:r>
        <w:rPr>
          <w:rFonts w:hint="cs"/>
          <w:b/>
          <w:bCs/>
          <w:rtl/>
        </w:rPr>
        <w:t xml:space="preserve"> </w:t>
      </w:r>
      <w:r>
        <w:tab/>
      </w:r>
      <w:r>
        <w:tab/>
      </w:r>
      <w:r>
        <w:tab/>
      </w:r>
      <w:r>
        <w:tab/>
      </w:r>
      <w:r w:rsidR="00A35036">
        <w:tab/>
      </w:r>
      <w:r>
        <w:rPr>
          <w:rFonts w:hint="cs"/>
          <w:b/>
          <w:bCs/>
          <w:rtl/>
        </w:rPr>
        <w:t>מיקי לוי</w:t>
      </w:r>
      <w:r w:rsidR="00A35036">
        <w:rPr>
          <w:rtl/>
        </w:rPr>
        <w:tab/>
      </w:r>
      <w:r w:rsidR="00A35036">
        <w:rPr>
          <w:rtl/>
        </w:rPr>
        <w:tab/>
      </w:r>
      <w:r w:rsidR="00A35036">
        <w:rPr>
          <w:rFonts w:hint="cs"/>
          <w:b/>
          <w:bCs/>
          <w:rtl/>
        </w:rPr>
        <w:t>ירון לוי</w:t>
      </w:r>
      <w:r w:rsidR="00A35036">
        <w:br/>
      </w:r>
      <w:r>
        <w:rPr>
          <w:rFonts w:hint="cs"/>
          <w:b/>
          <w:bCs/>
          <w:rtl/>
        </w:rPr>
        <w:t xml:space="preserve"> </w:t>
      </w:r>
      <w:r>
        <w:tab/>
      </w:r>
      <w:r>
        <w:tab/>
      </w:r>
      <w:r>
        <w:tab/>
      </w:r>
      <w:r>
        <w:tab/>
      </w:r>
      <w:r w:rsidR="00A35036">
        <w:tab/>
      </w:r>
      <w:r>
        <w:rPr>
          <w:rFonts w:hint="cs"/>
          <w:b/>
          <w:bCs/>
          <w:rtl/>
        </w:rPr>
        <w:t>מירב בן ארי</w:t>
      </w:r>
      <w:r w:rsidR="00A35036">
        <w:rPr>
          <w:rtl/>
        </w:rPr>
        <w:tab/>
      </w:r>
      <w:r w:rsidR="00A35036">
        <w:rPr>
          <w:rtl/>
        </w:rPr>
        <w:tab/>
      </w:r>
      <w:r w:rsidR="00A35036">
        <w:rPr>
          <w:rFonts w:hint="cs"/>
          <w:b/>
          <w:bCs/>
          <w:rtl/>
        </w:rPr>
        <w:t>עדי עזוז</w:t>
      </w:r>
      <w:r>
        <w:br/>
      </w:r>
      <w:r>
        <w:rPr>
          <w:rFonts w:hint="cs"/>
          <w:b/>
          <w:bCs/>
          <w:rtl/>
        </w:rPr>
        <w:t xml:space="preserve"> </w:t>
      </w:r>
      <w:r>
        <w:tab/>
      </w:r>
      <w:r>
        <w:tab/>
      </w:r>
      <w:r>
        <w:tab/>
      </w:r>
      <w:r>
        <w:tab/>
      </w:r>
      <w:r w:rsidR="00A35036">
        <w:tab/>
      </w:r>
      <w:r>
        <w:rPr>
          <w:rFonts w:hint="cs"/>
          <w:b/>
          <w:bCs/>
          <w:rtl/>
        </w:rPr>
        <w:t>רם בן ברק</w:t>
      </w:r>
      <w:r w:rsidR="00A35036">
        <w:rPr>
          <w:rtl/>
        </w:rPr>
        <w:tab/>
      </w:r>
      <w:r w:rsidR="00A35036">
        <w:rPr>
          <w:rtl/>
        </w:rPr>
        <w:tab/>
      </w:r>
      <w:r w:rsidR="00A35036">
        <w:rPr>
          <w:rFonts w:hint="cs"/>
          <w:b/>
          <w:bCs/>
          <w:rtl/>
        </w:rPr>
        <w:t>יסמין פרידמן</w:t>
      </w:r>
      <w:r>
        <w:br/>
      </w:r>
      <w:r>
        <w:rPr>
          <w:rFonts w:hint="cs"/>
          <w:b/>
          <w:bCs/>
          <w:rtl/>
        </w:rPr>
        <w:t xml:space="preserve"> </w:t>
      </w:r>
      <w:r>
        <w:tab/>
      </w:r>
      <w:r>
        <w:tab/>
      </w:r>
      <w:r>
        <w:tab/>
      </w:r>
      <w:r>
        <w:tab/>
      </w:r>
      <w:r w:rsidR="00A35036">
        <w:tab/>
      </w:r>
      <w:r>
        <w:rPr>
          <w:rFonts w:hint="cs"/>
          <w:b/>
          <w:bCs/>
          <w:rtl/>
        </w:rPr>
        <w:t>יואב סגלוביץ'</w:t>
      </w:r>
      <w:r w:rsidR="00A35036">
        <w:rPr>
          <w:rtl/>
        </w:rPr>
        <w:tab/>
      </w:r>
      <w:r w:rsidR="00A35036">
        <w:rPr>
          <w:rtl/>
        </w:rPr>
        <w:tab/>
      </w:r>
      <w:r w:rsidR="00A35036">
        <w:rPr>
          <w:rFonts w:hint="cs"/>
          <w:b/>
          <w:bCs/>
          <w:rtl/>
        </w:rPr>
        <w:t>משה טור פז</w:t>
      </w:r>
      <w:r>
        <w:br/>
      </w:r>
      <w:r>
        <w:rPr>
          <w:rFonts w:hint="cs"/>
          <w:b/>
          <w:bCs/>
          <w:rtl/>
        </w:rPr>
        <w:t xml:space="preserve"> </w:t>
      </w:r>
      <w:r>
        <w:tab/>
      </w:r>
      <w:r>
        <w:tab/>
      </w:r>
      <w:r>
        <w:tab/>
      </w:r>
      <w:r>
        <w:tab/>
      </w:r>
      <w:r w:rsidR="00A35036">
        <w:tab/>
      </w:r>
      <w:r>
        <w:rPr>
          <w:rFonts w:hint="cs"/>
          <w:b/>
          <w:bCs/>
          <w:rtl/>
        </w:rPr>
        <w:t>בועז טופורובסקי</w:t>
      </w:r>
      <w:r w:rsidR="00A35036">
        <w:rPr>
          <w:rtl/>
        </w:rPr>
        <w:tab/>
      </w:r>
      <w:r w:rsidR="00A35036">
        <w:rPr>
          <w:rFonts w:hint="cs"/>
          <w:b/>
          <w:bCs/>
          <w:rtl/>
        </w:rPr>
        <w:t>נאור שירי</w:t>
      </w:r>
      <w:r>
        <w:br/>
      </w:r>
      <w:r>
        <w:rPr>
          <w:rFonts w:hint="cs"/>
          <w:b/>
          <w:bCs/>
          <w:rtl/>
        </w:rPr>
        <w:t xml:space="preserve"> </w:t>
      </w:r>
      <w:r>
        <w:tab/>
      </w:r>
      <w:r>
        <w:tab/>
      </w:r>
      <w:r>
        <w:tab/>
      </w:r>
      <w:r>
        <w:tab/>
      </w:r>
      <w:r w:rsidR="00A35036">
        <w:tab/>
      </w:r>
      <w:r>
        <w:rPr>
          <w:rFonts w:hint="cs"/>
          <w:b/>
          <w:bCs/>
          <w:rtl/>
        </w:rPr>
        <w:t>מיכל שיר סגמן</w:t>
      </w:r>
      <w:r w:rsidR="00A35036">
        <w:rPr>
          <w:rtl/>
        </w:rPr>
        <w:tab/>
      </w:r>
      <w:r w:rsidR="00A35036">
        <w:rPr>
          <w:rFonts w:hint="cs"/>
          <w:b/>
          <w:bCs/>
          <w:rtl/>
        </w:rPr>
        <w:t>שלי טל מירון</w:t>
      </w:r>
      <w:r>
        <w:br/>
      </w:r>
      <w:r>
        <w:rPr>
          <w:rFonts w:hint="cs"/>
          <w:b/>
          <w:bCs/>
          <w:rtl/>
        </w:rPr>
        <w:t xml:space="preserve"> </w:t>
      </w:r>
      <w:r>
        <w:tab/>
      </w:r>
      <w:r>
        <w:tab/>
      </w:r>
      <w:r>
        <w:tab/>
      </w:r>
      <w:r>
        <w:tab/>
      </w:r>
      <w:r w:rsidR="00A35036">
        <w:tab/>
      </w:r>
      <w:r>
        <w:rPr>
          <w:rFonts w:hint="cs"/>
          <w:b/>
          <w:bCs/>
          <w:rtl/>
        </w:rPr>
        <w:t>יוראי להב הרצנו</w:t>
      </w:r>
      <w:r w:rsidR="00A35036">
        <w:rPr>
          <w:rtl/>
        </w:rPr>
        <w:tab/>
      </w:r>
      <w:r w:rsidR="00A35036">
        <w:rPr>
          <w:rFonts w:hint="cs"/>
          <w:b/>
          <w:bCs/>
          <w:rtl/>
        </w:rPr>
        <w:t>מטי צרפתי הרכבי</w:t>
      </w:r>
      <w:r>
        <w:rPr>
          <w:rFonts w:hint="cs"/>
          <w:b/>
          <w:bCs/>
          <w:rtl/>
        </w:rPr>
        <w:t xml:space="preserve"> </w:t>
      </w:r>
      <w:r>
        <w:tab/>
      </w:r>
      <w:r>
        <w:tab/>
      </w:r>
      <w:r>
        <w:tab/>
      </w:r>
      <w:bookmarkEnd w:id="3"/>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12C76502" w14:textId="3396D6BF" w:rsidR="00C328BE" w:rsidRDefault="00C328BE" w:rsidP="002D57B5">
      <w:pPr>
        <w:pStyle w:val="David"/>
        <w:spacing w:line="240" w:lineRule="auto"/>
        <w:ind w:left="4660" w:firstLine="380"/>
        <w:rPr>
          <w:rtl/>
        </w:rPr>
      </w:pPr>
      <w:bookmarkStart w:id="4" w:name="Private_Number"/>
      <w:bookmarkStart w:id="5" w:name="_GoBack"/>
      <w:bookmarkEnd w:id="5"/>
      <w:r>
        <w:rPr>
          <w:rFonts w:hint="cs"/>
          <w:rtl/>
        </w:rPr>
        <w:t>פ/6294/25</w:t>
      </w:r>
      <w:bookmarkEnd w:id="4"/>
    </w:p>
    <w:p w14:paraId="07AD3BEF" w14:textId="77777777" w:rsidR="00C301A7" w:rsidRDefault="00C301A7" w:rsidP="00C328BE">
      <w:pPr>
        <w:pStyle w:val="HeadHatzaotHok"/>
        <w:rPr>
          <w:rtl/>
        </w:rPr>
      </w:pPr>
      <w:bookmarkStart w:id="6" w:name="LGS_Subject"/>
    </w:p>
    <w:p w14:paraId="067AB03B" w14:textId="3B176390" w:rsidR="00C328BE" w:rsidRPr="00F67051" w:rsidRDefault="00C328BE" w:rsidP="00C328BE">
      <w:pPr>
        <w:pStyle w:val="HeadHatzaotHok"/>
        <w:rPr>
          <w:rtl/>
        </w:rPr>
      </w:pPr>
      <w:r>
        <w:rPr>
          <w:rFonts w:hint="cs"/>
          <w:rtl/>
        </w:rPr>
        <w:t>הצעת חוק קרן קיימת לישראל (תיקון – מעבר לחברה ממשלתית), התשפ"ו–202</w:t>
      </w:r>
      <w:bookmarkEnd w:id="6"/>
      <w:r>
        <w:rPr>
          <w:rFonts w:hint="cs"/>
          <w:rtl/>
        </w:rPr>
        <w:t>5</w:t>
      </w:r>
    </w:p>
    <w:p w14:paraId="2BC78B3F" w14:textId="77777777" w:rsidR="00C328BE" w:rsidRPr="006E3136" w:rsidRDefault="00C328BE" w:rsidP="00C328BE">
      <w:pPr>
        <w:pStyle w:val="HeadDivreiHesber"/>
        <w:spacing w:before="0" w:after="0"/>
        <w:rPr>
          <w:szCs w:val="20"/>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872"/>
        <w:gridCol w:w="624"/>
        <w:gridCol w:w="4647"/>
      </w:tblGrid>
      <w:tr w:rsidR="00C328BE" w14:paraId="6F3ACC5C" w14:textId="77777777" w:rsidTr="00A35036">
        <w:trPr>
          <w:cantSplit/>
        </w:trPr>
        <w:tc>
          <w:tcPr>
            <w:tcW w:w="1871" w:type="dxa"/>
            <w:hideMark/>
          </w:tcPr>
          <w:p w14:paraId="2135B220" w14:textId="1C734277" w:rsidR="00C328BE" w:rsidRDefault="00C301A7" w:rsidP="005124F3">
            <w:pPr>
              <w:pStyle w:val="TableSideHeading"/>
            </w:pPr>
            <w:r>
              <w:rPr>
                <w:rFonts w:hint="cs"/>
                <w:rtl/>
              </w:rPr>
              <w:t>החלפת</w:t>
            </w:r>
            <w:r w:rsidR="00C328BE">
              <w:rPr>
                <w:rFonts w:hint="cs"/>
                <w:rtl/>
              </w:rPr>
              <w:t xml:space="preserve"> סעיף 3</w:t>
            </w:r>
          </w:p>
        </w:tc>
        <w:tc>
          <w:tcPr>
            <w:tcW w:w="624" w:type="dxa"/>
            <w:hideMark/>
          </w:tcPr>
          <w:p w14:paraId="23FF3EFB" w14:textId="77777777" w:rsidR="00C328BE" w:rsidRDefault="00C328BE" w:rsidP="005124F3">
            <w:pPr>
              <w:pStyle w:val="TableText"/>
              <w:jc w:val="both"/>
              <w:rPr>
                <w:rtl/>
              </w:rPr>
            </w:pPr>
            <w:r>
              <w:rPr>
                <w:rFonts w:hint="cs"/>
                <w:rtl/>
              </w:rPr>
              <w:t>1.</w:t>
            </w:r>
          </w:p>
        </w:tc>
        <w:tc>
          <w:tcPr>
            <w:tcW w:w="7143" w:type="dxa"/>
            <w:gridSpan w:val="3"/>
            <w:hideMark/>
          </w:tcPr>
          <w:p w14:paraId="121FF65B" w14:textId="77777777" w:rsidR="00C328BE" w:rsidRDefault="00C328BE" w:rsidP="00A35036">
            <w:pPr>
              <w:pStyle w:val="TableBlock"/>
              <w:rPr>
                <w:rtl/>
              </w:rPr>
            </w:pPr>
            <w:r>
              <w:rPr>
                <w:rFonts w:hint="cs"/>
                <w:rtl/>
              </w:rPr>
              <w:t>בחוק קרן קיימת לישראל, התשי"ד</w:t>
            </w:r>
            <w:r>
              <w:rPr>
                <w:rFonts w:hint="eastAsia"/>
                <w:rtl/>
              </w:rPr>
              <w:t>–</w:t>
            </w:r>
            <w:r>
              <w:rPr>
                <w:rFonts w:hint="cs"/>
                <w:rtl/>
              </w:rPr>
              <w:t>1953</w:t>
            </w:r>
            <w:r w:rsidRPr="00A35036">
              <w:rPr>
                <w:rStyle w:val="a5"/>
                <w:rFonts w:ascii="David" w:hAnsi="David"/>
                <w:sz w:val="26"/>
                <w:rtl/>
              </w:rPr>
              <w:footnoteReference w:id="2"/>
            </w:r>
            <w:r>
              <w:rPr>
                <w:rFonts w:hint="cs"/>
                <w:rtl/>
              </w:rPr>
              <w:t>, במקום סעיף 3 יבוא:</w:t>
            </w:r>
          </w:p>
        </w:tc>
      </w:tr>
      <w:tr w:rsidR="00C328BE" w14:paraId="1631AABF" w14:textId="77777777" w:rsidTr="00A35036">
        <w:trPr>
          <w:cantSplit/>
        </w:trPr>
        <w:tc>
          <w:tcPr>
            <w:tcW w:w="1871" w:type="dxa"/>
          </w:tcPr>
          <w:p w14:paraId="3DBED451" w14:textId="77777777" w:rsidR="00C328BE" w:rsidRDefault="00C328BE" w:rsidP="005124F3">
            <w:pPr>
              <w:pStyle w:val="TableSideHeading"/>
              <w:keepLines w:val="0"/>
            </w:pPr>
          </w:p>
        </w:tc>
        <w:tc>
          <w:tcPr>
            <w:tcW w:w="624" w:type="dxa"/>
          </w:tcPr>
          <w:p w14:paraId="5CE3FAAB" w14:textId="77777777" w:rsidR="00C328BE" w:rsidRDefault="00C328BE" w:rsidP="005124F3">
            <w:pPr>
              <w:pStyle w:val="TableText"/>
              <w:keepLines w:val="0"/>
            </w:pPr>
          </w:p>
        </w:tc>
        <w:tc>
          <w:tcPr>
            <w:tcW w:w="1872" w:type="dxa"/>
          </w:tcPr>
          <w:p w14:paraId="31146AC2" w14:textId="77777777" w:rsidR="00C328BE" w:rsidRPr="00C5630D" w:rsidRDefault="00C328BE" w:rsidP="005124F3">
            <w:pPr>
              <w:pStyle w:val="TableInnerSideHeading"/>
            </w:pPr>
            <w:r>
              <w:rPr>
                <w:rFonts w:hint="cs"/>
                <w:rtl/>
              </w:rPr>
              <w:t>"הקמת חברה חדשה</w:t>
            </w:r>
          </w:p>
        </w:tc>
        <w:tc>
          <w:tcPr>
            <w:tcW w:w="624" w:type="dxa"/>
          </w:tcPr>
          <w:p w14:paraId="775058E2" w14:textId="77777777" w:rsidR="00C328BE" w:rsidRDefault="00C328BE" w:rsidP="005124F3">
            <w:pPr>
              <w:pStyle w:val="TableText"/>
            </w:pPr>
            <w:r>
              <w:rPr>
                <w:rFonts w:hint="cs"/>
                <w:rtl/>
              </w:rPr>
              <w:t>3.</w:t>
            </w:r>
          </w:p>
        </w:tc>
        <w:tc>
          <w:tcPr>
            <w:tcW w:w="4647" w:type="dxa"/>
          </w:tcPr>
          <w:p w14:paraId="606ED015" w14:textId="77777777" w:rsidR="00C328BE" w:rsidRPr="005202AF" w:rsidRDefault="00C328BE" w:rsidP="00A35036">
            <w:pPr>
              <w:pStyle w:val="TableBlock"/>
            </w:pPr>
            <w:r w:rsidRPr="005202AF">
              <w:rPr>
                <w:rFonts w:hint="cs"/>
                <w:rtl/>
              </w:rPr>
              <w:t>(א)</w:t>
            </w:r>
            <w:r w:rsidRPr="005202AF">
              <w:rPr>
                <w:rtl/>
              </w:rPr>
              <w:tab/>
            </w:r>
            <w:r w:rsidRPr="005202AF">
              <w:rPr>
                <w:rFonts w:hint="cs"/>
                <w:rtl/>
              </w:rPr>
              <w:t>רשם החברות ירשום, לפי הוראות סעיף 10 לחוק החברות, התשנ"ט</w:t>
            </w:r>
            <w:r w:rsidRPr="005202AF">
              <w:rPr>
                <w:rFonts w:hint="eastAsia"/>
                <w:rtl/>
              </w:rPr>
              <w:t>–</w:t>
            </w:r>
            <w:r w:rsidRPr="005202AF">
              <w:rPr>
                <w:rFonts w:hint="cs"/>
                <w:rtl/>
              </w:rPr>
              <w:t>1999</w:t>
            </w:r>
            <w:r w:rsidRPr="00A35036">
              <w:rPr>
                <w:rFonts w:ascii="David" w:hAnsi="David"/>
                <w:sz w:val="26"/>
                <w:szCs w:val="20"/>
                <w:vertAlign w:val="superscript"/>
                <w:rtl/>
              </w:rPr>
              <w:footnoteReference w:id="3"/>
            </w:r>
            <w:r w:rsidRPr="005202AF">
              <w:rPr>
                <w:rFonts w:hint="cs"/>
                <w:rtl/>
              </w:rPr>
              <w:t>, חברה בבעלות מלאה של המדינה; שר האוצר ימציא לרשם החברות את הפרטים והמסמכים הנדרשים לפי סעיף 8 לחוק האמור בתוך חודש מיום כניסת החוק לתוקף ויר</w:t>
            </w:r>
            <w:r w:rsidRPr="005202AF">
              <w:rPr>
                <w:rtl/>
              </w:rPr>
              <w:t>או את החברה כחברה שהפכה לחברה ממשלתית בהתאם</w:t>
            </w:r>
            <w:r w:rsidRPr="005202AF">
              <w:rPr>
                <w:rFonts w:hint="cs"/>
                <w:rtl/>
              </w:rPr>
              <w:t xml:space="preserve"> </w:t>
            </w:r>
            <w:r w:rsidRPr="005202AF">
              <w:rPr>
                <w:rtl/>
              </w:rPr>
              <w:t>להוראות סעיף 8(א</w:t>
            </w:r>
            <w:r w:rsidRPr="005202AF">
              <w:rPr>
                <w:rFonts w:hint="cs"/>
                <w:rtl/>
              </w:rPr>
              <w:t>)</w:t>
            </w:r>
            <w:r w:rsidRPr="005202AF">
              <w:rPr>
                <w:rtl/>
              </w:rPr>
              <w:t xml:space="preserve"> לחוק החברות</w:t>
            </w:r>
            <w:r>
              <w:rPr>
                <w:rFonts w:hint="cs"/>
                <w:rtl/>
              </w:rPr>
              <w:t xml:space="preserve"> </w:t>
            </w:r>
            <w:r w:rsidRPr="005202AF">
              <w:rPr>
                <w:rtl/>
              </w:rPr>
              <w:t>הממשלתיו</w:t>
            </w:r>
            <w:r w:rsidRPr="005202AF">
              <w:rPr>
                <w:rFonts w:hint="cs"/>
                <w:rtl/>
              </w:rPr>
              <w:t>ת, התשל"ה</w:t>
            </w:r>
            <w:r w:rsidRPr="005202AF">
              <w:rPr>
                <w:rFonts w:hint="eastAsia"/>
                <w:rtl/>
              </w:rPr>
              <w:t>–</w:t>
            </w:r>
            <w:r>
              <w:rPr>
                <w:rFonts w:hint="cs"/>
                <w:rtl/>
              </w:rPr>
              <w:t>1</w:t>
            </w:r>
            <w:r w:rsidRPr="005202AF">
              <w:rPr>
                <w:rFonts w:hint="cs"/>
                <w:rtl/>
              </w:rPr>
              <w:t>975</w:t>
            </w:r>
            <w:r w:rsidRPr="00A35036">
              <w:rPr>
                <w:rFonts w:ascii="David" w:hAnsi="David"/>
                <w:sz w:val="26"/>
                <w:szCs w:val="20"/>
                <w:vertAlign w:val="superscript"/>
                <w:rtl/>
              </w:rPr>
              <w:footnoteReference w:id="4"/>
            </w:r>
            <w:r w:rsidRPr="005202AF">
              <w:rPr>
                <w:rFonts w:hint="cs"/>
                <w:rtl/>
              </w:rPr>
              <w:t xml:space="preserve"> (להלן </w:t>
            </w:r>
            <w:r>
              <w:rPr>
                <w:rFonts w:hint="eastAsia"/>
                <w:rtl/>
              </w:rPr>
              <w:t>–</w:t>
            </w:r>
            <w:r>
              <w:rPr>
                <w:rFonts w:hint="cs"/>
                <w:rtl/>
              </w:rPr>
              <w:t xml:space="preserve"> </w:t>
            </w:r>
            <w:r w:rsidRPr="005202AF">
              <w:rPr>
                <w:rFonts w:hint="eastAsia"/>
                <w:rtl/>
              </w:rPr>
              <w:t>חוק החברות</w:t>
            </w:r>
            <w:r>
              <w:rPr>
                <w:rFonts w:hint="cs"/>
                <w:rtl/>
              </w:rPr>
              <w:t xml:space="preserve"> </w:t>
            </w:r>
            <w:r w:rsidRPr="005202AF">
              <w:rPr>
                <w:rFonts w:hint="eastAsia"/>
                <w:rtl/>
              </w:rPr>
              <w:t>הממשלתיות</w:t>
            </w:r>
            <w:r w:rsidRPr="005202AF">
              <w:rPr>
                <w:rFonts w:hint="cs"/>
                <w:rtl/>
              </w:rPr>
              <w:t>).</w:t>
            </w:r>
          </w:p>
        </w:tc>
      </w:tr>
      <w:tr w:rsidR="00C328BE" w14:paraId="4614C330" w14:textId="77777777" w:rsidTr="00A35036">
        <w:trPr>
          <w:cantSplit/>
        </w:trPr>
        <w:tc>
          <w:tcPr>
            <w:tcW w:w="1871" w:type="dxa"/>
          </w:tcPr>
          <w:p w14:paraId="0A701132" w14:textId="77777777" w:rsidR="00C328BE" w:rsidRDefault="00C328BE" w:rsidP="005124F3">
            <w:pPr>
              <w:pStyle w:val="TableSideHeading"/>
              <w:keepLines w:val="0"/>
            </w:pPr>
          </w:p>
        </w:tc>
        <w:tc>
          <w:tcPr>
            <w:tcW w:w="624" w:type="dxa"/>
          </w:tcPr>
          <w:p w14:paraId="08505A4C" w14:textId="77777777" w:rsidR="00C328BE" w:rsidRDefault="00C328BE" w:rsidP="005124F3">
            <w:pPr>
              <w:pStyle w:val="TableText"/>
              <w:keepLines w:val="0"/>
            </w:pPr>
          </w:p>
        </w:tc>
        <w:tc>
          <w:tcPr>
            <w:tcW w:w="1872" w:type="dxa"/>
          </w:tcPr>
          <w:p w14:paraId="0DA4D2C1" w14:textId="77777777" w:rsidR="00C328BE" w:rsidRDefault="00C328BE" w:rsidP="005124F3">
            <w:pPr>
              <w:pStyle w:val="TableInnerSideHeading"/>
              <w:rPr>
                <w:rtl/>
              </w:rPr>
            </w:pPr>
          </w:p>
        </w:tc>
        <w:tc>
          <w:tcPr>
            <w:tcW w:w="624" w:type="dxa"/>
          </w:tcPr>
          <w:p w14:paraId="0735F1FC" w14:textId="77777777" w:rsidR="00C328BE" w:rsidRDefault="00C328BE" w:rsidP="005124F3">
            <w:pPr>
              <w:pStyle w:val="TableText"/>
              <w:rPr>
                <w:rtl/>
              </w:rPr>
            </w:pPr>
          </w:p>
        </w:tc>
        <w:tc>
          <w:tcPr>
            <w:tcW w:w="4647" w:type="dxa"/>
          </w:tcPr>
          <w:p w14:paraId="3B91090B" w14:textId="77777777" w:rsidR="00C328BE" w:rsidRDefault="00C328BE" w:rsidP="00A35036">
            <w:pPr>
              <w:pStyle w:val="TableBlock"/>
            </w:pPr>
            <w:r>
              <w:rPr>
                <w:rFonts w:hint="cs"/>
                <w:rtl/>
              </w:rPr>
              <w:t>(ב)</w:t>
            </w:r>
            <w:r>
              <w:rPr>
                <w:rtl/>
              </w:rPr>
              <w:tab/>
            </w:r>
            <w:r>
              <w:rPr>
                <w:rFonts w:hint="cs"/>
                <w:rtl/>
              </w:rPr>
              <w:t>שר הפנים יהיה השר האחראי לענייני החברה, והוא יודיע לוועדת הכספים של הכנסת בתוך חצי שנה לאחר כניסת החוק לתוקף אם החליט שלא לפנות לוועדת הכספים של הכנסת לפי סעיף 63(1א) לחוק החברות הממשלתיות</w:t>
            </w:r>
            <w:r w:rsidRPr="00324D4D">
              <w:rPr>
                <w:rtl/>
              </w:rPr>
              <w:t xml:space="preserve"> בנוגע לחברה</w:t>
            </w:r>
            <w:r>
              <w:rPr>
                <w:rFonts w:hint="cs"/>
                <w:rtl/>
              </w:rPr>
              <w:t>.</w:t>
            </w:r>
          </w:p>
        </w:tc>
      </w:tr>
      <w:tr w:rsidR="00C328BE" w14:paraId="1B2D9DC0" w14:textId="77777777" w:rsidTr="00A35036">
        <w:trPr>
          <w:cantSplit/>
        </w:trPr>
        <w:tc>
          <w:tcPr>
            <w:tcW w:w="1871" w:type="dxa"/>
          </w:tcPr>
          <w:p w14:paraId="2590DA43" w14:textId="77777777" w:rsidR="00C328BE" w:rsidRDefault="00C328BE" w:rsidP="005124F3">
            <w:pPr>
              <w:pStyle w:val="TableSideHeading"/>
              <w:keepLines w:val="0"/>
            </w:pPr>
          </w:p>
        </w:tc>
        <w:tc>
          <w:tcPr>
            <w:tcW w:w="624" w:type="dxa"/>
          </w:tcPr>
          <w:p w14:paraId="4111FD4E" w14:textId="77777777" w:rsidR="00C328BE" w:rsidRDefault="00C328BE" w:rsidP="005124F3">
            <w:pPr>
              <w:pStyle w:val="TableText"/>
              <w:keepLines w:val="0"/>
            </w:pPr>
          </w:p>
        </w:tc>
        <w:tc>
          <w:tcPr>
            <w:tcW w:w="1872" w:type="dxa"/>
          </w:tcPr>
          <w:p w14:paraId="6A2F5F51" w14:textId="77777777" w:rsidR="00C328BE" w:rsidRDefault="00C328BE" w:rsidP="005124F3">
            <w:pPr>
              <w:pStyle w:val="TableInnerSideHeading"/>
              <w:rPr>
                <w:rtl/>
              </w:rPr>
            </w:pPr>
          </w:p>
        </w:tc>
        <w:tc>
          <w:tcPr>
            <w:tcW w:w="624" w:type="dxa"/>
          </w:tcPr>
          <w:p w14:paraId="3668994B" w14:textId="77777777" w:rsidR="00C328BE" w:rsidRDefault="00C328BE" w:rsidP="005124F3">
            <w:pPr>
              <w:pStyle w:val="TableText"/>
              <w:rPr>
                <w:rtl/>
              </w:rPr>
            </w:pPr>
          </w:p>
        </w:tc>
        <w:tc>
          <w:tcPr>
            <w:tcW w:w="4647" w:type="dxa"/>
          </w:tcPr>
          <w:p w14:paraId="65CD972E" w14:textId="77777777" w:rsidR="00C328BE" w:rsidRDefault="00C328BE" w:rsidP="00A35036">
            <w:pPr>
              <w:pStyle w:val="TableBlock"/>
              <w:rPr>
                <w:rtl/>
              </w:rPr>
            </w:pPr>
            <w:r>
              <w:rPr>
                <w:rFonts w:hint="cs"/>
                <w:rtl/>
              </w:rPr>
              <w:t>(ג)</w:t>
            </w:r>
            <w:r>
              <w:rPr>
                <w:rtl/>
              </w:rPr>
              <w:tab/>
            </w:r>
            <w:r w:rsidRPr="00EC6D08">
              <w:rPr>
                <w:rFonts w:hint="cs"/>
                <w:rtl/>
              </w:rPr>
              <w:t>בסעיף זה</w:t>
            </w:r>
            <w:r>
              <w:rPr>
                <w:rFonts w:hint="cs"/>
                <w:rtl/>
              </w:rPr>
              <w:t xml:space="preserve">, </w:t>
            </w:r>
            <w:r w:rsidRPr="00EC6D08">
              <w:rPr>
                <w:rFonts w:hint="cs"/>
                <w:rtl/>
              </w:rPr>
              <w:t xml:space="preserve">"חברה בבעלות מלאה של המדינה" </w:t>
            </w:r>
            <w:r w:rsidRPr="00EC6D08">
              <w:rPr>
                <w:rFonts w:hint="eastAsia"/>
                <w:rtl/>
              </w:rPr>
              <w:t>–</w:t>
            </w:r>
            <w:r w:rsidRPr="00EC6D08">
              <w:rPr>
                <w:rFonts w:hint="cs"/>
                <w:rtl/>
              </w:rPr>
              <w:t xml:space="preserve"> חברה שכל מניותיה הן בבעלות המדינה </w:t>
            </w:r>
            <w:r w:rsidRPr="002C0A15">
              <w:rPr>
                <w:rFonts w:hint="cs"/>
                <w:rtl/>
              </w:rPr>
              <w:t>והזכות</w:t>
            </w:r>
            <w:r w:rsidRPr="00EC6D08">
              <w:rPr>
                <w:rFonts w:hint="cs"/>
                <w:rtl/>
              </w:rPr>
              <w:t xml:space="preserve"> למנות את כל הדירקטורים שלה היא בידי המדינה.</w:t>
            </w:r>
            <w:r>
              <w:rPr>
                <w:rFonts w:hint="cs"/>
                <w:rtl/>
              </w:rPr>
              <w:t>"</w:t>
            </w:r>
          </w:p>
        </w:tc>
      </w:tr>
    </w:tbl>
    <w:p w14:paraId="400980A7" w14:textId="77777777" w:rsidR="00C328BE" w:rsidRPr="00D9460F" w:rsidRDefault="00C328BE" w:rsidP="00C328BE">
      <w:pPr>
        <w:pStyle w:val="HeadDivreiHesber"/>
        <w:rPr>
          <w:rtl/>
        </w:rPr>
      </w:pPr>
    </w:p>
    <w:p w14:paraId="47995F75" w14:textId="77777777" w:rsidR="00C328BE" w:rsidRDefault="00C328BE" w:rsidP="00C328BE">
      <w:pPr>
        <w:pStyle w:val="HeadDivreiHesber"/>
        <w:rPr>
          <w:rtl/>
        </w:rPr>
      </w:pPr>
      <w:r w:rsidRPr="0027450A">
        <w:rPr>
          <w:rFonts w:hint="cs"/>
          <w:rtl/>
        </w:rPr>
        <w:t>דברי הסבר</w:t>
      </w:r>
    </w:p>
    <w:p w14:paraId="61EFEEB5" w14:textId="23672D4C" w:rsidR="00C328BE" w:rsidRPr="00EC6D08" w:rsidRDefault="00C301A7" w:rsidP="00C301A7">
      <w:pPr>
        <w:pStyle w:val="Hesber"/>
      </w:pPr>
      <w:r>
        <w:rPr>
          <w:rFonts w:hint="cs"/>
          <w:rtl/>
        </w:rPr>
        <w:t xml:space="preserve">קרן קיימת לישראל (להלן </w:t>
      </w:r>
      <w:r>
        <w:rPr>
          <w:rFonts w:hint="eastAsia"/>
          <w:rtl/>
        </w:rPr>
        <w:t>–</w:t>
      </w:r>
      <w:r>
        <w:rPr>
          <w:rFonts w:hint="cs"/>
          <w:rtl/>
        </w:rPr>
        <w:t xml:space="preserve"> </w:t>
      </w:r>
      <w:r w:rsidR="00C328BE">
        <w:rPr>
          <w:rFonts w:hint="cs"/>
          <w:rtl/>
        </w:rPr>
        <w:t>קק"ל</w:t>
      </w:r>
      <w:r>
        <w:rPr>
          <w:rFonts w:hint="cs"/>
          <w:rtl/>
        </w:rPr>
        <w:t>)</w:t>
      </w:r>
      <w:r w:rsidR="00C328BE">
        <w:rPr>
          <w:rFonts w:hint="cs"/>
          <w:rtl/>
        </w:rPr>
        <w:t xml:space="preserve"> נוסדה </w:t>
      </w:r>
      <w:r w:rsidR="00C328BE" w:rsidRPr="00EC6D08">
        <w:rPr>
          <w:rFonts w:hint="cs"/>
          <w:rtl/>
        </w:rPr>
        <w:t>על ידי ההסתדרות הציונית בשנת 1901 כאמצעי לאיסוף כספים מיהודים לשם קניית קרקעות בארץ ישראל והכשרת הקרקעות להתיישבות יהודית. עד לשנות החמישים פעלה קק"ל כחברה אנגלית שנוסדה בלונדון ונרשמה כחברה זרה. חוק קרן קיימת לישראל, התשי"ד</w:t>
      </w:r>
      <w:r w:rsidR="00C328BE">
        <w:rPr>
          <w:rFonts w:hint="eastAsia"/>
          <w:rtl/>
        </w:rPr>
        <w:t>–</w:t>
      </w:r>
      <w:r w:rsidR="00C328BE" w:rsidRPr="00EC6D08">
        <w:rPr>
          <w:rFonts w:hint="cs"/>
          <w:rtl/>
        </w:rPr>
        <w:t>1953 (להלן</w:t>
      </w:r>
      <w:r w:rsidR="00C328BE">
        <w:rPr>
          <w:rFonts w:hint="cs"/>
          <w:rtl/>
        </w:rPr>
        <w:t xml:space="preserve"> </w:t>
      </w:r>
      <w:r w:rsidR="00C328BE">
        <w:rPr>
          <w:rFonts w:hint="eastAsia"/>
          <w:rtl/>
        </w:rPr>
        <w:t>–</w:t>
      </w:r>
      <w:r w:rsidR="00C328BE" w:rsidRPr="00EC6D08">
        <w:rPr>
          <w:rFonts w:hint="cs"/>
          <w:rtl/>
        </w:rPr>
        <w:t xml:space="preserve"> חוק קק"ל)</w:t>
      </w:r>
      <w:r w:rsidR="00FF0C43">
        <w:rPr>
          <w:rFonts w:hint="cs"/>
          <w:rtl/>
        </w:rPr>
        <w:t>,</w:t>
      </w:r>
      <w:r w:rsidR="00C328BE" w:rsidRPr="00EC6D08">
        <w:rPr>
          <w:rFonts w:hint="cs"/>
          <w:rtl/>
        </w:rPr>
        <w:t xml:space="preserve"> יצר הסדר מקל להעברת נכסי החברה הזרה לחברה הישראלית </w:t>
      </w:r>
      <w:r w:rsidR="00C328BE">
        <w:rPr>
          <w:rFonts w:hint="eastAsia"/>
          <w:rtl/>
        </w:rPr>
        <w:t>–</w:t>
      </w:r>
      <w:r w:rsidR="00C328BE" w:rsidRPr="00EC6D08">
        <w:rPr>
          <w:rFonts w:hint="cs"/>
          <w:rtl/>
        </w:rPr>
        <w:t xml:space="preserve"> והיום קק"ל היא חברה לכל דבר ועניין.</w:t>
      </w:r>
    </w:p>
    <w:p w14:paraId="4CA58279" w14:textId="779F7F01" w:rsidR="00C328BE" w:rsidRDefault="00C328BE" w:rsidP="00FF0C43">
      <w:pPr>
        <w:pStyle w:val="Hesber"/>
        <w:rPr>
          <w:rtl/>
        </w:rPr>
      </w:pPr>
      <w:r w:rsidRPr="00EC6D08">
        <w:rPr>
          <w:rFonts w:hint="cs"/>
          <w:rtl/>
        </w:rPr>
        <w:t>בשנת 1961 הממשלה, המופקדת על מקרקעי ישראל, התקשרה עם קק"ל באמנה המסדירה את מערכת היחסים בין רשות מקרקעי ישראל (להלן</w:t>
      </w:r>
      <w:r>
        <w:rPr>
          <w:rFonts w:hint="cs"/>
          <w:rtl/>
        </w:rPr>
        <w:t xml:space="preserve"> </w:t>
      </w:r>
      <w:r>
        <w:rPr>
          <w:rFonts w:hint="eastAsia"/>
          <w:rtl/>
        </w:rPr>
        <w:t>–</w:t>
      </w:r>
      <w:r w:rsidRPr="00EC6D08">
        <w:rPr>
          <w:rFonts w:hint="cs"/>
          <w:rtl/>
        </w:rPr>
        <w:t xml:space="preserve"> רמ"י) לקק"ל ביחס לטיפול במקרקעי ישראל. האמנה מקנה לקק"ל סמכויות</w:t>
      </w:r>
      <w:r>
        <w:rPr>
          <w:rFonts w:hint="cs"/>
          <w:rtl/>
        </w:rPr>
        <w:t xml:space="preserve"> ציבוריות נרחבות מאוד, כמו למשל</w:t>
      </w:r>
      <w:r w:rsidRPr="00EC6D08">
        <w:rPr>
          <w:rFonts w:hint="cs"/>
          <w:rtl/>
        </w:rPr>
        <w:t xml:space="preserve"> הסמכות לכלל הפעולות הקשורות לייעור במדינה. בעקבות כך, אף הוענקו לחלק מעובדי קק"ל סמכויות שלטוניות של פקידי יערות. בשנת 2014 נרשמה חברת הקרן הקיימת לישראל בפנקס החברות כחברה לתועלת הציבור.</w:t>
      </w:r>
    </w:p>
    <w:p w14:paraId="048B4B4E" w14:textId="309A883B" w:rsidR="00C328BE" w:rsidRDefault="00C328BE" w:rsidP="00C328BE">
      <w:pPr>
        <w:pStyle w:val="Hesber"/>
        <w:rPr>
          <w:rtl/>
        </w:rPr>
      </w:pPr>
      <w:r>
        <w:rPr>
          <w:rFonts w:hint="cs"/>
          <w:rtl/>
        </w:rPr>
        <w:t>עם זאת, מאז</w:t>
      </w:r>
      <w:r>
        <w:rPr>
          <w:rtl/>
        </w:rPr>
        <w:t xml:space="preserve"> קום מדינת ישראל לא הוסדר מחדש מעמדה המשפטי של הקרן, ונוצר מצב</w:t>
      </w:r>
      <w:r>
        <w:rPr>
          <w:rFonts w:hint="cs"/>
          <w:rtl/>
        </w:rPr>
        <w:t xml:space="preserve"> חריג ובלתי סביר, </w:t>
      </w:r>
      <w:r>
        <w:rPr>
          <w:rtl/>
        </w:rPr>
        <w:t xml:space="preserve">בו גוף </w:t>
      </w:r>
      <w:r>
        <w:rPr>
          <w:rFonts w:hint="cs"/>
          <w:rtl/>
        </w:rPr>
        <w:t>בין-לאומי</w:t>
      </w:r>
      <w:r>
        <w:rPr>
          <w:rtl/>
        </w:rPr>
        <w:t xml:space="preserve"> </w:t>
      </w:r>
      <w:r>
        <w:rPr>
          <w:rFonts w:hint="cs"/>
          <w:rtl/>
        </w:rPr>
        <w:t>המחזיק</w:t>
      </w:r>
      <w:r>
        <w:rPr>
          <w:rtl/>
        </w:rPr>
        <w:t xml:space="preserve"> </w:t>
      </w:r>
      <w:r>
        <w:rPr>
          <w:rFonts w:hint="cs"/>
          <w:rtl/>
        </w:rPr>
        <w:t>ב</w:t>
      </w:r>
      <w:r>
        <w:rPr>
          <w:rtl/>
        </w:rPr>
        <w:t>נכסי מקרקעין בהיקף עצום</w:t>
      </w:r>
      <w:r>
        <w:rPr>
          <w:rFonts w:hint="cs"/>
          <w:rtl/>
        </w:rPr>
        <w:t>,</w:t>
      </w:r>
      <w:r>
        <w:rPr>
          <w:rtl/>
        </w:rPr>
        <w:t xml:space="preserve"> </w:t>
      </w:r>
      <w:r>
        <w:rPr>
          <w:rFonts w:hint="cs"/>
          <w:rtl/>
        </w:rPr>
        <w:t>פועל</w:t>
      </w:r>
      <w:r>
        <w:rPr>
          <w:rtl/>
        </w:rPr>
        <w:t xml:space="preserve"> בישראל </w:t>
      </w:r>
      <w:r>
        <w:rPr>
          <w:rFonts w:hint="cs"/>
          <w:rtl/>
        </w:rPr>
        <w:t>במקביל</w:t>
      </w:r>
      <w:r>
        <w:rPr>
          <w:rtl/>
        </w:rPr>
        <w:t xml:space="preserve"> </w:t>
      </w:r>
      <w:r>
        <w:rPr>
          <w:rFonts w:hint="cs"/>
          <w:rtl/>
        </w:rPr>
        <w:t>ל</w:t>
      </w:r>
      <w:r>
        <w:rPr>
          <w:rtl/>
        </w:rPr>
        <w:t xml:space="preserve">מוסדות המדינה, </w:t>
      </w:r>
      <w:r>
        <w:rPr>
          <w:rFonts w:hint="cs"/>
          <w:rtl/>
        </w:rPr>
        <w:t>אינו כפוף לכללי מ</w:t>
      </w:r>
      <w:r w:rsidR="009C1BAA">
        <w:rPr>
          <w:rFonts w:hint="cs"/>
          <w:rtl/>
        </w:rPr>
        <w:t>י</w:t>
      </w:r>
      <w:r>
        <w:rPr>
          <w:rFonts w:hint="cs"/>
          <w:rtl/>
        </w:rPr>
        <w:t xml:space="preserve">נהל תקין, שקיפות ופיקוח ציבורי. </w:t>
      </w:r>
      <w:r>
        <w:rPr>
          <w:rtl/>
        </w:rPr>
        <w:t xml:space="preserve">חוק קק״ל משנת 1953 </w:t>
      </w:r>
      <w:r>
        <w:rPr>
          <w:rFonts w:hint="cs"/>
          <w:rtl/>
        </w:rPr>
        <w:t xml:space="preserve">אמנם </w:t>
      </w:r>
      <w:r>
        <w:rPr>
          <w:rtl/>
        </w:rPr>
        <w:t xml:space="preserve">הכיר בקק״ל כזרוע לאומית, אך נמנע מלכונן מנגנוני פיקוח </w:t>
      </w:r>
      <w:r>
        <w:rPr>
          <w:rFonts w:hint="cs"/>
          <w:rtl/>
        </w:rPr>
        <w:t>אפקטיביים, המחייבים ניהול</w:t>
      </w:r>
      <w:r>
        <w:rPr>
          <w:rtl/>
        </w:rPr>
        <w:t xml:space="preserve"> תקין</w:t>
      </w:r>
      <w:r>
        <w:rPr>
          <w:rFonts w:hint="cs"/>
          <w:rtl/>
        </w:rPr>
        <w:t xml:space="preserve"> ושקיפות לציבור.</w:t>
      </w:r>
      <w:r>
        <w:rPr>
          <w:rtl/>
        </w:rPr>
        <w:t xml:space="preserve"> משכך נותר המבנה ההיסטורי </w:t>
      </w:r>
      <w:r>
        <w:rPr>
          <w:rFonts w:hint="cs"/>
          <w:rtl/>
        </w:rPr>
        <w:t>ה</w:t>
      </w:r>
      <w:r>
        <w:rPr>
          <w:rtl/>
        </w:rPr>
        <w:t>מיושן</w:t>
      </w:r>
      <w:r>
        <w:rPr>
          <w:rFonts w:hint="cs"/>
          <w:rtl/>
        </w:rPr>
        <w:t>,</w:t>
      </w:r>
      <w:r>
        <w:rPr>
          <w:rtl/>
        </w:rPr>
        <w:t xml:space="preserve"> </w:t>
      </w:r>
      <w:r>
        <w:rPr>
          <w:rFonts w:hint="cs"/>
          <w:rtl/>
        </w:rPr>
        <w:t>ש</w:t>
      </w:r>
      <w:r>
        <w:rPr>
          <w:rtl/>
        </w:rPr>
        <w:t xml:space="preserve">אינו </w:t>
      </w:r>
      <w:r>
        <w:rPr>
          <w:rFonts w:hint="cs"/>
          <w:rtl/>
        </w:rPr>
        <w:t>תואם</w:t>
      </w:r>
      <w:r>
        <w:rPr>
          <w:rtl/>
        </w:rPr>
        <w:t xml:space="preserve"> למציאות הציבורית, הכלכלית והמשפטית של ימינו.</w:t>
      </w:r>
    </w:p>
    <w:p w14:paraId="6ED49FAA" w14:textId="77777777" w:rsidR="00C328BE" w:rsidRDefault="00C328BE" w:rsidP="00C328BE">
      <w:pPr>
        <w:pStyle w:val="Hesber"/>
        <w:rPr>
          <w:rtl/>
        </w:rPr>
      </w:pPr>
      <w:r>
        <w:rPr>
          <w:rFonts w:hint="cs"/>
          <w:rtl/>
        </w:rPr>
        <w:t xml:space="preserve">בעשורים האחרונים, </w:t>
      </w:r>
      <w:r>
        <w:rPr>
          <w:rtl/>
        </w:rPr>
        <w:t xml:space="preserve">הורחב היקף פעילותה של קק״ל, והיא הפכה לאחד הגופים המחזיקים בהון ציבורי משמעותי ביותר בישראל, עם שליטה על מקרקעין ותקציבים </w:t>
      </w:r>
      <w:r>
        <w:rPr>
          <w:rFonts w:hint="cs"/>
          <w:rtl/>
        </w:rPr>
        <w:t>אדירים</w:t>
      </w:r>
      <w:r>
        <w:rPr>
          <w:rtl/>
        </w:rPr>
        <w:t xml:space="preserve">. על פי פרסומים כלכליים, קק״ל מחזיקה נכסים בהיקף מוערך </w:t>
      </w:r>
      <w:r>
        <w:rPr>
          <w:rFonts w:hint="cs"/>
          <w:rtl/>
        </w:rPr>
        <w:t xml:space="preserve">של עשרות </w:t>
      </w:r>
      <w:r>
        <w:rPr>
          <w:rtl/>
        </w:rPr>
        <w:t>מיליארד</w:t>
      </w:r>
      <w:r>
        <w:rPr>
          <w:rFonts w:hint="cs"/>
          <w:rtl/>
        </w:rPr>
        <w:t>י</w:t>
      </w:r>
      <w:r>
        <w:rPr>
          <w:rtl/>
        </w:rPr>
        <w:t xml:space="preserve"> שקלים, אך </w:t>
      </w:r>
      <w:r>
        <w:rPr>
          <w:rFonts w:hint="cs"/>
          <w:rtl/>
        </w:rPr>
        <w:t xml:space="preserve">היא </w:t>
      </w:r>
      <w:r>
        <w:rPr>
          <w:rtl/>
        </w:rPr>
        <w:t xml:space="preserve">מנהלת אותם ללא פיקוח תקציבי ממשלתי וללא שקיפות ציבורית נדרשת. </w:t>
      </w:r>
    </w:p>
    <w:p w14:paraId="6DFE1CAA" w14:textId="77777777" w:rsidR="00C328BE" w:rsidRDefault="00C328BE" w:rsidP="00C328BE">
      <w:pPr>
        <w:pStyle w:val="Hesber"/>
        <w:rPr>
          <w:rtl/>
        </w:rPr>
      </w:pPr>
      <w:r>
        <w:rPr>
          <w:rtl/>
        </w:rPr>
        <w:t xml:space="preserve">בעוד שבעבר התבססו הכנסותיה בעיקר על תרומות מהעם היהודי, </w:t>
      </w:r>
      <w:r>
        <w:rPr>
          <w:rFonts w:hint="cs"/>
          <w:rtl/>
        </w:rPr>
        <w:t>הרי ש</w:t>
      </w:r>
      <w:r>
        <w:rPr>
          <w:rtl/>
        </w:rPr>
        <w:t xml:space="preserve">כיום </w:t>
      </w:r>
      <w:r>
        <w:rPr>
          <w:rFonts w:hint="cs"/>
          <w:rtl/>
        </w:rPr>
        <w:t>עיקר</w:t>
      </w:r>
      <w:r>
        <w:rPr>
          <w:rtl/>
        </w:rPr>
        <w:t xml:space="preserve"> הכנסותיה מקורן במכירת מקרקעי המדינה ובהפרטות קרקעיות, דבר ההופך את משאביה למשאבים ציבוריים לכל דבר.</w:t>
      </w:r>
    </w:p>
    <w:p w14:paraId="489E92C7" w14:textId="476DA591" w:rsidR="00C328BE" w:rsidRDefault="00C328BE" w:rsidP="00305990">
      <w:pPr>
        <w:pStyle w:val="Hesber"/>
        <w:rPr>
          <w:rtl/>
        </w:rPr>
      </w:pPr>
      <w:r>
        <w:rPr>
          <w:rtl/>
        </w:rPr>
        <w:lastRenderedPageBreak/>
        <w:t xml:space="preserve"> </w:t>
      </w:r>
      <w:r w:rsidRPr="00EC6D08">
        <w:rPr>
          <w:rFonts w:hint="cs"/>
          <w:rtl/>
        </w:rPr>
        <w:t>על אף זאת, כמעט ל</w:t>
      </w:r>
      <w:r>
        <w:rPr>
          <w:rFonts w:hint="cs"/>
          <w:rtl/>
        </w:rPr>
        <w:t xml:space="preserve">א הוחל עליה פיקוח חיצוני </w:t>
      </w:r>
      <w:r w:rsidRPr="00EC6D08">
        <w:rPr>
          <w:rFonts w:hint="cs"/>
          <w:rtl/>
        </w:rPr>
        <w:t xml:space="preserve">רגולטורי </w:t>
      </w:r>
      <w:r>
        <w:rPr>
          <w:rFonts w:hint="cs"/>
          <w:rtl/>
        </w:rPr>
        <w:t>א</w:t>
      </w:r>
      <w:r w:rsidRPr="00EC6D08">
        <w:rPr>
          <w:rFonts w:hint="cs"/>
          <w:rtl/>
        </w:rPr>
        <w:t>ו ציבורי</w:t>
      </w:r>
      <w:r>
        <w:rPr>
          <w:rFonts w:hint="cs"/>
          <w:rtl/>
        </w:rPr>
        <w:t>.</w:t>
      </w:r>
      <w:r w:rsidRPr="00EC6D08">
        <w:rPr>
          <w:rFonts w:hint="cs"/>
          <w:rtl/>
        </w:rPr>
        <w:t xml:space="preserve"> נעשו מספר מאמצים בכדי להגב</w:t>
      </w:r>
      <w:r>
        <w:rPr>
          <w:rFonts w:hint="cs"/>
          <w:rtl/>
        </w:rPr>
        <w:t xml:space="preserve">יר את הפיקוח על קק"ל </w:t>
      </w:r>
      <w:r w:rsidRPr="00EC6D08">
        <w:rPr>
          <w:rFonts w:hint="cs"/>
          <w:rtl/>
        </w:rPr>
        <w:t xml:space="preserve">כגון הצעת חוק קרן קיימת לישראל (תיקון </w:t>
      </w:r>
      <w:r>
        <w:rPr>
          <w:rFonts w:hint="eastAsia"/>
          <w:rtl/>
        </w:rPr>
        <w:t>–</w:t>
      </w:r>
      <w:r w:rsidRPr="00EC6D08">
        <w:rPr>
          <w:rFonts w:hint="cs"/>
          <w:rtl/>
        </w:rPr>
        <w:t xml:space="preserve"> החברה החדשה </w:t>
      </w:r>
      <w:r>
        <w:rPr>
          <w:rFonts w:hint="eastAsia"/>
          <w:rtl/>
        </w:rPr>
        <w:t>–</w:t>
      </w:r>
      <w:r w:rsidRPr="00EC6D08">
        <w:rPr>
          <w:rFonts w:hint="cs"/>
          <w:rtl/>
        </w:rPr>
        <w:t xml:space="preserve"> גוף מבוקר), התשע"ז</w:t>
      </w:r>
      <w:r>
        <w:rPr>
          <w:rFonts w:hint="eastAsia"/>
          <w:rtl/>
        </w:rPr>
        <w:t>–</w:t>
      </w:r>
      <w:r w:rsidRPr="00EC6D08">
        <w:rPr>
          <w:rFonts w:hint="cs"/>
          <w:rtl/>
        </w:rPr>
        <w:t>2017</w:t>
      </w:r>
      <w:r w:rsidR="00E84DBD">
        <w:rPr>
          <w:rFonts w:hint="cs"/>
          <w:rtl/>
        </w:rPr>
        <w:t>,</w:t>
      </w:r>
      <w:r>
        <w:rPr>
          <w:rFonts w:hint="cs"/>
          <w:rtl/>
        </w:rPr>
        <w:t xml:space="preserve"> </w:t>
      </w:r>
      <w:r w:rsidR="00305990">
        <w:rPr>
          <w:rFonts w:hint="cs"/>
          <w:rtl/>
        </w:rPr>
        <w:t>שהונחה על שולחן הכנסת</w:t>
      </w:r>
      <w:r>
        <w:rPr>
          <w:rFonts w:hint="cs"/>
          <w:rtl/>
        </w:rPr>
        <w:t xml:space="preserve"> על ידי חברי הכנסת בסיעת יש עתיד </w:t>
      </w:r>
      <w:r w:rsidR="00305990">
        <w:rPr>
          <w:rFonts w:hint="cs"/>
          <w:rtl/>
        </w:rPr>
        <w:t>ו</w:t>
      </w:r>
      <w:r>
        <w:rPr>
          <w:rFonts w:hint="cs"/>
          <w:rtl/>
        </w:rPr>
        <w:t>לא אושרה.</w:t>
      </w:r>
      <w:r w:rsidRPr="00EC6D08">
        <w:rPr>
          <w:rFonts w:hint="cs"/>
          <w:rtl/>
        </w:rPr>
        <w:t xml:space="preserve"> </w:t>
      </w:r>
    </w:p>
    <w:p w14:paraId="0671C13A" w14:textId="2437DCBC" w:rsidR="00C328BE" w:rsidRDefault="00C328BE" w:rsidP="00AF27CB">
      <w:pPr>
        <w:pStyle w:val="Hesber"/>
        <w:rPr>
          <w:rtl/>
        </w:rPr>
      </w:pPr>
      <w:r w:rsidRPr="00BD4642">
        <w:rPr>
          <w:rtl/>
        </w:rPr>
        <w:t xml:space="preserve">התפתחויות עדכניות רק העמיקו את הפער הזה. בשנים האחרונות תועדה מגמה של שימוש בכספי הקרן למטרות מגזריות ופוליטיות תוך בזבוז כספי ציבור וחלוקת </w:t>
      </w:r>
      <w:r w:rsidR="00AF27CB">
        <w:rPr>
          <w:rFonts w:hint="cs"/>
          <w:rtl/>
        </w:rPr>
        <w:t>"</w:t>
      </w:r>
      <w:r w:rsidRPr="00BD4642">
        <w:rPr>
          <w:rtl/>
        </w:rPr>
        <w:t>ג'ובים</w:t>
      </w:r>
      <w:r w:rsidR="00AF27CB">
        <w:rPr>
          <w:rFonts w:hint="cs"/>
          <w:rtl/>
        </w:rPr>
        <w:t>"</w:t>
      </w:r>
      <w:r w:rsidRPr="00BD4642">
        <w:rPr>
          <w:rtl/>
        </w:rPr>
        <w:t xml:space="preserve"> למקורבים ומינויים פסולים. כל זאת פוגע באמון הציבור ובמקרים רבים אינו משרת את יעדיה ההיסטוריים של קק״ל. כ</w:t>
      </w:r>
      <w:r>
        <w:rPr>
          <w:rFonts w:hint="cs"/>
          <w:rtl/>
        </w:rPr>
        <w:t>ך</w:t>
      </w:r>
      <w:r w:rsidRPr="00BD4642">
        <w:rPr>
          <w:rtl/>
        </w:rPr>
        <w:t xml:space="preserve"> הפכה הקרן לכזו הסוחרת באדמות הציבור ובכספיו.</w:t>
      </w:r>
    </w:p>
    <w:p w14:paraId="550E74E2" w14:textId="668C117F" w:rsidR="00C328BE" w:rsidRDefault="00C328BE" w:rsidP="00AF27CB">
      <w:pPr>
        <w:pStyle w:val="Hesber"/>
        <w:rPr>
          <w:rtl/>
        </w:rPr>
      </w:pPr>
      <w:r>
        <w:rPr>
          <w:rtl/>
        </w:rPr>
        <w:t>מצב זה מחייב תיקון מהותי. הצעת החוק שלפנינו</w:t>
      </w:r>
      <w:r>
        <w:rPr>
          <w:rFonts w:hint="cs"/>
          <w:rtl/>
        </w:rPr>
        <w:t xml:space="preserve"> </w:t>
      </w:r>
      <w:r w:rsidR="00AF27CB">
        <w:rPr>
          <w:rFonts w:hint="cs"/>
          <w:rtl/>
        </w:rPr>
        <w:t>נועדה</w:t>
      </w:r>
      <w:r>
        <w:rPr>
          <w:rFonts w:hint="cs"/>
          <w:rtl/>
        </w:rPr>
        <w:t xml:space="preserve"> </w:t>
      </w:r>
      <w:r>
        <w:rPr>
          <w:rtl/>
        </w:rPr>
        <w:t>להסדיר את</w:t>
      </w:r>
      <w:r w:rsidR="00AF27CB">
        <w:rPr>
          <w:rFonts w:hint="cs"/>
          <w:rtl/>
        </w:rPr>
        <w:t xml:space="preserve"> מעמדה של</w:t>
      </w:r>
      <w:r>
        <w:rPr>
          <w:rtl/>
        </w:rPr>
        <w:t xml:space="preserve"> קק״ל כחברה ממשלתית</w:t>
      </w:r>
      <w:r w:rsidR="00AF27CB">
        <w:rPr>
          <w:rFonts w:hint="eastAsia"/>
          <w:rtl/>
        </w:rPr>
        <w:t>–</w:t>
      </w:r>
      <w:r>
        <w:rPr>
          <w:rtl/>
        </w:rPr>
        <w:t xml:space="preserve">ציבורית, שתמשיך לפעול למען פיתוח הארץ, שמירת הקרקע, הייעור, הקצאת הקרקעות לצרכים לאומיים וניהול משאבי אדמות הלאום, אך תחויב לפעול בכפיפות למנגנוני </w:t>
      </w:r>
      <w:r>
        <w:rPr>
          <w:rFonts w:hint="cs"/>
          <w:rtl/>
        </w:rPr>
        <w:t>ביקורת</w:t>
      </w:r>
      <w:r>
        <w:rPr>
          <w:rtl/>
        </w:rPr>
        <w:t>, שקיפות ואחריות ציבורית, כפי שקיימים בכל גוף המנהל רכוש ציבורי.</w:t>
      </w:r>
    </w:p>
    <w:p w14:paraId="26A6DF64" w14:textId="47B853F3" w:rsidR="00C328BE" w:rsidRPr="00EC6D08" w:rsidRDefault="00C328BE" w:rsidP="00C328BE">
      <w:pPr>
        <w:pStyle w:val="Hesber"/>
        <w:rPr>
          <w:rtl/>
        </w:rPr>
      </w:pPr>
      <w:r>
        <w:rPr>
          <w:rtl/>
        </w:rPr>
        <w:t xml:space="preserve">הפיכת קק״ל לחברה ממשלתית </w:t>
      </w:r>
      <w:r>
        <w:rPr>
          <w:rFonts w:hint="cs"/>
          <w:rtl/>
        </w:rPr>
        <w:t>היא</w:t>
      </w:r>
      <w:r>
        <w:rPr>
          <w:rtl/>
        </w:rPr>
        <w:t xml:space="preserve"> תיקון היסטורי מתבקש: גוף המטפל במשאביו של הציב</w:t>
      </w:r>
      <w:r w:rsidR="00A60A4D">
        <w:rPr>
          <w:rtl/>
        </w:rPr>
        <w:t>ור חייב להיות כפוף לדין הציבורי</w:t>
      </w:r>
      <w:r>
        <w:rPr>
          <w:rtl/>
        </w:rPr>
        <w:t xml:space="preserve"> ולא לפעול כקרן עצמאית שאינה מחויבת למ</w:t>
      </w:r>
      <w:r w:rsidR="00A60A4D">
        <w:rPr>
          <w:rFonts w:hint="cs"/>
          <w:rtl/>
        </w:rPr>
        <w:t>י</w:t>
      </w:r>
      <w:r>
        <w:rPr>
          <w:rtl/>
        </w:rPr>
        <w:t>נהל תקין. ההסדר המוצע מבטיח ששיקול הדעת בניהול קרקעות הלאום, בכספי הציבור ובמדיניות הפיתוח ייעשה</w:t>
      </w:r>
      <w:r w:rsidR="00A60A4D">
        <w:rPr>
          <w:rtl/>
        </w:rPr>
        <w:t xml:space="preserve"> באופן מקצועי, ענייני ושוויוני</w:t>
      </w:r>
      <w:r>
        <w:rPr>
          <w:rtl/>
        </w:rPr>
        <w:t xml:space="preserve"> ובהתאם לחוק ולא למערכת אינטרסים </w:t>
      </w:r>
      <w:r>
        <w:rPr>
          <w:rFonts w:hint="cs"/>
          <w:rtl/>
        </w:rPr>
        <w:t xml:space="preserve">פגומה. זהו תיקון היסטורי וצעד מתבקש לחיזוק </w:t>
      </w:r>
      <w:r>
        <w:rPr>
          <w:rtl/>
        </w:rPr>
        <w:t xml:space="preserve">אמון הציבור, </w:t>
      </w:r>
      <w:r>
        <w:rPr>
          <w:rFonts w:hint="cs"/>
          <w:rtl/>
        </w:rPr>
        <w:t>מניעת</w:t>
      </w:r>
      <w:r>
        <w:rPr>
          <w:rtl/>
        </w:rPr>
        <w:t xml:space="preserve"> הטיית משאבים למטרות זרות</w:t>
      </w:r>
      <w:r>
        <w:rPr>
          <w:rFonts w:hint="cs"/>
          <w:rtl/>
        </w:rPr>
        <w:t xml:space="preserve"> ובזבוז כספי ציבור שמחזיר</w:t>
      </w:r>
      <w:r>
        <w:rPr>
          <w:rtl/>
        </w:rPr>
        <w:t xml:space="preserve"> את ניהול נכסי הלאום למסגרת החוקית והדמוקרטית הראויה.</w:t>
      </w:r>
    </w:p>
    <w:p w14:paraId="6AD4B845" w14:textId="77777777" w:rsidR="00C328BE" w:rsidRDefault="00C328BE" w:rsidP="00C328BE"/>
    <w:p w14:paraId="103B81A6" w14:textId="77777777" w:rsidR="007A67CE" w:rsidRDefault="009C1BAA">
      <w:pPr>
        <w:spacing w:line="276" w:lineRule="auto"/>
        <w:jc w:val="left"/>
      </w:pPr>
      <w:bookmarkStart w:id="7" w:name="selectedDocDateB"/>
      <w:bookmarkEnd w:id="7"/>
      <w:r>
        <w:rPr>
          <w:rFonts w:eastAsia="David" w:hint="cs"/>
          <w:sz w:val="26"/>
          <w:szCs w:val="26"/>
          <w:rtl/>
        </w:rPr>
        <w:t>--------------------------------</w:t>
      </w:r>
    </w:p>
    <w:p w14:paraId="55E97846" w14:textId="77777777" w:rsidR="007A67CE" w:rsidRDefault="009C1BAA">
      <w:pPr>
        <w:jc w:val="left"/>
      </w:pPr>
      <w:r>
        <w:rPr>
          <w:rFonts w:eastAsia="David" w:hint="cs"/>
          <w:sz w:val="26"/>
          <w:szCs w:val="26"/>
          <w:rtl/>
        </w:rPr>
        <w:t>הוגשה ליו"ר הכנסת והסגנים</w:t>
      </w:r>
    </w:p>
    <w:p w14:paraId="78B7ED64" w14:textId="77777777" w:rsidR="007A67CE" w:rsidRDefault="009C1BAA">
      <w:pPr>
        <w:jc w:val="left"/>
      </w:pPr>
      <w:r>
        <w:rPr>
          <w:rFonts w:eastAsia="David" w:hint="cs"/>
          <w:sz w:val="26"/>
          <w:szCs w:val="26"/>
          <w:rtl/>
        </w:rPr>
        <w:t>והונחה על שולחן הכנסת ביום</w:t>
      </w:r>
    </w:p>
    <w:p w14:paraId="431B1EF9" w14:textId="77777777" w:rsidR="007A67CE" w:rsidRDefault="009C1BAA">
      <w:pPr>
        <w:jc w:val="left"/>
      </w:pPr>
      <w:r>
        <w:rPr>
          <w:rFonts w:eastAsia="David" w:hint="cs"/>
          <w:sz w:val="26"/>
          <w:szCs w:val="26"/>
          <w:rtl/>
        </w:rPr>
        <w:t xml:space="preserve">כ"ו בחשוון התשפ"ו (17.11.2025) </w:t>
      </w:r>
    </w:p>
    <w:p w14:paraId="028003DD" w14:textId="77777777" w:rsidR="007A67CE" w:rsidRDefault="007A67CE"/>
    <w:sectPr w:rsidR="007A67CE" w:rsidSect="00A35036">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3AB7E400"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2D57B5">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A35036">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E9D38B6" w14:textId="77777777" w:rsidR="00C328BE" w:rsidRDefault="00C328BE" w:rsidP="00C328BE">
      <w:pPr>
        <w:pStyle w:val="a4"/>
        <w:rPr>
          <w:rtl/>
        </w:rPr>
      </w:pPr>
      <w:r>
        <w:rPr>
          <w:rStyle w:val="a5"/>
        </w:rPr>
        <w:footnoteRef/>
      </w:r>
      <w:r>
        <w:rPr>
          <w:rtl/>
        </w:rPr>
        <w:t xml:space="preserve"> </w:t>
      </w:r>
      <w:r>
        <w:rPr>
          <w:rFonts w:hint="cs"/>
          <w:rtl/>
        </w:rPr>
        <w:t>ס"ח התשי"ד, עמ' 34.</w:t>
      </w:r>
    </w:p>
  </w:footnote>
  <w:footnote w:id="3">
    <w:p w14:paraId="10956860" w14:textId="77777777" w:rsidR="00C328BE" w:rsidRDefault="00C328BE" w:rsidP="00C328BE">
      <w:pPr>
        <w:pStyle w:val="a4"/>
        <w:rPr>
          <w:rtl/>
        </w:rPr>
      </w:pPr>
      <w:r>
        <w:rPr>
          <w:rStyle w:val="a5"/>
        </w:rPr>
        <w:footnoteRef/>
      </w:r>
      <w:r>
        <w:rPr>
          <w:rtl/>
        </w:rPr>
        <w:t xml:space="preserve"> </w:t>
      </w:r>
      <w:r>
        <w:rPr>
          <w:rFonts w:hint="cs"/>
          <w:rtl/>
        </w:rPr>
        <w:t>ס"ח התשנ"ט, עמ' 189.</w:t>
      </w:r>
    </w:p>
  </w:footnote>
  <w:footnote w:id="4">
    <w:p w14:paraId="4ED1DE93" w14:textId="77777777" w:rsidR="00C328BE" w:rsidRDefault="00C328BE" w:rsidP="00C328BE">
      <w:pPr>
        <w:pStyle w:val="a4"/>
        <w:rPr>
          <w:rtl/>
        </w:rPr>
      </w:pPr>
      <w:r>
        <w:rPr>
          <w:rStyle w:val="a5"/>
        </w:rPr>
        <w:footnoteRef/>
      </w:r>
      <w:r>
        <w:rPr>
          <w:rtl/>
        </w:rPr>
        <w:t xml:space="preserve"> </w:t>
      </w:r>
      <w:r>
        <w:rPr>
          <w:rFonts w:hint="cs"/>
          <w:rtl/>
        </w:rPr>
        <w:t>ס"ח התשל"ה, עמ' 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D57B5"/>
    <w:rsid w:val="002F1D80"/>
    <w:rsid w:val="0030599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636D4"/>
    <w:rsid w:val="006818A9"/>
    <w:rsid w:val="006A2D81"/>
    <w:rsid w:val="006C1D0D"/>
    <w:rsid w:val="006E3136"/>
    <w:rsid w:val="0070601E"/>
    <w:rsid w:val="00712C72"/>
    <w:rsid w:val="00735FE9"/>
    <w:rsid w:val="00763CAA"/>
    <w:rsid w:val="00765F66"/>
    <w:rsid w:val="0078664F"/>
    <w:rsid w:val="007A27CE"/>
    <w:rsid w:val="007A6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C1BAA"/>
    <w:rsid w:val="009D6E0A"/>
    <w:rsid w:val="009E1E33"/>
    <w:rsid w:val="00A14672"/>
    <w:rsid w:val="00A26BD6"/>
    <w:rsid w:val="00A35036"/>
    <w:rsid w:val="00A443CF"/>
    <w:rsid w:val="00A60A4D"/>
    <w:rsid w:val="00A6611D"/>
    <w:rsid w:val="00A82CB7"/>
    <w:rsid w:val="00A942C1"/>
    <w:rsid w:val="00AA2F03"/>
    <w:rsid w:val="00AC36F7"/>
    <w:rsid w:val="00AC63A4"/>
    <w:rsid w:val="00AD239E"/>
    <w:rsid w:val="00AF27CB"/>
    <w:rsid w:val="00B10265"/>
    <w:rsid w:val="00B16A99"/>
    <w:rsid w:val="00B21211"/>
    <w:rsid w:val="00B35784"/>
    <w:rsid w:val="00B733A7"/>
    <w:rsid w:val="00B75C91"/>
    <w:rsid w:val="00B975AD"/>
    <w:rsid w:val="00BC45FB"/>
    <w:rsid w:val="00BF148D"/>
    <w:rsid w:val="00C23B1A"/>
    <w:rsid w:val="00C301A7"/>
    <w:rsid w:val="00C310EB"/>
    <w:rsid w:val="00C328BE"/>
    <w:rsid w:val="00C663C9"/>
    <w:rsid w:val="00C9176A"/>
    <w:rsid w:val="00CF1AA2"/>
    <w:rsid w:val="00D142D3"/>
    <w:rsid w:val="00D17774"/>
    <w:rsid w:val="00D63620"/>
    <w:rsid w:val="00D8410D"/>
    <w:rsid w:val="00D867D7"/>
    <w:rsid w:val="00D9460F"/>
    <w:rsid w:val="00DB7060"/>
    <w:rsid w:val="00DE3153"/>
    <w:rsid w:val="00E06736"/>
    <w:rsid w:val="00E13C27"/>
    <w:rsid w:val="00E33BBD"/>
    <w:rsid w:val="00E374F2"/>
    <w:rsid w:val="00E45103"/>
    <w:rsid w:val="00E55A60"/>
    <w:rsid w:val="00E62778"/>
    <w:rsid w:val="00E635A2"/>
    <w:rsid w:val="00E63D38"/>
    <w:rsid w:val="00E665B9"/>
    <w:rsid w:val="00E84DBD"/>
    <w:rsid w:val="00EA01E6"/>
    <w:rsid w:val="00EA3DE8"/>
    <w:rsid w:val="00EA758F"/>
    <w:rsid w:val="00ED4A6F"/>
    <w:rsid w:val="00EF3A3A"/>
    <w:rsid w:val="00F628D6"/>
    <w:rsid w:val="00F67051"/>
    <w:rsid w:val="00F86379"/>
    <w:rsid w:val="00F86A1E"/>
    <w:rsid w:val="00FA5E88"/>
    <w:rsid w:val="00FF0C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21861F4-FDC7-4C3F-9395-03D56B48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036"/>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A35036"/>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A35036"/>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A35036"/>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A35036"/>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A35036"/>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A35036"/>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A35036"/>
    <w:rPr>
      <w:sz w:val="36"/>
      <w:szCs w:val="52"/>
    </w:rPr>
  </w:style>
  <w:style w:type="paragraph" w:customStyle="1" w:styleId="Cover3-Haknesset">
    <w:name w:val="Cover 3-Haknesset"/>
    <w:basedOn w:val="Cover1-Reshumot"/>
    <w:rsid w:val="00A35036"/>
    <w:rPr>
      <w:b/>
      <w:bCs/>
      <w:spacing w:val="60"/>
    </w:rPr>
  </w:style>
  <w:style w:type="paragraph" w:customStyle="1" w:styleId="Cover4-Date">
    <w:name w:val="Cover 4-Date"/>
    <w:basedOn w:val="a"/>
    <w:rsid w:val="00A35036"/>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A35036"/>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A35036"/>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A35036"/>
    <w:pPr>
      <w:spacing w:before="120" w:after="120"/>
    </w:pPr>
    <w:rPr>
      <w:color w:val="FF0000"/>
      <w:w w:val="80"/>
    </w:rPr>
  </w:style>
  <w:style w:type="paragraph" w:styleId="a3">
    <w:name w:val="endnote text"/>
    <w:basedOn w:val="a"/>
    <w:semiHidden/>
    <w:rsid w:val="00A35036"/>
    <w:pPr>
      <w:ind w:left="227" w:hanging="227"/>
    </w:pPr>
    <w:rPr>
      <w:sz w:val="14"/>
      <w:szCs w:val="22"/>
    </w:rPr>
  </w:style>
  <w:style w:type="paragraph" w:customStyle="1" w:styleId="TableText">
    <w:name w:val="Table Text"/>
    <w:basedOn w:val="a"/>
    <w:rsid w:val="00A35036"/>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A35036"/>
    <w:pPr>
      <w:outlineLvl w:val="2"/>
    </w:pPr>
  </w:style>
  <w:style w:type="paragraph" w:customStyle="1" w:styleId="TableBlock">
    <w:name w:val="Table Block"/>
    <w:basedOn w:val="TableText"/>
    <w:rsid w:val="00A35036"/>
    <w:pPr>
      <w:jc w:val="both"/>
    </w:pPr>
  </w:style>
  <w:style w:type="paragraph" w:customStyle="1" w:styleId="TableHead">
    <w:name w:val="Table Head"/>
    <w:basedOn w:val="TableText"/>
    <w:rsid w:val="00A35036"/>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A35036"/>
    <w:pPr>
      <w:outlineLvl w:val="9"/>
    </w:pPr>
  </w:style>
  <w:style w:type="paragraph" w:customStyle="1" w:styleId="Hesber">
    <w:name w:val="Hesber"/>
    <w:basedOn w:val="a"/>
    <w:rsid w:val="00A35036"/>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A35036"/>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A35036"/>
    <w:rPr>
      <w:vertAlign w:val="superscript"/>
    </w:rPr>
  </w:style>
  <w:style w:type="paragraph" w:customStyle="1" w:styleId="HesberHeading">
    <w:name w:val="Hesber Heading"/>
    <w:basedOn w:val="Hesber"/>
    <w:rsid w:val="00A35036"/>
    <w:pPr>
      <w:tabs>
        <w:tab w:val="left" w:pos="624"/>
        <w:tab w:val="left" w:pos="1247"/>
      </w:tabs>
    </w:pPr>
    <w:rPr>
      <w:b/>
      <w:bCs/>
    </w:rPr>
  </w:style>
  <w:style w:type="paragraph" w:customStyle="1" w:styleId="HesberWriters">
    <w:name w:val="Hesber Writers"/>
    <w:basedOn w:val="Hesber"/>
    <w:rsid w:val="00A35036"/>
    <w:pPr>
      <w:spacing w:before="120" w:after="120"/>
      <w:ind w:left="1418"/>
      <w:jc w:val="right"/>
    </w:pPr>
    <w:rPr>
      <w:b/>
      <w:bCs/>
    </w:rPr>
  </w:style>
  <w:style w:type="paragraph" w:customStyle="1" w:styleId="Hesber1st">
    <w:name w:val="Hesber 1st"/>
    <w:basedOn w:val="Hesber"/>
    <w:rsid w:val="00A35036"/>
    <w:pPr>
      <w:tabs>
        <w:tab w:val="left" w:pos="680"/>
        <w:tab w:val="left" w:pos="1020"/>
      </w:tabs>
      <w:ind w:firstLine="0"/>
    </w:pPr>
  </w:style>
  <w:style w:type="character" w:styleId="a6">
    <w:name w:val="endnote reference"/>
    <w:basedOn w:val="a0"/>
    <w:semiHidden/>
    <w:rsid w:val="00A35036"/>
    <w:rPr>
      <w:vertAlign w:val="superscript"/>
    </w:rPr>
  </w:style>
  <w:style w:type="paragraph" w:customStyle="1" w:styleId="TableBlockOutdent">
    <w:name w:val="Table BlockOutdent"/>
    <w:basedOn w:val="TableBlock"/>
    <w:rsid w:val="00A35036"/>
    <w:pPr>
      <w:ind w:left="624" w:hanging="624"/>
    </w:pPr>
  </w:style>
  <w:style w:type="paragraph" w:styleId="a7">
    <w:name w:val="header"/>
    <w:basedOn w:val="a"/>
    <w:rsid w:val="00A35036"/>
    <w:pPr>
      <w:tabs>
        <w:tab w:val="center" w:pos="4153"/>
        <w:tab w:val="right" w:pos="8306"/>
      </w:tabs>
    </w:pPr>
  </w:style>
  <w:style w:type="paragraph" w:styleId="a8">
    <w:name w:val="footer"/>
    <w:basedOn w:val="a"/>
    <w:rsid w:val="00A35036"/>
    <w:pPr>
      <w:tabs>
        <w:tab w:val="center" w:pos="4153"/>
        <w:tab w:val="right" w:pos="8306"/>
      </w:tabs>
    </w:pPr>
  </w:style>
  <w:style w:type="paragraph" w:customStyle="1" w:styleId="HeadDivreiHesber">
    <w:name w:val="Head DivreiHesber"/>
    <w:basedOn w:val="a"/>
    <w:rsid w:val="00A35036"/>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A35036"/>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A35036"/>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A35036"/>
    <w:rPr>
      <w:rFonts w:asciiTheme="majorHAnsi" w:eastAsiaTheme="majorEastAsia" w:hAnsiTheme="majorHAnsi" w:cs="David"/>
      <w:bCs/>
      <w:sz w:val="32"/>
      <w:szCs w:val="36"/>
    </w:rPr>
  </w:style>
  <w:style w:type="character" w:customStyle="1" w:styleId="20">
    <w:name w:val="כותרת 2 תו"/>
    <w:basedOn w:val="a0"/>
    <w:link w:val="2"/>
    <w:rsid w:val="00A35036"/>
    <w:rPr>
      <w:rFonts w:asciiTheme="majorHAnsi" w:eastAsiaTheme="majorEastAsia" w:hAnsiTheme="majorHAnsi" w:cs="David"/>
      <w:bCs/>
      <w:sz w:val="26"/>
      <w:szCs w:val="36"/>
      <w:u w:val="single"/>
    </w:rPr>
  </w:style>
  <w:style w:type="character" w:customStyle="1" w:styleId="30">
    <w:name w:val="כותרת 3 תו"/>
    <w:basedOn w:val="a0"/>
    <w:link w:val="3"/>
    <w:rsid w:val="00A35036"/>
    <w:rPr>
      <w:rFonts w:asciiTheme="majorHAnsi" w:eastAsiaTheme="majorEastAsia" w:hAnsiTheme="majorHAnsi" w:cs="David"/>
      <w:sz w:val="24"/>
      <w:szCs w:val="28"/>
      <w:u w:val="double"/>
    </w:rPr>
  </w:style>
  <w:style w:type="character" w:customStyle="1" w:styleId="40">
    <w:name w:val="כותרת 4 תו"/>
    <w:basedOn w:val="a0"/>
    <w:link w:val="4"/>
    <w:uiPriority w:val="9"/>
    <w:rsid w:val="00A35036"/>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A35036"/>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A35036"/>
    <w:pPr>
      <w:widowControl/>
      <w:spacing w:before="120" w:after="120"/>
      <w:outlineLvl w:val="9"/>
    </w:pPr>
    <w:rPr>
      <w:rtl/>
      <w:cs/>
    </w:rPr>
  </w:style>
  <w:style w:type="paragraph" w:styleId="TOC1">
    <w:name w:val="toc 1"/>
    <w:basedOn w:val="a"/>
    <w:next w:val="a"/>
    <w:autoRedefine/>
    <w:uiPriority w:val="39"/>
    <w:unhideWhenUsed/>
    <w:rsid w:val="00A35036"/>
    <w:pPr>
      <w:tabs>
        <w:tab w:val="right" w:leader="dot" w:pos="9629"/>
      </w:tabs>
      <w:spacing w:after="100"/>
    </w:pPr>
    <w:rPr>
      <w:bCs/>
      <w:szCs w:val="22"/>
    </w:rPr>
  </w:style>
  <w:style w:type="paragraph" w:styleId="TOC2">
    <w:name w:val="toc 2"/>
    <w:basedOn w:val="a"/>
    <w:next w:val="a"/>
    <w:uiPriority w:val="39"/>
    <w:unhideWhenUsed/>
    <w:rsid w:val="00A35036"/>
    <w:pPr>
      <w:tabs>
        <w:tab w:val="right" w:leader="dot" w:pos="9628"/>
      </w:tabs>
      <w:spacing w:after="100"/>
    </w:pPr>
    <w:rPr>
      <w:szCs w:val="22"/>
    </w:rPr>
  </w:style>
  <w:style w:type="character" w:styleId="Hyperlink">
    <w:name w:val="Hyperlink"/>
    <w:basedOn w:val="a0"/>
    <w:uiPriority w:val="99"/>
    <w:unhideWhenUsed/>
    <w:rsid w:val="00A35036"/>
    <w:rPr>
      <w:color w:val="0000FF" w:themeColor="hyperlink"/>
      <w:u w:val="single"/>
    </w:rPr>
  </w:style>
  <w:style w:type="paragraph" w:styleId="TOC3">
    <w:name w:val="toc 3"/>
    <w:basedOn w:val="a"/>
    <w:next w:val="a"/>
    <w:uiPriority w:val="39"/>
    <w:unhideWhenUsed/>
    <w:rsid w:val="00A35036"/>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A35036"/>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A35036"/>
    <w:pPr>
      <w:tabs>
        <w:tab w:val="right" w:leader="dot" w:pos="9628"/>
      </w:tabs>
      <w:spacing w:after="100"/>
      <w:ind w:left="567"/>
    </w:pPr>
    <w:rPr>
      <w:szCs w:val="22"/>
    </w:rPr>
  </w:style>
  <w:style w:type="paragraph" w:styleId="TOC6">
    <w:name w:val="toc 6"/>
    <w:basedOn w:val="a"/>
    <w:next w:val="a"/>
    <w:autoRedefine/>
    <w:semiHidden/>
    <w:unhideWhenUsed/>
    <w:rsid w:val="00A35036"/>
    <w:pPr>
      <w:spacing w:after="100"/>
      <w:ind w:left="850"/>
    </w:pPr>
  </w:style>
  <w:style w:type="paragraph" w:styleId="TOC7">
    <w:name w:val="toc 7"/>
    <w:basedOn w:val="a"/>
    <w:next w:val="a"/>
    <w:autoRedefine/>
    <w:semiHidden/>
    <w:unhideWhenUsed/>
    <w:rsid w:val="00A35036"/>
    <w:pPr>
      <w:spacing w:after="100"/>
      <w:ind w:left="1020"/>
    </w:pPr>
  </w:style>
  <w:style w:type="paragraph" w:styleId="TOC8">
    <w:name w:val="toc 8"/>
    <w:basedOn w:val="a"/>
    <w:next w:val="a"/>
    <w:autoRedefine/>
    <w:semiHidden/>
    <w:unhideWhenUsed/>
    <w:rsid w:val="00A35036"/>
    <w:pPr>
      <w:spacing w:after="100"/>
      <w:ind w:left="1190"/>
    </w:pPr>
  </w:style>
  <w:style w:type="paragraph" w:styleId="TOC9">
    <w:name w:val="toc 9"/>
    <w:basedOn w:val="a"/>
    <w:next w:val="a"/>
    <w:autoRedefine/>
    <w:semiHidden/>
    <w:unhideWhenUsed/>
    <w:rsid w:val="00A35036"/>
    <w:pPr>
      <w:spacing w:after="100"/>
      <w:ind w:left="1360"/>
    </w:pPr>
  </w:style>
  <w:style w:type="paragraph" w:customStyle="1" w:styleId="TableHead2">
    <w:name w:val="Table Head2"/>
    <w:basedOn w:val="TableHead"/>
    <w:qFormat/>
    <w:rsid w:val="00A35036"/>
    <w:pPr>
      <w:outlineLvl w:val="9"/>
    </w:pPr>
  </w:style>
  <w:style w:type="paragraph" w:customStyle="1" w:styleId="TableSideHeading2">
    <w:name w:val="Table SideHeading2"/>
    <w:basedOn w:val="TableSideHeading"/>
    <w:autoRedefine/>
    <w:qFormat/>
    <w:rsid w:val="00A35036"/>
    <w:pPr>
      <w:keepLines w:val="0"/>
      <w:outlineLvl w:val="9"/>
    </w:pPr>
  </w:style>
  <w:style w:type="paragraph" w:customStyle="1" w:styleId="0">
    <w:name w:val="סגנון שורה ראשונה:  0  ס''מ"/>
    <w:basedOn w:val="2"/>
    <w:rsid w:val="00A35036"/>
    <w:rPr>
      <w:rFonts w:eastAsia="Times New Roman"/>
    </w:rPr>
  </w:style>
  <w:style w:type="paragraph" w:styleId="ae">
    <w:name w:val="List Paragraph"/>
    <w:basedOn w:val="a"/>
    <w:uiPriority w:val="34"/>
    <w:qFormat/>
    <w:rsid w:val="00A35036"/>
    <w:pPr>
      <w:widowControl/>
      <w:spacing w:line="259" w:lineRule="auto"/>
    </w:pPr>
    <w:rPr>
      <w:rFonts w:asciiTheme="minorHAnsi" w:hAnsiTheme="minorHAnsi"/>
      <w:sz w:val="22"/>
    </w:rPr>
  </w:style>
  <w:style w:type="table" w:styleId="af">
    <w:name w:val="Table Grid"/>
    <w:basedOn w:val="a1"/>
    <w:rsid w:val="00A35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A350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A350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A35036"/>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A35036"/>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469E1-0A31-48CD-B16C-B34BC7F4D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290d5b49-c690-4c6f-bbb9-1e50dab33eee"/>
    <ds:schemaRef ds:uri="http://www.w3.org/XML/1998/namespace"/>
  </ds:schemaRefs>
</ds:datastoreItem>
</file>

<file path=customXml/itemProps4.xml><?xml version="1.0" encoding="utf-8"?>
<ds:datastoreItem xmlns:ds="http://schemas.openxmlformats.org/officeDocument/2006/customXml" ds:itemID="{09087375-7FC4-4F6D-95B4-6908856E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747</Words>
  <Characters>3740</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16</cp:revision>
  <cp:lastPrinted>2025-11-16T09:18:00Z</cp:lastPrinted>
  <dcterms:created xsi:type="dcterms:W3CDTF">2015-04-20T09:58:00Z</dcterms:created>
  <dcterms:modified xsi:type="dcterms:W3CDTF">2025-11-16T09:18:00Z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2236458</vt:r8>
  </property>
</Properties>
</file>