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2236116</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יסמין פרידמן</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1D944643" w:rsidR="00E13C27" w:rsidRDefault="0083271A" w:rsidP="0083271A">
      <w:pPr>
        <w:pStyle w:val="David"/>
        <w:spacing w:line="240" w:lineRule="auto"/>
        <w:ind w:left="3600"/>
        <w:rPr>
          <w:rtl/>
        </w:rPr>
      </w:pPr>
      <w:r>
        <w:t xml:space="preserve">     </w:t>
      </w:r>
      <w:r w:rsidR="00904591">
        <w:t xml:space="preserve">                                            </w:t>
      </w:r>
      <w:r w:rsidR="008F1308">
        <w:t xml:space="preserve"> </w:t>
      </w:r>
      <w:bookmarkStart w:id="6" w:name="Private_Number"/>
      <w:r w:rsidR="00904591">
        <w:rPr>
          <w:rFonts w:hint="cs"/>
          <w:rtl/>
        </w:rPr>
        <w:t>פ/6261/25</w:t>
      </w:r>
      <w:bookmarkEnd w:id="6"/>
    </w:p>
    <w:p w14:paraId="424A2C69" w14:textId="77777777" w:rsidR="0083271A" w:rsidRDefault="00A443CF" w:rsidP="0021633A">
      <w:pPr>
        <w:pStyle w:val="HeadHatzaotHok"/>
        <w:rPr>
          <w:rtl/>
        </w:rPr>
      </w:pPr>
      <w:bookmarkStart w:id="7" w:name="LGS_Subject"/>
      <w:r>
        <w:rPr>
          <w:rFonts w:hint="cs"/>
          <w:rtl/>
        </w:rPr>
        <w:t xml:space="preserve">הצעת חוק צער בעלי חיים (ניסויים בבעלי חיים) (תיקון – הגברת </w:t>
      </w:r>
      <w:r w:rsidR="0083271A">
        <w:rPr>
          <w:rFonts w:hint="cs"/>
          <w:rtl/>
        </w:rPr>
        <w:t xml:space="preserve">הפיקוח על ניסויים), </w:t>
      </w:r>
    </w:p>
    <w:p w14:paraId="7F6961AD" w14:textId="5C584B36" w:rsidR="00E13C27" w:rsidRPr="00F67051" w:rsidRDefault="00A443CF" w:rsidP="0021633A">
      <w:pPr>
        <w:pStyle w:val="HeadHatzaotHok"/>
        <w:rPr>
          <w:rtl/>
        </w:rPr>
      </w:pPr>
      <w:r>
        <w:rPr>
          <w:rFonts w:hint="cs"/>
          <w:rtl/>
        </w:rPr>
        <w:t>התשפ"ו–2025</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19"/>
      </w:tblGrid>
      <w:tr w:rsidR="00131A19" w14:paraId="14F2AB41" w14:textId="77777777" w:rsidTr="0083271A">
        <w:trPr>
          <w:cantSplit/>
        </w:trPr>
        <w:tc>
          <w:tcPr>
            <w:tcW w:w="1871" w:type="dxa"/>
          </w:tcPr>
          <w:p w14:paraId="501D1E77" w14:textId="77777777" w:rsidR="00131A19" w:rsidRDefault="00131A19" w:rsidP="00895DA3">
            <w:pPr>
              <w:pStyle w:val="TableSideHeading"/>
              <w:keepLines w:val="0"/>
            </w:pPr>
            <w:r w:rsidRPr="00552F88">
              <w:rPr>
                <w:rtl/>
              </w:rPr>
              <w:t>תיקון סעיף 2</w:t>
            </w:r>
          </w:p>
        </w:tc>
        <w:tc>
          <w:tcPr>
            <w:tcW w:w="624" w:type="dxa"/>
          </w:tcPr>
          <w:p w14:paraId="0826A8C8" w14:textId="77777777" w:rsidR="00131A19" w:rsidRDefault="00131A19" w:rsidP="00895DA3">
            <w:pPr>
              <w:pStyle w:val="TableText"/>
              <w:keepLines w:val="0"/>
            </w:pPr>
            <w:r>
              <w:rPr>
                <w:rFonts w:hint="cs"/>
                <w:rtl/>
              </w:rPr>
              <w:t>1.</w:t>
            </w:r>
          </w:p>
        </w:tc>
        <w:tc>
          <w:tcPr>
            <w:tcW w:w="7143" w:type="dxa"/>
            <w:gridSpan w:val="2"/>
          </w:tcPr>
          <w:p w14:paraId="4E25A333" w14:textId="77777777" w:rsidR="00131A19" w:rsidRPr="00552F88" w:rsidRDefault="00131A19" w:rsidP="0083271A">
            <w:pPr>
              <w:pStyle w:val="TableBlock"/>
              <w:rPr>
                <w:b/>
                <w:bCs/>
              </w:rPr>
            </w:pPr>
            <w:r w:rsidRPr="00552F88">
              <w:rPr>
                <w:rtl/>
              </w:rPr>
              <w:t>בחוק צער בעלי חיים (ניסויים בבעלי חיים), התשנ"ד–1994</w:t>
            </w:r>
            <w:r w:rsidRPr="0083271A">
              <w:rPr>
                <w:rStyle w:val="a6"/>
                <w:rFonts w:ascii="David" w:hAnsi="David"/>
                <w:sz w:val="26"/>
                <w:rtl/>
              </w:rPr>
              <w:footnoteReference w:id="2"/>
            </w:r>
            <w:r w:rsidRPr="00552F88">
              <w:rPr>
                <w:rtl/>
              </w:rPr>
              <w:t xml:space="preserve"> (להלן – החוק העיקרי), בסעיף 2 –</w:t>
            </w:r>
          </w:p>
        </w:tc>
      </w:tr>
      <w:tr w:rsidR="00131A19" w14:paraId="0D619FB4" w14:textId="77777777" w:rsidTr="0083271A">
        <w:trPr>
          <w:cantSplit/>
        </w:trPr>
        <w:tc>
          <w:tcPr>
            <w:tcW w:w="1871" w:type="dxa"/>
          </w:tcPr>
          <w:p w14:paraId="3CA09A48" w14:textId="77777777" w:rsidR="00131A19" w:rsidRDefault="00131A19" w:rsidP="00895DA3">
            <w:pPr>
              <w:pStyle w:val="TableSideHeading"/>
              <w:keepLines w:val="0"/>
            </w:pPr>
          </w:p>
        </w:tc>
        <w:tc>
          <w:tcPr>
            <w:tcW w:w="624" w:type="dxa"/>
          </w:tcPr>
          <w:p w14:paraId="784B8270" w14:textId="77777777" w:rsidR="00131A19" w:rsidRDefault="00131A19" w:rsidP="00895DA3">
            <w:pPr>
              <w:pStyle w:val="TableText"/>
              <w:keepLines w:val="0"/>
            </w:pPr>
          </w:p>
        </w:tc>
        <w:tc>
          <w:tcPr>
            <w:tcW w:w="7143" w:type="dxa"/>
            <w:gridSpan w:val="2"/>
          </w:tcPr>
          <w:p w14:paraId="03D7EB11" w14:textId="72E6749C" w:rsidR="00131A19" w:rsidRPr="00C34DE2" w:rsidRDefault="0083271A" w:rsidP="0074358F">
            <w:pPr>
              <w:pStyle w:val="TableBlock"/>
            </w:pPr>
            <w:r>
              <w:rPr>
                <w:rFonts w:hint="cs"/>
                <w:sz w:val="26"/>
                <w:rtl/>
              </w:rPr>
              <w:t>(1)</w:t>
            </w:r>
            <w:r>
              <w:rPr>
                <w:sz w:val="26"/>
                <w:rtl/>
              </w:rPr>
              <w:tab/>
            </w:r>
            <w:r w:rsidR="00131A19">
              <w:rPr>
                <w:sz w:val="26"/>
                <w:rtl/>
              </w:rPr>
              <w:t xml:space="preserve">בסעיף קטן (א), </w:t>
            </w:r>
            <w:r w:rsidR="0074358F">
              <w:rPr>
                <w:sz w:val="26"/>
                <w:rtl/>
              </w:rPr>
              <w:t>במקום "23" יבוא "26"</w:t>
            </w:r>
            <w:r w:rsidR="00131A19">
              <w:rPr>
                <w:sz w:val="26"/>
                <w:rtl/>
              </w:rPr>
              <w:t xml:space="preserve"> </w:t>
            </w:r>
            <w:r w:rsidR="000C30A3">
              <w:rPr>
                <w:rFonts w:hint="cs"/>
                <w:sz w:val="26"/>
                <w:rtl/>
              </w:rPr>
              <w:t>ו</w:t>
            </w:r>
            <w:bookmarkStart w:id="8" w:name="_GoBack"/>
            <w:bookmarkEnd w:id="8"/>
            <w:r w:rsidR="00131A19">
              <w:rPr>
                <w:sz w:val="26"/>
                <w:rtl/>
              </w:rPr>
              <w:t xml:space="preserve">במקום "שלושה </w:t>
            </w:r>
            <w:r w:rsidR="00131A19">
              <w:rPr>
                <w:rFonts w:hint="cs"/>
                <w:sz w:val="26"/>
                <w:rtl/>
              </w:rPr>
              <w:t xml:space="preserve">נציגים שהומלצו" </w:t>
            </w:r>
            <w:r w:rsidR="00131A19">
              <w:rPr>
                <w:sz w:val="26"/>
                <w:rtl/>
              </w:rPr>
              <w:t>יבוא "שישה</w:t>
            </w:r>
            <w:r w:rsidR="00131A19">
              <w:rPr>
                <w:rFonts w:hint="cs"/>
                <w:sz w:val="26"/>
                <w:rtl/>
              </w:rPr>
              <w:t xml:space="preserve"> נציגים שהומלצו</w:t>
            </w:r>
            <w:r w:rsidR="00131A19">
              <w:rPr>
                <w:sz w:val="26"/>
                <w:rtl/>
              </w:rPr>
              <w:t>";</w:t>
            </w:r>
          </w:p>
        </w:tc>
      </w:tr>
      <w:tr w:rsidR="00131A19" w14:paraId="010AAD14" w14:textId="77777777" w:rsidTr="0083271A">
        <w:trPr>
          <w:cantSplit/>
        </w:trPr>
        <w:tc>
          <w:tcPr>
            <w:tcW w:w="1871" w:type="dxa"/>
          </w:tcPr>
          <w:p w14:paraId="75387C87" w14:textId="77777777" w:rsidR="00131A19" w:rsidRDefault="00131A19" w:rsidP="00895DA3">
            <w:pPr>
              <w:pStyle w:val="TableSideHeading"/>
              <w:keepLines w:val="0"/>
            </w:pPr>
          </w:p>
        </w:tc>
        <w:tc>
          <w:tcPr>
            <w:tcW w:w="624" w:type="dxa"/>
          </w:tcPr>
          <w:p w14:paraId="130E3378" w14:textId="77777777" w:rsidR="00131A19" w:rsidRDefault="00131A19" w:rsidP="00895DA3">
            <w:pPr>
              <w:pStyle w:val="TableText"/>
            </w:pPr>
          </w:p>
        </w:tc>
        <w:tc>
          <w:tcPr>
            <w:tcW w:w="7143" w:type="dxa"/>
            <w:gridSpan w:val="2"/>
          </w:tcPr>
          <w:p w14:paraId="22D92FC7" w14:textId="1516542E" w:rsidR="00131A19" w:rsidRDefault="0083271A" w:rsidP="0083271A">
            <w:pPr>
              <w:pStyle w:val="TableBlock"/>
              <w:rPr>
                <w:sz w:val="26"/>
                <w:rtl/>
              </w:rPr>
            </w:pPr>
            <w:r>
              <w:rPr>
                <w:rFonts w:hint="cs"/>
                <w:sz w:val="26"/>
                <w:rtl/>
              </w:rPr>
              <w:t>(2)</w:t>
            </w:r>
            <w:r>
              <w:rPr>
                <w:sz w:val="26"/>
                <w:rtl/>
              </w:rPr>
              <w:tab/>
            </w:r>
            <w:r w:rsidR="00131A19">
              <w:rPr>
                <w:sz w:val="26"/>
                <w:rtl/>
              </w:rPr>
              <w:t>במקום סעיף קטן (ה) יבוא:</w:t>
            </w:r>
          </w:p>
        </w:tc>
      </w:tr>
      <w:tr w:rsidR="00131A19" w14:paraId="3ABB6135" w14:textId="77777777" w:rsidTr="0083271A">
        <w:trPr>
          <w:cantSplit/>
        </w:trPr>
        <w:tc>
          <w:tcPr>
            <w:tcW w:w="1871" w:type="dxa"/>
          </w:tcPr>
          <w:p w14:paraId="119E8C32" w14:textId="77777777" w:rsidR="00131A19" w:rsidRDefault="00131A19" w:rsidP="00895DA3">
            <w:pPr>
              <w:pStyle w:val="TableSideHeading"/>
            </w:pPr>
          </w:p>
        </w:tc>
        <w:tc>
          <w:tcPr>
            <w:tcW w:w="624" w:type="dxa"/>
          </w:tcPr>
          <w:p w14:paraId="0A7508ED" w14:textId="77777777" w:rsidR="00131A19" w:rsidRDefault="00131A19" w:rsidP="00895DA3">
            <w:pPr>
              <w:pStyle w:val="TableText"/>
            </w:pPr>
          </w:p>
        </w:tc>
        <w:tc>
          <w:tcPr>
            <w:tcW w:w="624" w:type="dxa"/>
          </w:tcPr>
          <w:p w14:paraId="46E411E6" w14:textId="77777777" w:rsidR="00131A19" w:rsidRDefault="00131A19" w:rsidP="00895DA3">
            <w:pPr>
              <w:pStyle w:val="TableText"/>
            </w:pPr>
          </w:p>
        </w:tc>
        <w:tc>
          <w:tcPr>
            <w:tcW w:w="6519" w:type="dxa"/>
          </w:tcPr>
          <w:p w14:paraId="368F83AD" w14:textId="77777777" w:rsidR="00131A19" w:rsidRDefault="00131A19" w:rsidP="0083271A">
            <w:pPr>
              <w:pStyle w:val="TableBlock"/>
            </w:pPr>
            <w:r>
              <w:rPr>
                <w:sz w:val="26"/>
                <w:rtl/>
              </w:rPr>
              <w:t>"(ה)</w:t>
            </w:r>
            <w:r>
              <w:rPr>
                <w:sz w:val="26"/>
                <w:rtl/>
              </w:rPr>
              <w:tab/>
              <w:t>השר ימנה שופט בית משפט מחוזי או שופט בית המשפט העליון בדימוס ליושב ראש המועצה."</w:t>
            </w:r>
          </w:p>
        </w:tc>
      </w:tr>
      <w:tr w:rsidR="00131A19" w14:paraId="3B8525BB" w14:textId="77777777" w:rsidTr="0083271A">
        <w:trPr>
          <w:cantSplit/>
        </w:trPr>
        <w:tc>
          <w:tcPr>
            <w:tcW w:w="1871" w:type="dxa"/>
          </w:tcPr>
          <w:p w14:paraId="418D1488" w14:textId="77777777" w:rsidR="00131A19" w:rsidRDefault="00131A19" w:rsidP="00895DA3">
            <w:pPr>
              <w:pStyle w:val="TableSideHeading"/>
            </w:pPr>
            <w:r>
              <w:rPr>
                <w:sz w:val="26"/>
                <w:rtl/>
              </w:rPr>
              <w:t>תיקון סעיף 14</w:t>
            </w:r>
          </w:p>
        </w:tc>
        <w:tc>
          <w:tcPr>
            <w:tcW w:w="624" w:type="dxa"/>
          </w:tcPr>
          <w:p w14:paraId="5C597CEC" w14:textId="77777777" w:rsidR="00131A19" w:rsidRDefault="00131A19" w:rsidP="00895DA3">
            <w:pPr>
              <w:pStyle w:val="TableText"/>
            </w:pPr>
            <w:r>
              <w:rPr>
                <w:rFonts w:hint="cs"/>
                <w:rtl/>
              </w:rPr>
              <w:t>2.</w:t>
            </w:r>
          </w:p>
        </w:tc>
        <w:tc>
          <w:tcPr>
            <w:tcW w:w="7143" w:type="dxa"/>
            <w:gridSpan w:val="2"/>
          </w:tcPr>
          <w:p w14:paraId="701A4991" w14:textId="77777777" w:rsidR="00131A19" w:rsidRPr="00C34DE2" w:rsidRDefault="00131A19" w:rsidP="0083271A">
            <w:pPr>
              <w:pStyle w:val="TableBlock"/>
            </w:pPr>
            <w:r>
              <w:rPr>
                <w:sz w:val="26"/>
                <w:rtl/>
              </w:rPr>
              <w:t>בסעיף 14 לחוק העיקרי, אחרי סעיף קטן (א) יבוא:</w:t>
            </w:r>
          </w:p>
        </w:tc>
      </w:tr>
      <w:tr w:rsidR="00131A19" w14:paraId="56C9C0C1" w14:textId="77777777" w:rsidTr="0083271A">
        <w:trPr>
          <w:cantSplit/>
        </w:trPr>
        <w:tc>
          <w:tcPr>
            <w:tcW w:w="1871" w:type="dxa"/>
          </w:tcPr>
          <w:p w14:paraId="7E0539B1" w14:textId="77777777" w:rsidR="00131A19" w:rsidRDefault="00131A19" w:rsidP="00895DA3">
            <w:pPr>
              <w:pStyle w:val="TableSideHeading"/>
              <w:rPr>
                <w:rtl/>
              </w:rPr>
            </w:pPr>
          </w:p>
        </w:tc>
        <w:tc>
          <w:tcPr>
            <w:tcW w:w="624" w:type="dxa"/>
          </w:tcPr>
          <w:p w14:paraId="29833570" w14:textId="77777777" w:rsidR="00131A19" w:rsidRDefault="00131A19" w:rsidP="00895DA3">
            <w:pPr>
              <w:pStyle w:val="TableText"/>
            </w:pPr>
          </w:p>
        </w:tc>
        <w:tc>
          <w:tcPr>
            <w:tcW w:w="7143" w:type="dxa"/>
            <w:gridSpan w:val="2"/>
          </w:tcPr>
          <w:p w14:paraId="29A5C029" w14:textId="77777777" w:rsidR="00131A19" w:rsidRDefault="00131A19" w:rsidP="0083271A">
            <w:pPr>
              <w:pStyle w:val="TableBlock"/>
              <w:rPr>
                <w:sz w:val="26"/>
                <w:rtl/>
              </w:rPr>
            </w:pPr>
            <w:r>
              <w:rPr>
                <w:sz w:val="26"/>
                <w:rtl/>
              </w:rPr>
              <w:t>"(א1)</w:t>
            </w:r>
            <w:r>
              <w:rPr>
                <w:sz w:val="26"/>
                <w:rtl/>
              </w:rPr>
              <w:tab/>
              <w:t>כל ועדה פנימית תכלול נציג של המועצה שימונה על ידי המועצה מתוך קבוצת וטרינרים שיוכשרו במזעור סבל ובמניעת עריכתם של ניסויים מיותרים; המועצה תשלם את שכרו של נציגה בוועדה הפנימית."</w:t>
            </w:r>
          </w:p>
        </w:tc>
      </w:tr>
    </w:tbl>
    <w:p w14:paraId="7F6961AE" w14:textId="77777777" w:rsidR="00E13C27" w:rsidRPr="00131A19" w:rsidRDefault="00E13C27" w:rsidP="00131A19">
      <w:pPr>
        <w:pStyle w:val="HeadDivreiHesber"/>
        <w:spacing w:before="0" w:after="0"/>
        <w:jc w:val="both"/>
        <w:rPr>
          <w:rtl/>
        </w:rPr>
      </w:pPr>
    </w:p>
    <w:p w14:paraId="7F6961CA" w14:textId="77777777" w:rsidR="002D1EE3" w:rsidRDefault="002D1EE3" w:rsidP="002D1EE3">
      <w:pPr>
        <w:pStyle w:val="HeadDivreiHesber"/>
        <w:rPr>
          <w:rtl/>
        </w:rPr>
      </w:pPr>
      <w:r w:rsidRPr="0027450A">
        <w:rPr>
          <w:rFonts w:hint="cs"/>
          <w:rtl/>
        </w:rPr>
        <w:t>דברי הסבר</w:t>
      </w:r>
    </w:p>
    <w:p w14:paraId="303983E7" w14:textId="02CDD01D" w:rsidR="00131A19" w:rsidRDefault="00131A19" w:rsidP="0074358F">
      <w:pPr>
        <w:pStyle w:val="Hesber"/>
        <w:rPr>
          <w:sz w:val="26"/>
          <w:rtl/>
        </w:rPr>
      </w:pPr>
      <w:r>
        <w:rPr>
          <w:sz w:val="26"/>
          <w:rtl/>
        </w:rPr>
        <w:t xml:space="preserve">במועצה </w:t>
      </w:r>
      <w:r w:rsidR="00303E8A">
        <w:rPr>
          <w:rFonts w:hint="cs"/>
          <w:sz w:val="26"/>
          <w:rtl/>
        </w:rPr>
        <w:t>לניסויים</w:t>
      </w:r>
      <w:r>
        <w:rPr>
          <w:sz w:val="26"/>
          <w:rtl/>
        </w:rPr>
        <w:t xml:space="preserve"> בבעלי חיים </w:t>
      </w:r>
      <w:r>
        <w:rPr>
          <w:rFonts w:hint="cs"/>
          <w:sz w:val="26"/>
          <w:rtl/>
        </w:rPr>
        <w:t xml:space="preserve">לפי חוק צער בעלי חיים (ניסויים בבעלי חיים), התשנ"ד–1994 (להלן – </w:t>
      </w:r>
      <w:r w:rsidR="0074358F">
        <w:rPr>
          <w:rFonts w:hint="cs"/>
          <w:sz w:val="26"/>
          <w:rtl/>
        </w:rPr>
        <w:t>המועצה והחוק, בהתאמה</w:t>
      </w:r>
      <w:r>
        <w:rPr>
          <w:rFonts w:hint="cs"/>
          <w:sz w:val="26"/>
          <w:rtl/>
        </w:rPr>
        <w:t xml:space="preserve">), </w:t>
      </w:r>
      <w:r>
        <w:rPr>
          <w:sz w:val="26"/>
          <w:rtl/>
        </w:rPr>
        <w:t xml:space="preserve">ישנם כיום שלושה חברים בלבד שהם נציגי ארגונים להגנת בעלי חיים (מתוך </w:t>
      </w:r>
      <w:r w:rsidR="00303E8A">
        <w:rPr>
          <w:rFonts w:hint="cs"/>
          <w:sz w:val="26"/>
          <w:rtl/>
        </w:rPr>
        <w:t>23</w:t>
      </w:r>
      <w:r>
        <w:rPr>
          <w:sz w:val="26"/>
          <w:rtl/>
        </w:rPr>
        <w:t xml:space="preserve"> חברים במועצה). מצב זה מעמיד את נציגי הארגונים למען בעלי החיים בעמדת מיעוט קבועה בכל הצבעה, כאשר נציגי המדענים מהווים את הרוב במועצה. בנוסף, לתפקיד החשוב של יו</w:t>
      </w:r>
      <w:r>
        <w:rPr>
          <w:rFonts w:hint="cs"/>
          <w:sz w:val="26"/>
          <w:rtl/>
        </w:rPr>
        <w:t xml:space="preserve">שב ראש </w:t>
      </w:r>
      <w:r>
        <w:rPr>
          <w:sz w:val="26"/>
          <w:rtl/>
        </w:rPr>
        <w:t xml:space="preserve">המועצה, הקובע את מועדי הישיבות, את סדר יומן ואת דרך ניהולן, מתמנה מדען, נציג האקדמיה הלאומית למדעים. הצעת חוק זו נועדה להגדיל את מספר נציגי הארגונים למען בעלי החיים החברים במועצה, משלושה לשישה, ולקבוע כי </w:t>
      </w:r>
      <w:r w:rsidR="00303E8A">
        <w:rPr>
          <w:sz w:val="26"/>
          <w:rtl/>
        </w:rPr>
        <w:t xml:space="preserve">יושב ראש הוועדה, הממונה על ידי </w:t>
      </w:r>
      <w:r>
        <w:rPr>
          <w:sz w:val="26"/>
          <w:rtl/>
        </w:rPr>
        <w:t>שר</w:t>
      </w:r>
      <w:r w:rsidR="00303E8A">
        <w:rPr>
          <w:rFonts w:hint="cs"/>
          <w:sz w:val="26"/>
          <w:rtl/>
        </w:rPr>
        <w:t xml:space="preserve"> הבריאות</w:t>
      </w:r>
      <w:r>
        <w:rPr>
          <w:sz w:val="26"/>
          <w:rtl/>
        </w:rPr>
        <w:t xml:space="preserve">, יהיה שופט בית משפט מחוזי או שופט בית המשפט העליון בדימוס, וזאת במטרה לאפשר את הגברת הפיקוח על ניסויים בבעלי </w:t>
      </w:r>
      <w:r>
        <w:rPr>
          <w:sz w:val="26"/>
          <w:rtl/>
        </w:rPr>
        <w:lastRenderedPageBreak/>
        <w:t xml:space="preserve">חיים ולהבטיח אובייקטיביות רבה יותר בהתנהלות המועצה.               </w:t>
      </w:r>
    </w:p>
    <w:p w14:paraId="29860B63" w14:textId="50FA9998" w:rsidR="00131A19" w:rsidRDefault="00131A19" w:rsidP="008C3D21">
      <w:pPr>
        <w:pStyle w:val="Hesber"/>
        <w:rPr>
          <w:sz w:val="26"/>
          <w:rtl/>
        </w:rPr>
      </w:pPr>
      <w:r>
        <w:rPr>
          <w:rFonts w:hint="cs"/>
          <w:sz w:val="26"/>
          <w:rtl/>
        </w:rPr>
        <w:t xml:space="preserve">בנוסף, </w:t>
      </w:r>
      <w:r>
        <w:rPr>
          <w:sz w:val="26"/>
          <w:rtl/>
        </w:rPr>
        <w:t>קיומן של הוועדות הפנימיות לאישור ניסויים במוסדות העורכים ניסויים בבעלי</w:t>
      </w:r>
      <w:r>
        <w:rPr>
          <w:rFonts w:hint="cs"/>
          <w:sz w:val="26"/>
          <w:rtl/>
        </w:rPr>
        <w:t xml:space="preserve"> </w:t>
      </w:r>
      <w:r>
        <w:rPr>
          <w:sz w:val="26"/>
          <w:rtl/>
        </w:rPr>
        <w:t>חיים, יוצר היום מצב שבו המוסד העורך ניסוי, מאשר אותו למעשה בעצמו, בלא שמתקיימת בקרה של המועצה, המקבלת דיווח על הניסוי רק חצי שנה לאחר מכן. לשם הגברת הפיקוח של המועצה על מניעת עריכתם של ניסויים מיותרים ועל הבטחת מזעור הסבל בניסויים שמתבצעים, מוצע להכניס נציג של המועצה לוועדות אלה. נציג זה יהיה וטרינר בעל הכשרה מתאימה שיקבל את שכרו ישירות מהמועצה, באופן שלא תיווצר תלות או זיקה כלשהי בינו ובין המוסד שבוועדה הפנימית שלו הוא יושב. המימון יבוא מאגרות שהמועצה הוסמכה כבר להטילן בחוק הקיים בדיוק למטרה זו של מימון פעולותיה.</w:t>
      </w:r>
    </w:p>
    <w:p w14:paraId="42A95A66" w14:textId="77777777" w:rsidR="0045741F" w:rsidRDefault="00131A19" w:rsidP="0045741F">
      <w:pPr>
        <w:pStyle w:val="Hesber"/>
        <w:rPr>
          <w:sz w:val="26"/>
          <w:rtl/>
        </w:rPr>
      </w:pPr>
      <w:r>
        <w:rPr>
          <w:sz w:val="26"/>
          <w:rtl/>
        </w:rPr>
        <w:t>הצעות חוק זהות הונחו על שולחן הכנסת השבע-עשרה על ידי חבר הכנסת דב חנין וקבוצת חברי הכנסת (פ/1983/17)</w:t>
      </w:r>
      <w:r>
        <w:rPr>
          <w:rFonts w:hint="cs"/>
          <w:sz w:val="26"/>
          <w:rtl/>
        </w:rPr>
        <w:t xml:space="preserve">, </w:t>
      </w:r>
      <w:r>
        <w:rPr>
          <w:sz w:val="26"/>
          <w:rtl/>
        </w:rPr>
        <w:t>על שולחן הכנסת השמונה</w:t>
      </w:r>
      <w:r>
        <w:rPr>
          <w:rFonts w:hint="cs"/>
          <w:sz w:val="26"/>
          <w:rtl/>
        </w:rPr>
        <w:t>-</w:t>
      </w:r>
      <w:r>
        <w:rPr>
          <w:sz w:val="26"/>
          <w:rtl/>
        </w:rPr>
        <w:t>עשרה על ידי חברי הכנסת דב חנין ואיתן כבל (פ/2655/18)</w:t>
      </w:r>
      <w:r>
        <w:rPr>
          <w:rFonts w:hint="cs"/>
          <w:sz w:val="26"/>
          <w:rtl/>
        </w:rPr>
        <w:t xml:space="preserve">, </w:t>
      </w:r>
      <w:r>
        <w:rPr>
          <w:sz w:val="26"/>
          <w:rtl/>
        </w:rPr>
        <w:t>על שולחן הכנסת ה</w:t>
      </w:r>
      <w:r>
        <w:rPr>
          <w:rFonts w:hint="cs"/>
          <w:sz w:val="26"/>
          <w:rtl/>
        </w:rPr>
        <w:t>תשע-</w:t>
      </w:r>
      <w:r>
        <w:rPr>
          <w:sz w:val="26"/>
          <w:rtl/>
        </w:rPr>
        <w:t xml:space="preserve">עשרה </w:t>
      </w:r>
      <w:r>
        <w:rPr>
          <w:rFonts w:hint="cs"/>
          <w:sz w:val="26"/>
          <w:rtl/>
        </w:rPr>
        <w:t xml:space="preserve">ועל שולחן הכנסת העשרים </w:t>
      </w:r>
      <w:r>
        <w:rPr>
          <w:sz w:val="26"/>
          <w:rtl/>
        </w:rPr>
        <w:t xml:space="preserve">על ידי חבר הכנסת דב חנין </w:t>
      </w:r>
      <w:r>
        <w:rPr>
          <w:rFonts w:hint="cs"/>
          <w:sz w:val="26"/>
          <w:rtl/>
        </w:rPr>
        <w:t>וקבוצת חברי הכנסת</w:t>
      </w:r>
      <w:r>
        <w:rPr>
          <w:sz w:val="26"/>
          <w:rtl/>
        </w:rPr>
        <w:t xml:space="preserve"> (פ/2</w:t>
      </w:r>
      <w:r>
        <w:rPr>
          <w:rFonts w:hint="cs"/>
          <w:sz w:val="26"/>
          <w:rtl/>
        </w:rPr>
        <w:t>29</w:t>
      </w:r>
      <w:r>
        <w:rPr>
          <w:sz w:val="26"/>
          <w:rtl/>
        </w:rPr>
        <w:t>/1</w:t>
      </w:r>
      <w:r>
        <w:rPr>
          <w:rFonts w:hint="cs"/>
          <w:sz w:val="26"/>
          <w:rtl/>
        </w:rPr>
        <w:t>9; פ/1213/20)</w:t>
      </w:r>
      <w:r w:rsidR="0045741F">
        <w:rPr>
          <w:rFonts w:hint="cs"/>
          <w:sz w:val="26"/>
          <w:rtl/>
        </w:rPr>
        <w:t>,</w:t>
      </w:r>
      <w:r>
        <w:rPr>
          <w:rFonts w:hint="cs"/>
          <w:sz w:val="26"/>
          <w:rtl/>
        </w:rPr>
        <w:t xml:space="preserve"> על שולחן הכנסת העשרים ושתיים על ידי חבר הכנסת איציק שמולי (פ/1201/22)</w:t>
      </w:r>
      <w:r w:rsidR="0045741F">
        <w:rPr>
          <w:rFonts w:hint="cs"/>
          <w:sz w:val="26"/>
          <w:rtl/>
        </w:rPr>
        <w:t xml:space="preserve"> ועל שולחן הכנסת העשרים וארבע על ידי חברת הכנסת יסמין פרידמן וקבוצת חברי הכנסת</w:t>
      </w:r>
      <w:r w:rsidR="0045741F">
        <w:rPr>
          <w:sz w:val="26"/>
          <w:rtl/>
        </w:rPr>
        <w:t xml:space="preserve"> (פ/</w:t>
      </w:r>
      <w:r w:rsidR="0045741F">
        <w:rPr>
          <w:rFonts w:hint="cs"/>
          <w:sz w:val="26"/>
          <w:rtl/>
        </w:rPr>
        <w:t>3609/24)</w:t>
      </w:r>
      <w:r>
        <w:rPr>
          <w:rFonts w:hint="cs"/>
          <w:sz w:val="26"/>
          <w:rtl/>
        </w:rPr>
        <w:t>.</w:t>
      </w:r>
    </w:p>
    <w:p w14:paraId="166F9FF9" w14:textId="457BC1D3" w:rsidR="00131A19" w:rsidRDefault="0045741F" w:rsidP="0045741F">
      <w:pPr>
        <w:pStyle w:val="Hesber"/>
        <w:rPr>
          <w:szCs w:val="20"/>
          <w:rtl/>
        </w:rPr>
      </w:pPr>
      <w:r>
        <w:rPr>
          <w:rFonts w:hint="cs"/>
          <w:sz w:val="26"/>
          <w:rtl/>
        </w:rPr>
        <w:t>הצעת החוק זהה ל</w:t>
      </w:r>
      <w:r>
        <w:rPr>
          <w:sz w:val="26"/>
          <w:rtl/>
        </w:rPr>
        <w:t>פ/</w:t>
      </w:r>
      <w:r>
        <w:rPr>
          <w:rFonts w:hint="cs"/>
          <w:sz w:val="26"/>
          <w:rtl/>
        </w:rPr>
        <w:t xml:space="preserve">3609/24 </w:t>
      </w:r>
      <w:r w:rsidRPr="0045741F">
        <w:rPr>
          <w:sz w:val="26"/>
          <w:rtl/>
        </w:rPr>
        <w:t>ולפיכך לא נבדקה מחד</w:t>
      </w:r>
      <w:r>
        <w:rPr>
          <w:sz w:val="26"/>
          <w:rtl/>
        </w:rPr>
        <w:t>ש על ידי הלשכה המשפטית של הכנס</w:t>
      </w:r>
      <w:r>
        <w:rPr>
          <w:rFonts w:hint="cs"/>
          <w:sz w:val="26"/>
          <w:rtl/>
        </w:rPr>
        <w:t>ת.</w:t>
      </w:r>
    </w:p>
    <w:p w14:paraId="7F6961CB" w14:textId="77777777" w:rsidR="00E13C27" w:rsidRDefault="00E13C27" w:rsidP="00E13C27">
      <w:pPr>
        <w:pStyle w:val="Hesber"/>
        <w:rPr>
          <w:rtl/>
        </w:rPr>
      </w:pPr>
    </w:p>
    <w:p w14:paraId="357A78BD" w14:textId="77777777" w:rsidR="00BD43F9" w:rsidRDefault="0083271A">
      <w:pPr>
        <w:jc w:val="left"/>
      </w:pPr>
      <w:bookmarkStart w:id="9" w:name="selectedDocDateB"/>
      <w:bookmarkEnd w:id="9"/>
      <w:r>
        <w:rPr>
          <w:rFonts w:eastAsia="David" w:hint="cs"/>
          <w:sz w:val="26"/>
          <w:szCs w:val="26"/>
          <w:rtl/>
        </w:rPr>
        <w:t>--------------------------------</w:t>
      </w:r>
    </w:p>
    <w:p w14:paraId="3676A841" w14:textId="77777777" w:rsidR="00BD43F9" w:rsidRDefault="0083271A">
      <w:pPr>
        <w:jc w:val="left"/>
      </w:pPr>
      <w:r>
        <w:rPr>
          <w:rFonts w:eastAsia="David" w:hint="cs"/>
          <w:sz w:val="26"/>
          <w:szCs w:val="26"/>
          <w:rtl/>
        </w:rPr>
        <w:t>הוגשה ליו"ר הכנסת והסגנים</w:t>
      </w:r>
    </w:p>
    <w:p w14:paraId="012184EF" w14:textId="77777777" w:rsidR="00BD43F9" w:rsidRDefault="0083271A">
      <w:pPr>
        <w:jc w:val="left"/>
      </w:pPr>
      <w:r>
        <w:rPr>
          <w:rFonts w:eastAsia="David" w:hint="cs"/>
          <w:sz w:val="26"/>
          <w:szCs w:val="26"/>
          <w:rtl/>
        </w:rPr>
        <w:t>והונחה על שולחן הכנסת ביום</w:t>
      </w:r>
    </w:p>
    <w:p w14:paraId="7DF56497" w14:textId="77777777" w:rsidR="00BD43F9" w:rsidRDefault="0083271A">
      <w:pPr>
        <w:jc w:val="left"/>
      </w:pPr>
      <w:r>
        <w:rPr>
          <w:rFonts w:eastAsia="David" w:hint="cs"/>
          <w:sz w:val="26"/>
          <w:szCs w:val="26"/>
          <w:rtl/>
        </w:rPr>
        <w:t xml:space="preserve">י"ט בחשוון התשפ"ו (10.11.2025) </w:t>
      </w:r>
    </w:p>
    <w:p w14:paraId="575365EF" w14:textId="77777777" w:rsidR="00BD43F9" w:rsidRDefault="00BD43F9">
      <w:pPr>
        <w:spacing w:line="276" w:lineRule="auto"/>
        <w:jc w:val="left"/>
      </w:pPr>
    </w:p>
    <w:sectPr w:rsidR="00BD43F9" w:rsidSect="0083271A">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733B8E33"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0C30A3">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83271A">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4F4A07B" w14:textId="77777777" w:rsidR="00131A19" w:rsidRDefault="00131A19" w:rsidP="00131A19">
      <w:pPr>
        <w:pStyle w:val="a4"/>
      </w:pPr>
      <w:r>
        <w:rPr>
          <w:rStyle w:val="a6"/>
        </w:rPr>
        <w:footnoteRef/>
      </w:r>
      <w:r>
        <w:rPr>
          <w:sz w:val="20"/>
          <w:rtl/>
        </w:rPr>
        <w:t xml:space="preserve"> ס"ח התשנ"ד, עמ' 298.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DE8584B"/>
    <w:multiLevelType w:val="hybridMultilevel"/>
    <w:tmpl w:val="F462F980"/>
    <w:lvl w:ilvl="0" w:tplc="C5863AC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1"/>
  </w:num>
  <w:num w:numId="14">
    <w:abstractNumId w:val="17"/>
  </w:num>
  <w:num w:numId="15">
    <w:abstractNumId w:val="15"/>
  </w:num>
  <w:num w:numId="16">
    <w:abstractNumId w:val="13"/>
  </w:num>
  <w:num w:numId="17">
    <w:abstractNumId w:val="13"/>
    <w:lvlOverride w:ilvl="0">
      <w:startOverride w:val="1"/>
    </w:lvlOverride>
  </w:num>
  <w:num w:numId="18">
    <w:abstractNumId w:val="1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0C30A3"/>
    <w:rsid w:val="00102B6B"/>
    <w:rsid w:val="001052D4"/>
    <w:rsid w:val="0010644B"/>
    <w:rsid w:val="001207F8"/>
    <w:rsid w:val="00121924"/>
    <w:rsid w:val="001279A8"/>
    <w:rsid w:val="00131A19"/>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03E8A"/>
    <w:rsid w:val="003232A2"/>
    <w:rsid w:val="00325C14"/>
    <w:rsid w:val="0036422C"/>
    <w:rsid w:val="003710F6"/>
    <w:rsid w:val="00386E88"/>
    <w:rsid w:val="00396585"/>
    <w:rsid w:val="003D0EEA"/>
    <w:rsid w:val="003D6E38"/>
    <w:rsid w:val="003D74A0"/>
    <w:rsid w:val="004033D8"/>
    <w:rsid w:val="004073F0"/>
    <w:rsid w:val="00412A7D"/>
    <w:rsid w:val="00416B4D"/>
    <w:rsid w:val="00417CFC"/>
    <w:rsid w:val="0045741F"/>
    <w:rsid w:val="004A06DC"/>
    <w:rsid w:val="004B24ED"/>
    <w:rsid w:val="004B6625"/>
    <w:rsid w:val="004D2D82"/>
    <w:rsid w:val="004D3876"/>
    <w:rsid w:val="004E4552"/>
    <w:rsid w:val="004E6CDF"/>
    <w:rsid w:val="00553C9D"/>
    <w:rsid w:val="00562A66"/>
    <w:rsid w:val="0058355C"/>
    <w:rsid w:val="005B064E"/>
    <w:rsid w:val="005D51AE"/>
    <w:rsid w:val="0062674B"/>
    <w:rsid w:val="006363B2"/>
    <w:rsid w:val="00644940"/>
    <w:rsid w:val="006818A9"/>
    <w:rsid w:val="006A2D81"/>
    <w:rsid w:val="006C1D0D"/>
    <w:rsid w:val="0070601E"/>
    <w:rsid w:val="00712C72"/>
    <w:rsid w:val="00735FE9"/>
    <w:rsid w:val="0074358F"/>
    <w:rsid w:val="00763CAA"/>
    <w:rsid w:val="00765F66"/>
    <w:rsid w:val="0078664F"/>
    <w:rsid w:val="0079547A"/>
    <w:rsid w:val="007A27CE"/>
    <w:rsid w:val="007C3FA6"/>
    <w:rsid w:val="007D585A"/>
    <w:rsid w:val="007D5A12"/>
    <w:rsid w:val="007E59F9"/>
    <w:rsid w:val="00810BCD"/>
    <w:rsid w:val="00812C98"/>
    <w:rsid w:val="00814D92"/>
    <w:rsid w:val="0083181D"/>
    <w:rsid w:val="0083271A"/>
    <w:rsid w:val="00843EB2"/>
    <w:rsid w:val="00865572"/>
    <w:rsid w:val="00874BBC"/>
    <w:rsid w:val="00892135"/>
    <w:rsid w:val="00895449"/>
    <w:rsid w:val="00897879"/>
    <w:rsid w:val="008A6870"/>
    <w:rsid w:val="008C2DDC"/>
    <w:rsid w:val="008C3D21"/>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D43F9"/>
    <w:rsid w:val="00BF148D"/>
    <w:rsid w:val="00C23B1A"/>
    <w:rsid w:val="00C310EB"/>
    <w:rsid w:val="00C9176A"/>
    <w:rsid w:val="00CE225B"/>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2589"/>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B582B162-BABC-40CC-8592-FC04E6A7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71A"/>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83271A"/>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83271A"/>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83271A"/>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83271A"/>
    <w:pPr>
      <w:numPr>
        <w:numId w:val="19"/>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83271A"/>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83271A"/>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83271A"/>
    <w:rPr>
      <w:sz w:val="36"/>
      <w:szCs w:val="52"/>
    </w:rPr>
  </w:style>
  <w:style w:type="paragraph" w:customStyle="1" w:styleId="Cover3-Haknesset">
    <w:name w:val="Cover 3-Haknesset"/>
    <w:basedOn w:val="Cover1-Reshumot"/>
    <w:rsid w:val="0083271A"/>
    <w:rPr>
      <w:b/>
      <w:bCs/>
      <w:spacing w:val="60"/>
    </w:rPr>
  </w:style>
  <w:style w:type="paragraph" w:customStyle="1" w:styleId="Cover4-Date">
    <w:name w:val="Cover 4-Date"/>
    <w:basedOn w:val="a"/>
    <w:rsid w:val="0083271A"/>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83271A"/>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83271A"/>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83271A"/>
    <w:pPr>
      <w:spacing w:before="120" w:after="120"/>
    </w:pPr>
    <w:rPr>
      <w:color w:val="FF0000"/>
      <w:w w:val="80"/>
    </w:rPr>
  </w:style>
  <w:style w:type="paragraph" w:styleId="a3">
    <w:name w:val="endnote text"/>
    <w:basedOn w:val="a"/>
    <w:semiHidden/>
    <w:rsid w:val="0083271A"/>
    <w:pPr>
      <w:ind w:left="227" w:hanging="227"/>
    </w:pPr>
    <w:rPr>
      <w:sz w:val="14"/>
      <w:szCs w:val="22"/>
    </w:rPr>
  </w:style>
  <w:style w:type="paragraph" w:customStyle="1" w:styleId="TableText">
    <w:name w:val="Table Text"/>
    <w:basedOn w:val="a"/>
    <w:rsid w:val="0083271A"/>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83271A"/>
    <w:pPr>
      <w:outlineLvl w:val="2"/>
    </w:pPr>
  </w:style>
  <w:style w:type="paragraph" w:customStyle="1" w:styleId="TableBlock">
    <w:name w:val="Table Block"/>
    <w:basedOn w:val="TableText"/>
    <w:rsid w:val="0083271A"/>
    <w:pPr>
      <w:jc w:val="both"/>
    </w:pPr>
  </w:style>
  <w:style w:type="paragraph" w:customStyle="1" w:styleId="TableHead">
    <w:name w:val="Table Head"/>
    <w:basedOn w:val="TableText"/>
    <w:rsid w:val="0083271A"/>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83271A"/>
    <w:pPr>
      <w:outlineLvl w:val="9"/>
    </w:pPr>
  </w:style>
  <w:style w:type="paragraph" w:customStyle="1" w:styleId="Hesber">
    <w:name w:val="Hesber"/>
    <w:basedOn w:val="a"/>
    <w:rsid w:val="0083271A"/>
    <w:pPr>
      <w:snapToGrid w:val="0"/>
      <w:ind w:left="0" w:firstLine="340"/>
    </w:pPr>
    <w:rPr>
      <w:rFonts w:ascii="Arial" w:eastAsia="Arial Unicode MS" w:hAnsi="Arial"/>
      <w:snapToGrid w:val="0"/>
      <w:sz w:val="20"/>
      <w:szCs w:val="26"/>
    </w:rPr>
  </w:style>
  <w:style w:type="paragraph" w:styleId="a4">
    <w:name w:val="footnote text"/>
    <w:basedOn w:val="a"/>
    <w:link w:val="a5"/>
    <w:autoRedefine/>
    <w:rsid w:val="0083271A"/>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rsid w:val="0083271A"/>
    <w:rPr>
      <w:vertAlign w:val="superscript"/>
    </w:rPr>
  </w:style>
  <w:style w:type="paragraph" w:customStyle="1" w:styleId="HesberHeading">
    <w:name w:val="Hesber Heading"/>
    <w:basedOn w:val="Hesber"/>
    <w:rsid w:val="0083271A"/>
    <w:pPr>
      <w:tabs>
        <w:tab w:val="left" w:pos="624"/>
        <w:tab w:val="left" w:pos="1247"/>
      </w:tabs>
    </w:pPr>
    <w:rPr>
      <w:b/>
      <w:bCs/>
    </w:rPr>
  </w:style>
  <w:style w:type="paragraph" w:customStyle="1" w:styleId="HesberWriters">
    <w:name w:val="Hesber Writers"/>
    <w:basedOn w:val="Hesber"/>
    <w:rsid w:val="0083271A"/>
    <w:pPr>
      <w:spacing w:before="120" w:after="120"/>
      <w:ind w:left="1418"/>
      <w:jc w:val="right"/>
    </w:pPr>
    <w:rPr>
      <w:b/>
      <w:bCs/>
    </w:rPr>
  </w:style>
  <w:style w:type="paragraph" w:customStyle="1" w:styleId="Hesber1st">
    <w:name w:val="Hesber 1st"/>
    <w:basedOn w:val="Hesber"/>
    <w:rsid w:val="0083271A"/>
    <w:pPr>
      <w:tabs>
        <w:tab w:val="left" w:pos="680"/>
        <w:tab w:val="left" w:pos="1020"/>
      </w:tabs>
      <w:ind w:firstLine="0"/>
    </w:pPr>
  </w:style>
  <w:style w:type="character" w:styleId="a7">
    <w:name w:val="endnote reference"/>
    <w:basedOn w:val="a0"/>
    <w:semiHidden/>
    <w:rsid w:val="0083271A"/>
    <w:rPr>
      <w:vertAlign w:val="superscript"/>
    </w:rPr>
  </w:style>
  <w:style w:type="paragraph" w:customStyle="1" w:styleId="TableBlockOutdent">
    <w:name w:val="Table BlockOutdent"/>
    <w:basedOn w:val="TableBlock"/>
    <w:rsid w:val="0083271A"/>
    <w:pPr>
      <w:ind w:left="624" w:hanging="624"/>
    </w:pPr>
  </w:style>
  <w:style w:type="paragraph" w:styleId="a8">
    <w:name w:val="header"/>
    <w:basedOn w:val="a"/>
    <w:rsid w:val="0083271A"/>
    <w:pPr>
      <w:tabs>
        <w:tab w:val="center" w:pos="4153"/>
        <w:tab w:val="right" w:pos="8306"/>
      </w:tabs>
    </w:pPr>
  </w:style>
  <w:style w:type="paragraph" w:styleId="a9">
    <w:name w:val="footer"/>
    <w:basedOn w:val="a"/>
    <w:rsid w:val="0083271A"/>
    <w:pPr>
      <w:tabs>
        <w:tab w:val="center" w:pos="4153"/>
        <w:tab w:val="right" w:pos="8306"/>
      </w:tabs>
    </w:pPr>
  </w:style>
  <w:style w:type="paragraph" w:customStyle="1" w:styleId="HeadDivreiHesber">
    <w:name w:val="Head DivreiHesber"/>
    <w:basedOn w:val="a"/>
    <w:rsid w:val="0083271A"/>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83271A"/>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83271A"/>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rsid w:val="00131A19"/>
    <w:rPr>
      <w:rFonts w:ascii="Arial" w:eastAsia="Arial Unicode MS" w:hAnsi="Arial" w:cs="David"/>
      <w:snapToGrid w:val="0"/>
      <w:sz w:val="14"/>
    </w:rPr>
  </w:style>
  <w:style w:type="character" w:customStyle="1" w:styleId="10">
    <w:name w:val="כותרת 1 תו"/>
    <w:basedOn w:val="a0"/>
    <w:link w:val="1"/>
    <w:uiPriority w:val="9"/>
    <w:rsid w:val="0083271A"/>
    <w:rPr>
      <w:rFonts w:asciiTheme="majorHAnsi" w:eastAsiaTheme="majorEastAsia" w:hAnsiTheme="majorHAnsi" w:cs="David"/>
      <w:bCs/>
      <w:sz w:val="32"/>
      <w:szCs w:val="36"/>
    </w:rPr>
  </w:style>
  <w:style w:type="character" w:customStyle="1" w:styleId="20">
    <w:name w:val="כותרת 2 תו"/>
    <w:basedOn w:val="a0"/>
    <w:link w:val="2"/>
    <w:rsid w:val="0083271A"/>
    <w:rPr>
      <w:rFonts w:asciiTheme="majorHAnsi" w:eastAsiaTheme="majorEastAsia" w:hAnsiTheme="majorHAnsi" w:cs="David"/>
      <w:bCs/>
      <w:sz w:val="26"/>
      <w:szCs w:val="36"/>
      <w:u w:val="single"/>
    </w:rPr>
  </w:style>
  <w:style w:type="character" w:customStyle="1" w:styleId="30">
    <w:name w:val="כותרת 3 תו"/>
    <w:basedOn w:val="a0"/>
    <w:link w:val="3"/>
    <w:rsid w:val="0083271A"/>
    <w:rPr>
      <w:rFonts w:asciiTheme="majorHAnsi" w:eastAsiaTheme="majorEastAsia" w:hAnsiTheme="majorHAnsi" w:cs="David"/>
      <w:sz w:val="24"/>
      <w:szCs w:val="28"/>
      <w:u w:val="double"/>
    </w:rPr>
  </w:style>
  <w:style w:type="character" w:customStyle="1" w:styleId="40">
    <w:name w:val="כותרת 4 תו"/>
    <w:basedOn w:val="a0"/>
    <w:link w:val="4"/>
    <w:uiPriority w:val="9"/>
    <w:rsid w:val="0083271A"/>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83271A"/>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83271A"/>
    <w:pPr>
      <w:widowControl/>
      <w:spacing w:before="120" w:after="120"/>
      <w:outlineLvl w:val="9"/>
    </w:pPr>
    <w:rPr>
      <w:rtl/>
      <w:cs/>
    </w:rPr>
  </w:style>
  <w:style w:type="paragraph" w:styleId="TOC1">
    <w:name w:val="toc 1"/>
    <w:basedOn w:val="a"/>
    <w:next w:val="a"/>
    <w:autoRedefine/>
    <w:uiPriority w:val="39"/>
    <w:unhideWhenUsed/>
    <w:rsid w:val="0083271A"/>
    <w:pPr>
      <w:tabs>
        <w:tab w:val="right" w:leader="dot" w:pos="9629"/>
      </w:tabs>
      <w:spacing w:after="100"/>
    </w:pPr>
    <w:rPr>
      <w:bCs/>
      <w:szCs w:val="22"/>
    </w:rPr>
  </w:style>
  <w:style w:type="paragraph" w:styleId="TOC2">
    <w:name w:val="toc 2"/>
    <w:basedOn w:val="a"/>
    <w:next w:val="a"/>
    <w:uiPriority w:val="39"/>
    <w:unhideWhenUsed/>
    <w:rsid w:val="0083271A"/>
    <w:pPr>
      <w:tabs>
        <w:tab w:val="right" w:leader="dot" w:pos="9628"/>
      </w:tabs>
      <w:spacing w:after="100"/>
    </w:pPr>
    <w:rPr>
      <w:szCs w:val="22"/>
    </w:rPr>
  </w:style>
  <w:style w:type="character" w:styleId="Hyperlink">
    <w:name w:val="Hyperlink"/>
    <w:basedOn w:val="a0"/>
    <w:uiPriority w:val="99"/>
    <w:unhideWhenUsed/>
    <w:rsid w:val="0083271A"/>
    <w:rPr>
      <w:color w:val="0000FF" w:themeColor="hyperlink"/>
      <w:u w:val="single"/>
    </w:rPr>
  </w:style>
  <w:style w:type="paragraph" w:styleId="TOC3">
    <w:name w:val="toc 3"/>
    <w:basedOn w:val="a"/>
    <w:next w:val="a"/>
    <w:uiPriority w:val="39"/>
    <w:unhideWhenUsed/>
    <w:rsid w:val="0083271A"/>
    <w:pPr>
      <w:numPr>
        <w:numId w:val="22"/>
      </w:numPr>
      <w:tabs>
        <w:tab w:val="right" w:leader="dot" w:pos="9629"/>
      </w:tabs>
      <w:spacing w:after="100"/>
      <w:ind w:left="811" w:hanging="357"/>
    </w:pPr>
    <w:rPr>
      <w:szCs w:val="22"/>
    </w:rPr>
  </w:style>
  <w:style w:type="paragraph" w:styleId="TOC4">
    <w:name w:val="toc 4"/>
    <w:basedOn w:val="a"/>
    <w:next w:val="a"/>
    <w:autoRedefine/>
    <w:unhideWhenUsed/>
    <w:qFormat/>
    <w:rsid w:val="0083271A"/>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83271A"/>
    <w:pPr>
      <w:tabs>
        <w:tab w:val="right" w:leader="dot" w:pos="9628"/>
      </w:tabs>
      <w:spacing w:after="100"/>
      <w:ind w:left="567"/>
    </w:pPr>
    <w:rPr>
      <w:szCs w:val="22"/>
    </w:rPr>
  </w:style>
  <w:style w:type="paragraph" w:styleId="TOC6">
    <w:name w:val="toc 6"/>
    <w:basedOn w:val="a"/>
    <w:next w:val="a"/>
    <w:autoRedefine/>
    <w:semiHidden/>
    <w:unhideWhenUsed/>
    <w:rsid w:val="0083271A"/>
    <w:pPr>
      <w:spacing w:after="100"/>
      <w:ind w:left="850"/>
    </w:pPr>
  </w:style>
  <w:style w:type="paragraph" w:styleId="TOC7">
    <w:name w:val="toc 7"/>
    <w:basedOn w:val="a"/>
    <w:next w:val="a"/>
    <w:autoRedefine/>
    <w:semiHidden/>
    <w:unhideWhenUsed/>
    <w:rsid w:val="0083271A"/>
    <w:pPr>
      <w:spacing w:after="100"/>
      <w:ind w:left="1020"/>
    </w:pPr>
  </w:style>
  <w:style w:type="paragraph" w:styleId="TOC8">
    <w:name w:val="toc 8"/>
    <w:basedOn w:val="a"/>
    <w:next w:val="a"/>
    <w:autoRedefine/>
    <w:semiHidden/>
    <w:unhideWhenUsed/>
    <w:rsid w:val="0083271A"/>
    <w:pPr>
      <w:spacing w:after="100"/>
      <w:ind w:left="1190"/>
    </w:pPr>
  </w:style>
  <w:style w:type="paragraph" w:styleId="TOC9">
    <w:name w:val="toc 9"/>
    <w:basedOn w:val="a"/>
    <w:next w:val="a"/>
    <w:autoRedefine/>
    <w:semiHidden/>
    <w:unhideWhenUsed/>
    <w:rsid w:val="0083271A"/>
    <w:pPr>
      <w:spacing w:after="100"/>
      <w:ind w:left="1360"/>
    </w:pPr>
  </w:style>
  <w:style w:type="paragraph" w:customStyle="1" w:styleId="TableHead2">
    <w:name w:val="Table Head2"/>
    <w:basedOn w:val="TableHead"/>
    <w:qFormat/>
    <w:rsid w:val="0083271A"/>
    <w:pPr>
      <w:outlineLvl w:val="9"/>
    </w:pPr>
  </w:style>
  <w:style w:type="paragraph" w:customStyle="1" w:styleId="TableSideHeading2">
    <w:name w:val="Table SideHeading2"/>
    <w:basedOn w:val="TableSideHeading"/>
    <w:autoRedefine/>
    <w:qFormat/>
    <w:rsid w:val="0083271A"/>
    <w:pPr>
      <w:keepLines w:val="0"/>
      <w:outlineLvl w:val="9"/>
    </w:pPr>
  </w:style>
  <w:style w:type="paragraph" w:customStyle="1" w:styleId="0">
    <w:name w:val="סגנון שורה ראשונה:  0  ס''מ"/>
    <w:basedOn w:val="2"/>
    <w:rsid w:val="0083271A"/>
    <w:rPr>
      <w:rFonts w:eastAsia="Times New Roman"/>
    </w:rPr>
  </w:style>
  <w:style w:type="paragraph" w:styleId="af">
    <w:name w:val="List Paragraph"/>
    <w:basedOn w:val="a"/>
    <w:uiPriority w:val="34"/>
    <w:qFormat/>
    <w:rsid w:val="0083271A"/>
    <w:pPr>
      <w:widowControl/>
      <w:spacing w:line="259" w:lineRule="auto"/>
    </w:pPr>
    <w:rPr>
      <w:rFonts w:asciiTheme="minorHAnsi" w:hAnsiTheme="minorHAnsi"/>
      <w:sz w:val="22"/>
    </w:rPr>
  </w:style>
  <w:style w:type="table" w:styleId="af0">
    <w:name w:val="Table Grid"/>
    <w:basedOn w:val="a1"/>
    <w:rsid w:val="00832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83271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83271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83271A"/>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83271A"/>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290d5b49-c690-4c6f-bbb9-1e50dab33eee"/>
  </ds:schemaRefs>
</ds:datastoreItem>
</file>

<file path=customXml/itemProps3.xml><?xml version="1.0" encoding="utf-8"?>
<ds:datastoreItem xmlns:ds="http://schemas.openxmlformats.org/officeDocument/2006/customXml" ds:itemID="{1D9057F4-4CCF-490D-9794-A9DF31792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8020C5-4517-4521-A1A4-6949DE99F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483</Words>
  <Characters>2416</Characters>
  <Application>Microsoft Office Word</Application>
  <DocSecurity>0</DocSecurity>
  <Lines>20</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15</cp:revision>
  <cp:lastPrinted>2025-11-10T06:31:00Z</cp:lastPrinted>
  <dcterms:created xsi:type="dcterms:W3CDTF">2015-04-20T09:58:00Z</dcterms:created>
  <dcterms:modified xsi:type="dcterms:W3CDTF">2025-11-10T06:33:00Z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2236116</vt:r8>
  </property>
</Properties>
</file>