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b/>
          <w:bCs/>
          <w:sz w:val="20"/>
          <w:szCs w:val="20"/>
        </w:rPr>
      </w:pPr>
      <w:r w:rsidRPr="00E635A2">
        <w:rPr>
          <w:rFonts w:hint="cs"/>
          <w:sz w:val="20"/>
          <w:szCs w:val="20"/>
          <w:rtl/>
        </w:rPr>
        <w:t xml:space="preserve">מספר פנימי: </w:t>
      </w:r>
      <w:bookmarkStart w:id="0" w:name="LGS_Internal_ID"/>
      <w:r>
        <w:rPr>
          <w:rFonts w:hint="cs"/>
          <w:sz w:val="20"/>
          <w:szCs w:val="20"/>
          <w:rtl/>
        </w:rPr>
        <w:t>2233741</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וחמש</w:t>
      </w:r>
      <w:bookmarkEnd w:id="1"/>
    </w:p>
    <w:p w14:paraId="7F6961A3" w14:textId="77777777" w:rsidR="00E13C27" w:rsidRPr="00F67051" w:rsidRDefault="00E13C27" w:rsidP="00E13C27">
      <w:pPr>
        <w:rPr>
          <w:b/>
          <w:bCs/>
          <w:sz w:val="26"/>
          <w:szCs w:val="26"/>
          <w:rtl/>
        </w:rPr>
      </w:pPr>
    </w:p>
    <w:p w14:paraId="7F6961AA" w14:textId="4240E30A" w:rsidR="00E13C27" w:rsidRPr="00CF1AA2" w:rsidRDefault="008F6665" w:rsidP="00DC283F">
      <w:pPr>
        <w:pStyle w:val="David"/>
        <w:ind w:left="3544"/>
        <w:rPr>
          <w:b/>
          <w:bCs/>
          <w:sz w:val="16"/>
          <w:szCs w:val="16"/>
          <w:rtl/>
        </w:rPr>
      </w:pPr>
      <w:bookmarkStart w:id="2" w:name="LGS_Initiators_List"/>
      <w:r>
        <w:rPr>
          <w:b/>
          <w:bCs/>
          <w:rtl/>
        </w:rPr>
        <w:t>יוזמים:      חברי הכנסת</w:t>
      </w:r>
      <w:bookmarkEnd w:id="2"/>
      <w:r w:rsidR="00B35784" w:rsidRPr="00F67051">
        <w:rPr>
          <w:b/>
          <w:bCs/>
        </w:rPr>
        <w:tab/>
      </w:r>
      <w:bookmarkStart w:id="3" w:name="LGS_PM_Names"/>
      <w:r>
        <w:rPr>
          <w:rFonts w:hint="cs"/>
          <w:b/>
          <w:bCs/>
          <w:rtl/>
        </w:rPr>
        <w:t>עמית הלוי</w:t>
      </w:r>
      <w:r>
        <w:br/>
      </w:r>
      <w:r>
        <w:rPr>
          <w:rFonts w:hint="cs"/>
          <w:b/>
          <w:bCs/>
          <w:rtl/>
        </w:rPr>
        <w:t xml:space="preserve"> </w:t>
      </w:r>
      <w:r>
        <w:tab/>
      </w:r>
      <w:r>
        <w:tab/>
      </w:r>
      <w:r>
        <w:tab/>
      </w:r>
      <w:r>
        <w:tab/>
      </w:r>
      <w:r>
        <w:rPr>
          <w:rFonts w:hint="cs"/>
          <w:b/>
          <w:bCs/>
          <w:rtl/>
        </w:rPr>
        <w:t xml:space="preserve">חנוך דב </w:t>
      </w:r>
      <w:proofErr w:type="spellStart"/>
      <w:r>
        <w:rPr>
          <w:rFonts w:hint="cs"/>
          <w:b/>
          <w:bCs/>
          <w:rtl/>
        </w:rPr>
        <w:t>מלביצקי</w:t>
      </w:r>
      <w:proofErr w:type="spellEnd"/>
      <w:r>
        <w:br/>
      </w:r>
      <w:r>
        <w:rPr>
          <w:rFonts w:hint="cs"/>
          <w:b/>
          <w:bCs/>
          <w:rtl/>
        </w:rPr>
        <w:t xml:space="preserve"> </w:t>
      </w:r>
      <w:r>
        <w:tab/>
      </w:r>
      <w:r>
        <w:tab/>
      </w:r>
      <w:r>
        <w:tab/>
      </w:r>
      <w:r>
        <w:tab/>
      </w:r>
      <w:r>
        <w:rPr>
          <w:rFonts w:hint="cs"/>
          <w:b/>
          <w:bCs/>
          <w:rtl/>
        </w:rPr>
        <w:t xml:space="preserve">לימור </w:t>
      </w:r>
      <w:proofErr w:type="spellStart"/>
      <w:r>
        <w:rPr>
          <w:rFonts w:hint="cs"/>
          <w:b/>
          <w:bCs/>
          <w:rtl/>
        </w:rPr>
        <w:t>סון</w:t>
      </w:r>
      <w:proofErr w:type="spellEnd"/>
      <w:r>
        <w:rPr>
          <w:rFonts w:hint="cs"/>
          <w:b/>
          <w:bCs/>
          <w:rtl/>
        </w:rPr>
        <w:t xml:space="preserve"> הר מלך</w:t>
      </w:r>
      <w:r>
        <w:br/>
      </w:r>
      <w:r>
        <w:rPr>
          <w:rFonts w:hint="cs"/>
          <w:b/>
          <w:bCs/>
          <w:rtl/>
        </w:rPr>
        <w:t xml:space="preserve"> </w:t>
      </w:r>
      <w:r>
        <w:tab/>
      </w:r>
      <w:r>
        <w:tab/>
      </w:r>
      <w:r>
        <w:tab/>
      </w:r>
      <w:r>
        <w:tab/>
      </w:r>
      <w:r>
        <w:rPr>
          <w:rFonts w:hint="cs"/>
          <w:b/>
          <w:bCs/>
          <w:rtl/>
        </w:rPr>
        <w:t xml:space="preserve">מיכל מרים </w:t>
      </w:r>
      <w:proofErr w:type="spellStart"/>
      <w:r>
        <w:rPr>
          <w:rFonts w:hint="cs"/>
          <w:b/>
          <w:bCs/>
          <w:rtl/>
        </w:rPr>
        <w:t>וולדיגר</w:t>
      </w:r>
      <w:proofErr w:type="spellEnd"/>
      <w:r>
        <w:br/>
      </w:r>
      <w:r>
        <w:rPr>
          <w:rFonts w:hint="cs"/>
          <w:b/>
          <w:bCs/>
          <w:rtl/>
        </w:rPr>
        <w:t xml:space="preserve"> </w:t>
      </w:r>
      <w:r>
        <w:tab/>
      </w:r>
      <w:r>
        <w:tab/>
      </w:r>
      <w:r>
        <w:tab/>
      </w:r>
      <w:r>
        <w:tab/>
      </w:r>
      <w:r>
        <w:rPr>
          <w:rFonts w:hint="cs"/>
          <w:b/>
          <w:bCs/>
          <w:rtl/>
        </w:rPr>
        <w:t xml:space="preserve">אביחי אברהם </w:t>
      </w:r>
      <w:proofErr w:type="spellStart"/>
      <w:r>
        <w:rPr>
          <w:rFonts w:hint="cs"/>
          <w:b/>
          <w:bCs/>
          <w:rtl/>
        </w:rPr>
        <w:t>בוארון</w:t>
      </w:r>
      <w:proofErr w:type="spellEnd"/>
      <w:r>
        <w:br/>
      </w:r>
      <w:r>
        <w:rPr>
          <w:rFonts w:hint="cs"/>
          <w:b/>
          <w:bCs/>
          <w:rtl/>
        </w:rPr>
        <w:t xml:space="preserve"> </w:t>
      </w:r>
      <w:r>
        <w:tab/>
      </w:r>
      <w:r>
        <w:tab/>
      </w:r>
      <w:r>
        <w:tab/>
      </w:r>
      <w:r>
        <w:tab/>
      </w:r>
      <w:r>
        <w:rPr>
          <w:rFonts w:hint="cs"/>
          <w:b/>
          <w:bCs/>
          <w:rtl/>
        </w:rPr>
        <w:t xml:space="preserve">יצחק </w:t>
      </w:r>
      <w:proofErr w:type="spellStart"/>
      <w:r>
        <w:rPr>
          <w:rFonts w:hint="cs"/>
          <w:b/>
          <w:bCs/>
          <w:rtl/>
        </w:rPr>
        <w:t>קרויזר</w:t>
      </w:r>
      <w:proofErr w:type="spellEnd"/>
      <w:r>
        <w:br/>
      </w:r>
      <w:r>
        <w:rPr>
          <w:rFonts w:hint="cs"/>
          <w:b/>
          <w:bCs/>
          <w:rtl/>
        </w:rPr>
        <w:t xml:space="preserve"> </w:t>
      </w:r>
      <w:r>
        <w:tab/>
      </w:r>
      <w:r>
        <w:tab/>
      </w:r>
      <w:r>
        <w:tab/>
      </w:r>
      <w:r>
        <w:tab/>
      </w:r>
      <w:r>
        <w:rPr>
          <w:rFonts w:hint="cs"/>
          <w:b/>
          <w:bCs/>
          <w:rtl/>
        </w:rPr>
        <w:t>שלום דנינו</w:t>
      </w:r>
      <w:r>
        <w:br/>
      </w:r>
      <w:r>
        <w:rPr>
          <w:rFonts w:hint="cs"/>
          <w:b/>
          <w:bCs/>
          <w:rtl/>
        </w:rPr>
        <w:t xml:space="preserve"> </w:t>
      </w:r>
      <w:r>
        <w:tab/>
      </w:r>
      <w:r>
        <w:tab/>
      </w:r>
      <w:r>
        <w:tab/>
      </w:r>
      <w:r>
        <w:tab/>
      </w:r>
      <w:r>
        <w:rPr>
          <w:rFonts w:hint="cs"/>
          <w:b/>
          <w:bCs/>
          <w:rtl/>
        </w:rPr>
        <w:t>טלי גוטליב</w:t>
      </w:r>
      <w:r>
        <w:br/>
      </w:r>
      <w:r>
        <w:rPr>
          <w:rFonts w:hint="cs"/>
          <w:b/>
          <w:bCs/>
          <w:rtl/>
        </w:rPr>
        <w:t xml:space="preserve"> </w:t>
      </w:r>
      <w:r>
        <w:tab/>
      </w:r>
      <w:r>
        <w:tab/>
      </w:r>
      <w:r>
        <w:tab/>
      </w:r>
      <w:r>
        <w:tab/>
      </w:r>
      <w:r>
        <w:rPr>
          <w:rFonts w:hint="cs"/>
          <w:b/>
          <w:bCs/>
          <w:rtl/>
        </w:rPr>
        <w:t>אושר שקלים</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504CBBA7" w14:textId="77777777" w:rsidR="00361BC3" w:rsidRDefault="00266D86" w:rsidP="00361BC3">
      <w:pPr>
        <w:pStyle w:val="David"/>
        <w:ind w:left="3544"/>
        <w:rPr>
          <w:rtl/>
        </w:rPr>
      </w:pPr>
      <w:r>
        <w:t>____</w:t>
      </w:r>
      <w:r w:rsidR="00E374F2">
        <w:t>__</w:t>
      </w:r>
      <w:r>
        <w:t>________</w:t>
      </w:r>
      <w:r w:rsidR="00142EA8">
        <w:t>_____________________________</w:t>
      </w:r>
      <w:r w:rsidR="00E13C27" w:rsidRPr="00E06736">
        <w:rPr>
          <w:rFonts w:hint="cs"/>
          <w:rtl/>
        </w:rPr>
        <w:tab/>
      </w:r>
      <w:r w:rsidR="00904591" w:rsidRPr="00DC283F">
        <w:t xml:space="preserve">    </w:t>
      </w:r>
    </w:p>
    <w:p w14:paraId="34DB4103" w14:textId="2AC7D6A0" w:rsidR="00904591" w:rsidRPr="00904591" w:rsidRDefault="00DC283F" w:rsidP="00361BC3">
      <w:pPr>
        <w:pStyle w:val="David"/>
        <w:ind w:left="6424" w:firstLine="56"/>
        <w:rPr>
          <w:sz w:val="4"/>
          <w:szCs w:val="4"/>
          <w:rtl/>
        </w:rPr>
      </w:pPr>
      <w:r w:rsidRPr="00DC283F">
        <w:rPr>
          <w:rtl/>
        </w:rPr>
        <w:t>פ/6141/25</w:t>
      </w:r>
    </w:p>
    <w:p w14:paraId="7F6961AD" w14:textId="77777777" w:rsidR="00E13C27" w:rsidRPr="00F67051" w:rsidRDefault="00A443CF" w:rsidP="0021633A">
      <w:pPr>
        <w:pStyle w:val="HeadHatzaotHok"/>
        <w:rPr>
          <w:rtl/>
        </w:rPr>
      </w:pPr>
      <w:bookmarkStart w:id="6" w:name="LGS_Subject"/>
      <w:r>
        <w:rPr>
          <w:rFonts w:hint="cs"/>
          <w:rtl/>
        </w:rPr>
        <w:t xml:space="preserve">הצעת חוק הליכים מזורזים להקמת יישובים חדשים (תיקוני חקיקה), </w:t>
      </w:r>
      <w:proofErr w:type="spellStart"/>
      <w:r>
        <w:rPr>
          <w:rFonts w:hint="cs"/>
          <w:rtl/>
        </w:rPr>
        <w:t>התשפ"ה</w:t>
      </w:r>
      <w:proofErr w:type="spellEnd"/>
      <w:r>
        <w:rPr>
          <w:rFonts w:hint="cs"/>
          <w:rtl/>
        </w:rPr>
        <w:t>–2025</w:t>
      </w:r>
      <w:bookmarkEnd w:id="6"/>
    </w:p>
    <w:tbl>
      <w:tblPr>
        <w:bidiVisual/>
        <w:tblW w:w="9636" w:type="dxa"/>
        <w:tblLayout w:type="fixed"/>
        <w:tblCellMar>
          <w:top w:w="57" w:type="dxa"/>
          <w:left w:w="0" w:type="dxa"/>
          <w:bottom w:w="57" w:type="dxa"/>
          <w:right w:w="0" w:type="dxa"/>
        </w:tblCellMar>
        <w:tblLook w:val="01E0" w:firstRow="1" w:lastRow="1" w:firstColumn="1" w:lastColumn="1" w:noHBand="0" w:noVBand="0"/>
      </w:tblPr>
      <w:tblGrid>
        <w:gridCol w:w="1869"/>
        <w:gridCol w:w="623"/>
        <w:gridCol w:w="624"/>
        <w:gridCol w:w="624"/>
        <w:gridCol w:w="624"/>
        <w:gridCol w:w="624"/>
        <w:gridCol w:w="624"/>
        <w:gridCol w:w="4024"/>
      </w:tblGrid>
      <w:tr w:rsidR="00E01CC9" w:rsidRPr="009D6B92" w14:paraId="2A503770" w14:textId="77777777" w:rsidTr="00361BC3">
        <w:tc>
          <w:tcPr>
            <w:tcW w:w="1869" w:type="dxa"/>
          </w:tcPr>
          <w:p w14:paraId="45618193" w14:textId="77777777" w:rsidR="00E01CC9" w:rsidRPr="009D6B92" w:rsidRDefault="00E01CC9" w:rsidP="00AB2558">
            <w:pPr>
              <w:pStyle w:val="TableSideHeading"/>
              <w:keepLines w:val="0"/>
              <w:rPr>
                <w:b/>
              </w:rPr>
            </w:pPr>
            <w:r>
              <w:rPr>
                <w:rFonts w:hint="cs"/>
                <w:b/>
                <w:rtl/>
              </w:rPr>
              <w:t xml:space="preserve">תיקון חוק התכנון והבנייה </w:t>
            </w:r>
          </w:p>
        </w:tc>
        <w:tc>
          <w:tcPr>
            <w:tcW w:w="623" w:type="dxa"/>
          </w:tcPr>
          <w:p w14:paraId="48B4AB22" w14:textId="77777777" w:rsidR="00E01CC9" w:rsidRPr="009D6B92" w:rsidRDefault="00E01CC9" w:rsidP="00AB2558">
            <w:pPr>
              <w:pStyle w:val="TableText"/>
              <w:keepLines w:val="0"/>
              <w:rPr>
                <w:b/>
              </w:rPr>
            </w:pPr>
            <w:r>
              <w:rPr>
                <w:rFonts w:hint="cs"/>
                <w:b/>
                <w:rtl/>
              </w:rPr>
              <w:t xml:space="preserve">1. </w:t>
            </w:r>
          </w:p>
        </w:tc>
        <w:tc>
          <w:tcPr>
            <w:tcW w:w="7144" w:type="dxa"/>
            <w:gridSpan w:val="6"/>
          </w:tcPr>
          <w:p w14:paraId="5616232C" w14:textId="0C959ECF" w:rsidR="00E01CC9" w:rsidRPr="009D6B92" w:rsidRDefault="00E01CC9" w:rsidP="00572E3D">
            <w:pPr>
              <w:pStyle w:val="TableBlock"/>
              <w:rPr>
                <w:bCs/>
              </w:rPr>
            </w:pPr>
            <w:r w:rsidRPr="00645EC1">
              <w:rPr>
                <w:rtl/>
              </w:rPr>
              <w:t xml:space="preserve">בחוק התכנון </w:t>
            </w:r>
            <w:r w:rsidRPr="00AA2326">
              <w:rPr>
                <w:rtl/>
              </w:rPr>
              <w:t>והבנייה</w:t>
            </w:r>
            <w:r w:rsidRPr="00645EC1">
              <w:rPr>
                <w:rtl/>
              </w:rPr>
              <w:t xml:space="preserve">, </w:t>
            </w:r>
            <w:proofErr w:type="spellStart"/>
            <w:r w:rsidRPr="00645EC1">
              <w:rPr>
                <w:rtl/>
              </w:rPr>
              <w:t>התשכ"</w:t>
            </w:r>
            <w:r>
              <w:rPr>
                <w:rFonts w:hint="cs"/>
                <w:rtl/>
              </w:rPr>
              <w:t>ה</w:t>
            </w:r>
            <w:proofErr w:type="spellEnd"/>
            <w:r>
              <w:rPr>
                <w:rFonts w:hint="eastAsia"/>
                <w:rtl/>
              </w:rPr>
              <w:t>–</w:t>
            </w:r>
            <w:r>
              <w:rPr>
                <w:rFonts w:hint="cs"/>
                <w:rtl/>
              </w:rPr>
              <w:t>1965</w:t>
            </w:r>
            <w:r w:rsidRPr="00142EA8">
              <w:rPr>
                <w:rStyle w:val="a5"/>
                <w:rFonts w:ascii="David" w:hAnsi="David"/>
                <w:sz w:val="26"/>
                <w:rtl/>
              </w:rPr>
              <w:footnoteReference w:id="2"/>
            </w:r>
            <w:r w:rsidRPr="00645EC1">
              <w:rPr>
                <w:rtl/>
              </w:rPr>
              <w:t xml:space="preserve">, </w:t>
            </w:r>
            <w:r w:rsidR="00572E3D">
              <w:rPr>
                <w:rFonts w:hint="cs"/>
                <w:rtl/>
              </w:rPr>
              <w:t>אחרי</w:t>
            </w:r>
            <w:r w:rsidRPr="00645EC1">
              <w:rPr>
                <w:rtl/>
              </w:rPr>
              <w:t xml:space="preserve"> סעיף 266ו יבוא:</w:t>
            </w:r>
          </w:p>
        </w:tc>
      </w:tr>
      <w:tr w:rsidR="00E01CC9" w14:paraId="093FD2F9" w14:textId="77777777" w:rsidTr="00361BC3">
        <w:tc>
          <w:tcPr>
            <w:tcW w:w="1869" w:type="dxa"/>
          </w:tcPr>
          <w:p w14:paraId="626B7F1B" w14:textId="77777777" w:rsidR="00E01CC9" w:rsidRDefault="00E01CC9" w:rsidP="00AB2558">
            <w:pPr>
              <w:pStyle w:val="TableSideHeading"/>
              <w:keepLines w:val="0"/>
            </w:pPr>
          </w:p>
        </w:tc>
        <w:tc>
          <w:tcPr>
            <w:tcW w:w="623" w:type="dxa"/>
          </w:tcPr>
          <w:p w14:paraId="50F80A38" w14:textId="77777777" w:rsidR="00E01CC9" w:rsidRDefault="00E01CC9" w:rsidP="00AB2558">
            <w:pPr>
              <w:pStyle w:val="TableText"/>
              <w:keepLines w:val="0"/>
            </w:pPr>
          </w:p>
        </w:tc>
        <w:tc>
          <w:tcPr>
            <w:tcW w:w="1872" w:type="dxa"/>
            <w:gridSpan w:val="3"/>
          </w:tcPr>
          <w:p w14:paraId="56ACF742" w14:textId="3908BF8F" w:rsidR="00E01CC9" w:rsidRDefault="00E01CC9" w:rsidP="00AB2558">
            <w:pPr>
              <w:pStyle w:val="TableInnerSideHeading"/>
            </w:pPr>
            <w:r>
              <w:rPr>
                <w:rFonts w:hint="cs"/>
                <w:rtl/>
              </w:rPr>
              <w:t>"</w:t>
            </w:r>
            <w:r w:rsidRPr="00645EC1">
              <w:rPr>
                <w:rtl/>
              </w:rPr>
              <w:t xml:space="preserve">פטור מהיתר או </w:t>
            </w:r>
            <w:proofErr w:type="spellStart"/>
            <w:r w:rsidRPr="00645EC1">
              <w:rPr>
                <w:rtl/>
              </w:rPr>
              <w:t>ת</w:t>
            </w:r>
            <w:r w:rsidR="00361BC3">
              <w:rPr>
                <w:rFonts w:hint="cs"/>
                <w:rtl/>
              </w:rPr>
              <w:t>ו</w:t>
            </w:r>
            <w:r w:rsidRPr="00645EC1">
              <w:rPr>
                <w:rtl/>
              </w:rPr>
              <w:t>כנית</w:t>
            </w:r>
            <w:proofErr w:type="spellEnd"/>
          </w:p>
        </w:tc>
        <w:tc>
          <w:tcPr>
            <w:tcW w:w="624" w:type="dxa"/>
          </w:tcPr>
          <w:p w14:paraId="449694EA" w14:textId="4F81939D" w:rsidR="00E01CC9" w:rsidRDefault="00E01CC9" w:rsidP="00AB2558">
            <w:pPr>
              <w:pStyle w:val="TableText"/>
            </w:pPr>
            <w:r>
              <w:rPr>
                <w:rFonts w:hint="cs"/>
                <w:rtl/>
              </w:rPr>
              <w:t>266ז</w:t>
            </w:r>
            <w:r w:rsidR="00361BC3">
              <w:rPr>
                <w:rFonts w:hint="cs"/>
                <w:rtl/>
              </w:rPr>
              <w:t>.</w:t>
            </w:r>
          </w:p>
        </w:tc>
        <w:tc>
          <w:tcPr>
            <w:tcW w:w="4648" w:type="dxa"/>
            <w:gridSpan w:val="2"/>
          </w:tcPr>
          <w:p w14:paraId="5FDBAB19" w14:textId="732E7CC3" w:rsidR="00E01CC9" w:rsidRDefault="00E01CC9" w:rsidP="00361BC3">
            <w:pPr>
              <w:pStyle w:val="TableBlock"/>
            </w:pPr>
            <w:r>
              <w:rPr>
                <w:rFonts w:hint="cs"/>
                <w:rtl/>
              </w:rPr>
              <w:t>(א)</w:t>
            </w:r>
            <w:r>
              <w:rPr>
                <w:rtl/>
              </w:rPr>
              <w:tab/>
            </w:r>
            <w:r>
              <w:rPr>
                <w:rFonts w:hint="cs"/>
                <w:rtl/>
              </w:rPr>
              <w:t>נוכחה</w:t>
            </w:r>
            <w:r w:rsidRPr="00645EC1">
              <w:rPr>
                <w:rtl/>
              </w:rPr>
              <w:t xml:space="preserve"> הממשלה</w:t>
            </w:r>
            <w:r>
              <w:rPr>
                <w:rFonts w:hint="cs"/>
                <w:rtl/>
              </w:rPr>
              <w:t xml:space="preserve"> בהמלצת שר ההתיישבות </w:t>
            </w:r>
            <w:r w:rsidR="00361BC3">
              <w:rPr>
                <w:rFonts w:hint="cs"/>
                <w:rtl/>
              </w:rPr>
              <w:t xml:space="preserve">והמשימות הלאומיות, </w:t>
            </w:r>
            <w:r>
              <w:rPr>
                <w:rFonts w:hint="cs"/>
                <w:rtl/>
              </w:rPr>
              <w:t>השר לביטחון לאומי</w:t>
            </w:r>
            <w:r w:rsidRPr="00645EC1">
              <w:rPr>
                <w:rtl/>
              </w:rPr>
              <w:t xml:space="preserve"> </w:t>
            </w:r>
            <w:r>
              <w:rPr>
                <w:rFonts w:hint="cs"/>
                <w:rtl/>
              </w:rPr>
              <w:t xml:space="preserve">או שר הביטחון </w:t>
            </w:r>
            <w:r w:rsidRPr="00645EC1">
              <w:rPr>
                <w:rtl/>
              </w:rPr>
              <w:t xml:space="preserve">כי יש צורך </w:t>
            </w:r>
            <w:r>
              <w:rPr>
                <w:rFonts w:hint="cs"/>
                <w:rtl/>
              </w:rPr>
              <w:t>לאומי אסטרטגי</w:t>
            </w:r>
            <w:r w:rsidRPr="00645EC1">
              <w:rPr>
                <w:rtl/>
              </w:rPr>
              <w:t xml:space="preserve"> בהקמת יישוב חדש</w:t>
            </w:r>
            <w:r>
              <w:rPr>
                <w:rFonts w:hint="cs"/>
                <w:rtl/>
              </w:rPr>
              <w:t xml:space="preserve">, רשאית היא, </w:t>
            </w:r>
            <w:r w:rsidR="001F0C8A">
              <w:rPr>
                <w:rFonts w:hint="cs"/>
                <w:rtl/>
              </w:rPr>
              <w:t>ב</w:t>
            </w:r>
            <w:r w:rsidRPr="00645EC1">
              <w:rPr>
                <w:rtl/>
              </w:rPr>
              <w:t>התייעצות עם המועצה הארצית</w:t>
            </w:r>
            <w:r>
              <w:rPr>
                <w:rFonts w:hint="cs"/>
                <w:rtl/>
              </w:rPr>
              <w:t xml:space="preserve">, </w:t>
            </w:r>
            <w:r w:rsidRPr="00645EC1">
              <w:rPr>
                <w:rtl/>
              </w:rPr>
              <w:t>להורות לשר הפנים</w:t>
            </w:r>
            <w:r>
              <w:rPr>
                <w:rFonts w:hint="cs"/>
                <w:rtl/>
              </w:rPr>
              <w:t>,</w:t>
            </w:r>
            <w:r w:rsidRPr="00645EC1">
              <w:rPr>
                <w:rtl/>
              </w:rPr>
              <w:t xml:space="preserve"> לקבוע</w:t>
            </w:r>
            <w:r w:rsidR="00361BC3">
              <w:rPr>
                <w:rFonts w:hint="cs"/>
                <w:rtl/>
              </w:rPr>
              <w:t>,</w:t>
            </w:r>
            <w:r w:rsidRPr="00645EC1">
              <w:rPr>
                <w:rtl/>
              </w:rPr>
              <w:t xml:space="preserve"> בצו</w:t>
            </w:r>
            <w:r>
              <w:rPr>
                <w:rFonts w:hint="cs"/>
                <w:rtl/>
              </w:rPr>
              <w:t>,</w:t>
            </w:r>
            <w:r w:rsidRPr="00645EC1">
              <w:rPr>
                <w:rtl/>
              </w:rPr>
              <w:t xml:space="preserve"> פטור מהיתר לפי פרק ה' או מת</w:t>
            </w:r>
            <w:r w:rsidR="00361BC3">
              <w:rPr>
                <w:rFonts w:hint="cs"/>
                <w:rtl/>
              </w:rPr>
              <w:t>ו</w:t>
            </w:r>
            <w:r w:rsidRPr="00645EC1">
              <w:rPr>
                <w:rtl/>
              </w:rPr>
              <w:t>כנית</w:t>
            </w:r>
            <w:r>
              <w:rPr>
                <w:rFonts w:hint="cs"/>
                <w:rtl/>
              </w:rPr>
              <w:t>,</w:t>
            </w:r>
            <w:r w:rsidRPr="00645EC1">
              <w:rPr>
                <w:rtl/>
              </w:rPr>
              <w:t xml:space="preserve"> לעבודות או לשימושים </w:t>
            </w:r>
            <w:r>
              <w:rPr>
                <w:rFonts w:hint="cs"/>
                <w:rtl/>
              </w:rPr>
              <w:t>הנדרשים</w:t>
            </w:r>
            <w:r w:rsidRPr="00645EC1">
              <w:rPr>
                <w:rtl/>
              </w:rPr>
              <w:t xml:space="preserve"> </w:t>
            </w:r>
            <w:r>
              <w:rPr>
                <w:rFonts w:hint="cs"/>
                <w:rtl/>
              </w:rPr>
              <w:t>ל</w:t>
            </w:r>
            <w:r w:rsidRPr="00645EC1">
              <w:rPr>
                <w:rtl/>
              </w:rPr>
              <w:t xml:space="preserve">הקמת היישוב </w:t>
            </w:r>
            <w:r>
              <w:rPr>
                <w:rFonts w:hint="cs"/>
                <w:rtl/>
              </w:rPr>
              <w:t>כאמור</w:t>
            </w:r>
            <w:r w:rsidRPr="00645EC1">
              <w:rPr>
                <w:rtl/>
              </w:rPr>
              <w:t>, והכול בכפוף להוראות כמפורט להלן וליתר הוראות סעיף זה:</w:t>
            </w:r>
            <w:r w:rsidDel="00D27684">
              <w:t xml:space="preserve"> </w:t>
            </w:r>
          </w:p>
        </w:tc>
      </w:tr>
      <w:tr w:rsidR="00E01CC9" w14:paraId="3B165DD3" w14:textId="77777777" w:rsidTr="00361BC3">
        <w:trPr>
          <w:trHeight w:val="60"/>
        </w:trPr>
        <w:tc>
          <w:tcPr>
            <w:tcW w:w="1869" w:type="dxa"/>
          </w:tcPr>
          <w:p w14:paraId="708D5BB8" w14:textId="77777777" w:rsidR="00E01CC9" w:rsidRDefault="00E01CC9" w:rsidP="00AB2558">
            <w:pPr>
              <w:pStyle w:val="TableSideHeading"/>
            </w:pPr>
          </w:p>
        </w:tc>
        <w:tc>
          <w:tcPr>
            <w:tcW w:w="623" w:type="dxa"/>
          </w:tcPr>
          <w:p w14:paraId="7A0483B2" w14:textId="77777777" w:rsidR="00E01CC9" w:rsidRDefault="00E01CC9" w:rsidP="00AB2558">
            <w:pPr>
              <w:pStyle w:val="TableText"/>
            </w:pPr>
          </w:p>
        </w:tc>
        <w:tc>
          <w:tcPr>
            <w:tcW w:w="624" w:type="dxa"/>
          </w:tcPr>
          <w:p w14:paraId="1A3D4C90" w14:textId="77777777" w:rsidR="00E01CC9" w:rsidRDefault="00E01CC9" w:rsidP="00AB2558">
            <w:pPr>
              <w:pStyle w:val="TableText"/>
            </w:pPr>
          </w:p>
        </w:tc>
        <w:tc>
          <w:tcPr>
            <w:tcW w:w="624" w:type="dxa"/>
          </w:tcPr>
          <w:p w14:paraId="3CAEDE65" w14:textId="77777777" w:rsidR="00E01CC9" w:rsidRDefault="00E01CC9" w:rsidP="00AB2558">
            <w:pPr>
              <w:pStyle w:val="TableText"/>
            </w:pPr>
          </w:p>
        </w:tc>
        <w:tc>
          <w:tcPr>
            <w:tcW w:w="624" w:type="dxa"/>
          </w:tcPr>
          <w:p w14:paraId="1B96975E" w14:textId="77777777" w:rsidR="00E01CC9" w:rsidRDefault="00E01CC9" w:rsidP="00AB2558">
            <w:pPr>
              <w:pStyle w:val="TableText"/>
            </w:pPr>
          </w:p>
        </w:tc>
        <w:tc>
          <w:tcPr>
            <w:tcW w:w="624" w:type="dxa"/>
          </w:tcPr>
          <w:p w14:paraId="7B39C058" w14:textId="77777777" w:rsidR="00E01CC9" w:rsidRDefault="00E01CC9" w:rsidP="00AB2558">
            <w:pPr>
              <w:pStyle w:val="TableText"/>
            </w:pPr>
          </w:p>
        </w:tc>
        <w:tc>
          <w:tcPr>
            <w:tcW w:w="624" w:type="dxa"/>
          </w:tcPr>
          <w:p w14:paraId="7194EFF2" w14:textId="77777777" w:rsidR="00E01CC9" w:rsidRDefault="00E01CC9" w:rsidP="00AB2558">
            <w:pPr>
              <w:pStyle w:val="TableText"/>
            </w:pPr>
          </w:p>
        </w:tc>
        <w:tc>
          <w:tcPr>
            <w:tcW w:w="4024" w:type="dxa"/>
          </w:tcPr>
          <w:p w14:paraId="79C5FA0A" w14:textId="59753BFA" w:rsidR="00E01CC9" w:rsidRDefault="00E01CC9" w:rsidP="00AB2558">
            <w:pPr>
              <w:pStyle w:val="TableBlock"/>
            </w:pPr>
            <w:r>
              <w:rPr>
                <w:rFonts w:hint="cs"/>
                <w:rtl/>
              </w:rPr>
              <w:t>(1)</w:t>
            </w:r>
            <w:r>
              <w:rPr>
                <w:rtl/>
              </w:rPr>
              <w:tab/>
            </w:r>
            <w:r w:rsidRPr="00BF0D20">
              <w:rPr>
                <w:rtl/>
              </w:rPr>
              <w:t>שטח המתחם לא יעלה על 500 דונ</w:t>
            </w:r>
            <w:r w:rsidR="00361BC3">
              <w:rPr>
                <w:rFonts w:hint="cs"/>
                <w:rtl/>
              </w:rPr>
              <w:t>מ</w:t>
            </w:r>
            <w:r w:rsidRPr="00BF0D20">
              <w:rPr>
                <w:rtl/>
              </w:rPr>
              <w:t>ים ומספר יחידות הדיור המתחם לא יעלה על 500;</w:t>
            </w:r>
          </w:p>
        </w:tc>
      </w:tr>
      <w:tr w:rsidR="00E01CC9" w14:paraId="550A0C08" w14:textId="77777777" w:rsidTr="00361BC3">
        <w:tc>
          <w:tcPr>
            <w:tcW w:w="1869" w:type="dxa"/>
          </w:tcPr>
          <w:p w14:paraId="641A3BCC" w14:textId="77777777" w:rsidR="00E01CC9" w:rsidRDefault="00E01CC9" w:rsidP="00AB2558">
            <w:pPr>
              <w:pStyle w:val="TableSideHeading"/>
            </w:pPr>
          </w:p>
        </w:tc>
        <w:tc>
          <w:tcPr>
            <w:tcW w:w="623" w:type="dxa"/>
          </w:tcPr>
          <w:p w14:paraId="5D74DA46" w14:textId="77777777" w:rsidR="00E01CC9" w:rsidRDefault="00E01CC9" w:rsidP="00AB2558">
            <w:pPr>
              <w:pStyle w:val="TableText"/>
            </w:pPr>
          </w:p>
        </w:tc>
        <w:tc>
          <w:tcPr>
            <w:tcW w:w="624" w:type="dxa"/>
          </w:tcPr>
          <w:p w14:paraId="66E68F1C" w14:textId="77777777" w:rsidR="00E01CC9" w:rsidRDefault="00E01CC9" w:rsidP="00AB2558">
            <w:pPr>
              <w:pStyle w:val="TableText"/>
            </w:pPr>
          </w:p>
        </w:tc>
        <w:tc>
          <w:tcPr>
            <w:tcW w:w="624" w:type="dxa"/>
          </w:tcPr>
          <w:p w14:paraId="360D23A7" w14:textId="77777777" w:rsidR="00E01CC9" w:rsidRDefault="00E01CC9" w:rsidP="00AB2558">
            <w:pPr>
              <w:pStyle w:val="TableText"/>
            </w:pPr>
          </w:p>
        </w:tc>
        <w:tc>
          <w:tcPr>
            <w:tcW w:w="624" w:type="dxa"/>
          </w:tcPr>
          <w:p w14:paraId="311D8886" w14:textId="77777777" w:rsidR="00E01CC9" w:rsidRDefault="00E01CC9" w:rsidP="00AB2558">
            <w:pPr>
              <w:pStyle w:val="TableText"/>
            </w:pPr>
          </w:p>
        </w:tc>
        <w:tc>
          <w:tcPr>
            <w:tcW w:w="624" w:type="dxa"/>
          </w:tcPr>
          <w:p w14:paraId="550B41C3" w14:textId="77777777" w:rsidR="00E01CC9" w:rsidRDefault="00E01CC9" w:rsidP="00AB2558">
            <w:pPr>
              <w:pStyle w:val="TableText"/>
            </w:pPr>
          </w:p>
        </w:tc>
        <w:tc>
          <w:tcPr>
            <w:tcW w:w="624" w:type="dxa"/>
          </w:tcPr>
          <w:p w14:paraId="2BE6C1D0" w14:textId="77777777" w:rsidR="00E01CC9" w:rsidRDefault="00E01CC9" w:rsidP="00AB2558">
            <w:pPr>
              <w:pStyle w:val="TableText"/>
            </w:pPr>
          </w:p>
        </w:tc>
        <w:tc>
          <w:tcPr>
            <w:tcW w:w="4024" w:type="dxa"/>
          </w:tcPr>
          <w:p w14:paraId="4EA61896" w14:textId="72C9A633" w:rsidR="00E01CC9" w:rsidRDefault="00E01CC9" w:rsidP="00361BC3">
            <w:pPr>
              <w:pStyle w:val="TableBlock"/>
            </w:pPr>
            <w:r>
              <w:rPr>
                <w:rFonts w:hint="cs"/>
                <w:rtl/>
              </w:rPr>
              <w:t>(2)</w:t>
            </w:r>
            <w:r>
              <w:rPr>
                <w:rtl/>
              </w:rPr>
              <w:tab/>
            </w:r>
            <w:r w:rsidRPr="00645EC1">
              <w:rPr>
                <w:rtl/>
              </w:rPr>
              <w:t>העבודות והשימושים יהיו למטרות מגורים, או לשימושים</w:t>
            </w:r>
            <w:r>
              <w:rPr>
                <w:rFonts w:hint="cs"/>
                <w:rtl/>
              </w:rPr>
              <w:t>, מסחר ושירותים</w:t>
            </w:r>
            <w:r w:rsidRPr="00645EC1">
              <w:rPr>
                <w:rtl/>
              </w:rPr>
              <w:t xml:space="preserve"> </w:t>
            </w:r>
            <w:r>
              <w:rPr>
                <w:rFonts w:hint="cs"/>
                <w:rtl/>
              </w:rPr>
              <w:lastRenderedPageBreak/>
              <w:t>אחרים ה</w:t>
            </w:r>
            <w:r w:rsidRPr="00645EC1">
              <w:rPr>
                <w:rtl/>
              </w:rPr>
              <w:t>נלווים למגורים כפי שיפורטו בצו, ובכלל זה לצורכי ציבור</w:t>
            </w:r>
            <w:r>
              <w:rPr>
                <w:rFonts w:hint="cs"/>
                <w:rtl/>
              </w:rPr>
              <w:t xml:space="preserve">, </w:t>
            </w:r>
            <w:r w:rsidRPr="00645EC1">
              <w:rPr>
                <w:rtl/>
              </w:rPr>
              <w:t>והכול ובלבד שהם ישמשו בעיקר ובמישרין את יחידות הדיור במתחם המגורים, ולמטרות אלה בלב</w:t>
            </w:r>
            <w:r>
              <w:rPr>
                <w:rFonts w:hint="cs"/>
                <w:rtl/>
              </w:rPr>
              <w:t>ד;</w:t>
            </w:r>
          </w:p>
        </w:tc>
      </w:tr>
      <w:tr w:rsidR="00E01CC9" w14:paraId="4B65606F" w14:textId="77777777" w:rsidTr="00361BC3">
        <w:tc>
          <w:tcPr>
            <w:tcW w:w="1869" w:type="dxa"/>
          </w:tcPr>
          <w:p w14:paraId="7D7C6B11" w14:textId="77777777" w:rsidR="00E01CC9" w:rsidRDefault="00E01CC9" w:rsidP="00AB2558">
            <w:pPr>
              <w:pStyle w:val="TableSideHeading"/>
              <w:rPr>
                <w:rtl/>
              </w:rPr>
            </w:pPr>
          </w:p>
        </w:tc>
        <w:tc>
          <w:tcPr>
            <w:tcW w:w="623" w:type="dxa"/>
          </w:tcPr>
          <w:p w14:paraId="2924550D" w14:textId="77777777" w:rsidR="00E01CC9" w:rsidRDefault="00E01CC9" w:rsidP="00AB2558">
            <w:pPr>
              <w:pStyle w:val="TableText"/>
            </w:pPr>
          </w:p>
        </w:tc>
        <w:tc>
          <w:tcPr>
            <w:tcW w:w="624" w:type="dxa"/>
          </w:tcPr>
          <w:p w14:paraId="71DFA085" w14:textId="77777777" w:rsidR="00E01CC9" w:rsidRDefault="00E01CC9" w:rsidP="00AB2558">
            <w:pPr>
              <w:pStyle w:val="TableText"/>
            </w:pPr>
          </w:p>
        </w:tc>
        <w:tc>
          <w:tcPr>
            <w:tcW w:w="624" w:type="dxa"/>
          </w:tcPr>
          <w:p w14:paraId="2B1E157D" w14:textId="77777777" w:rsidR="00E01CC9" w:rsidRDefault="00E01CC9" w:rsidP="00AB2558">
            <w:pPr>
              <w:pStyle w:val="TableText"/>
            </w:pPr>
          </w:p>
        </w:tc>
        <w:tc>
          <w:tcPr>
            <w:tcW w:w="624" w:type="dxa"/>
          </w:tcPr>
          <w:p w14:paraId="3C2B29F6" w14:textId="77777777" w:rsidR="00E01CC9" w:rsidRDefault="00E01CC9" w:rsidP="00AB2558">
            <w:pPr>
              <w:pStyle w:val="TableText"/>
            </w:pPr>
          </w:p>
        </w:tc>
        <w:tc>
          <w:tcPr>
            <w:tcW w:w="624" w:type="dxa"/>
          </w:tcPr>
          <w:p w14:paraId="5EF59C21" w14:textId="77777777" w:rsidR="00E01CC9" w:rsidRDefault="00E01CC9" w:rsidP="00AB2558">
            <w:pPr>
              <w:pStyle w:val="TableText"/>
            </w:pPr>
          </w:p>
        </w:tc>
        <w:tc>
          <w:tcPr>
            <w:tcW w:w="624" w:type="dxa"/>
          </w:tcPr>
          <w:p w14:paraId="0F738F0F" w14:textId="77777777" w:rsidR="00E01CC9" w:rsidRDefault="00E01CC9" w:rsidP="00AB2558">
            <w:pPr>
              <w:pStyle w:val="TableText"/>
            </w:pPr>
          </w:p>
        </w:tc>
        <w:tc>
          <w:tcPr>
            <w:tcW w:w="4024" w:type="dxa"/>
          </w:tcPr>
          <w:p w14:paraId="5F43E998" w14:textId="77777777" w:rsidR="00E01CC9" w:rsidRDefault="00E01CC9" w:rsidP="00AB2558">
            <w:pPr>
              <w:pStyle w:val="TableBlock"/>
              <w:rPr>
                <w:rtl/>
              </w:rPr>
            </w:pPr>
            <w:r>
              <w:rPr>
                <w:rFonts w:hint="cs"/>
                <w:rtl/>
              </w:rPr>
              <w:t>(3)</w:t>
            </w:r>
            <w:r>
              <w:rPr>
                <w:rtl/>
              </w:rPr>
              <w:tab/>
            </w:r>
            <w:r w:rsidRPr="00645EC1">
              <w:rPr>
                <w:rtl/>
              </w:rPr>
              <w:t>העבודות ייעשו בידי המדינה, בידי גוף הפועל מטעמה לאחר שהוסמך לכך לפי החלטת הממשלה או בידי רשות מקומית, בלבד, והכול כפי שייקבע בצו; ולעניין עבודות להקמת מתקני תשתית מקומיים – גם בידי ספק מורשה כהגדרתו בחוק התקשורת או בידי בעל רישיון לפי כל דין להקמה או לאספקה של אותה תשתית</w:t>
            </w:r>
            <w:r>
              <w:rPr>
                <w:rFonts w:hint="cs"/>
                <w:rtl/>
              </w:rPr>
              <w:t>;</w:t>
            </w:r>
          </w:p>
        </w:tc>
      </w:tr>
      <w:tr w:rsidR="00E01CC9" w14:paraId="5348996B" w14:textId="77777777" w:rsidTr="00361BC3">
        <w:tc>
          <w:tcPr>
            <w:tcW w:w="1869" w:type="dxa"/>
          </w:tcPr>
          <w:p w14:paraId="0B31519A" w14:textId="77777777" w:rsidR="00E01CC9" w:rsidRDefault="00E01CC9" w:rsidP="00AB2558">
            <w:pPr>
              <w:pStyle w:val="TableSideHeading"/>
              <w:rPr>
                <w:rtl/>
              </w:rPr>
            </w:pPr>
          </w:p>
        </w:tc>
        <w:tc>
          <w:tcPr>
            <w:tcW w:w="623" w:type="dxa"/>
          </w:tcPr>
          <w:p w14:paraId="7E143B29" w14:textId="77777777" w:rsidR="00E01CC9" w:rsidRDefault="00E01CC9" w:rsidP="00AB2558">
            <w:pPr>
              <w:pStyle w:val="TableText"/>
            </w:pPr>
          </w:p>
        </w:tc>
        <w:tc>
          <w:tcPr>
            <w:tcW w:w="624" w:type="dxa"/>
          </w:tcPr>
          <w:p w14:paraId="692E9944" w14:textId="77777777" w:rsidR="00E01CC9" w:rsidRDefault="00E01CC9" w:rsidP="00AB2558">
            <w:pPr>
              <w:pStyle w:val="TableText"/>
            </w:pPr>
          </w:p>
        </w:tc>
        <w:tc>
          <w:tcPr>
            <w:tcW w:w="624" w:type="dxa"/>
          </w:tcPr>
          <w:p w14:paraId="3BBAABD5" w14:textId="77777777" w:rsidR="00E01CC9" w:rsidRDefault="00E01CC9" w:rsidP="00AB2558">
            <w:pPr>
              <w:pStyle w:val="TableText"/>
            </w:pPr>
          </w:p>
        </w:tc>
        <w:tc>
          <w:tcPr>
            <w:tcW w:w="624" w:type="dxa"/>
          </w:tcPr>
          <w:p w14:paraId="035ED3F6" w14:textId="77777777" w:rsidR="00E01CC9" w:rsidRDefault="00E01CC9" w:rsidP="00AB2558">
            <w:pPr>
              <w:pStyle w:val="TableText"/>
            </w:pPr>
          </w:p>
        </w:tc>
        <w:tc>
          <w:tcPr>
            <w:tcW w:w="624" w:type="dxa"/>
          </w:tcPr>
          <w:p w14:paraId="67F64614" w14:textId="77777777" w:rsidR="00E01CC9" w:rsidRDefault="00E01CC9" w:rsidP="00AB2558">
            <w:pPr>
              <w:pStyle w:val="TableText"/>
            </w:pPr>
          </w:p>
        </w:tc>
        <w:tc>
          <w:tcPr>
            <w:tcW w:w="624" w:type="dxa"/>
          </w:tcPr>
          <w:p w14:paraId="6DEB5291" w14:textId="77777777" w:rsidR="00E01CC9" w:rsidRDefault="00E01CC9" w:rsidP="00AB2558">
            <w:pPr>
              <w:pStyle w:val="TableText"/>
            </w:pPr>
          </w:p>
        </w:tc>
        <w:tc>
          <w:tcPr>
            <w:tcW w:w="4024" w:type="dxa"/>
          </w:tcPr>
          <w:p w14:paraId="77CB74B1" w14:textId="77777777" w:rsidR="00E01CC9" w:rsidRDefault="00E01CC9" w:rsidP="00AB2558">
            <w:pPr>
              <w:pStyle w:val="TableBlock"/>
              <w:rPr>
                <w:rtl/>
              </w:rPr>
            </w:pPr>
            <w:r>
              <w:rPr>
                <w:rFonts w:hint="cs"/>
                <w:rtl/>
              </w:rPr>
              <w:t>(4)</w:t>
            </w:r>
            <w:r>
              <w:rPr>
                <w:rtl/>
              </w:rPr>
              <w:tab/>
            </w:r>
            <w:r w:rsidRPr="00645EC1">
              <w:rPr>
                <w:rtl/>
              </w:rPr>
              <w:t>בצו ייקבעו תנאים לביצוע העבודות או השימושים, ובכלל זה לעניין מקום ביצועם ותקופת ביצוע העבודות, וכן תיקבע תקופת תוקפו של הצו, ובלבד שתקופת תוקפו של צו הקובע פטור מתוכנית תיקבע בכפוף להוראות סעיף זה</w:t>
            </w:r>
            <w:r>
              <w:rPr>
                <w:rFonts w:hint="cs"/>
                <w:rtl/>
              </w:rPr>
              <w:t>;</w:t>
            </w:r>
          </w:p>
        </w:tc>
      </w:tr>
      <w:tr w:rsidR="00E01CC9" w14:paraId="13BBF712" w14:textId="77777777" w:rsidTr="00361BC3">
        <w:tc>
          <w:tcPr>
            <w:tcW w:w="1869" w:type="dxa"/>
          </w:tcPr>
          <w:p w14:paraId="23328619" w14:textId="77777777" w:rsidR="00E01CC9" w:rsidRDefault="00E01CC9" w:rsidP="00AB2558">
            <w:pPr>
              <w:pStyle w:val="TableSideHeading"/>
              <w:rPr>
                <w:rtl/>
              </w:rPr>
            </w:pPr>
          </w:p>
        </w:tc>
        <w:tc>
          <w:tcPr>
            <w:tcW w:w="623" w:type="dxa"/>
          </w:tcPr>
          <w:p w14:paraId="644F39F5" w14:textId="77777777" w:rsidR="00E01CC9" w:rsidRDefault="00E01CC9" w:rsidP="00AB2558">
            <w:pPr>
              <w:pStyle w:val="TableText"/>
            </w:pPr>
          </w:p>
        </w:tc>
        <w:tc>
          <w:tcPr>
            <w:tcW w:w="624" w:type="dxa"/>
          </w:tcPr>
          <w:p w14:paraId="4E6F53C7" w14:textId="77777777" w:rsidR="00E01CC9" w:rsidRDefault="00E01CC9" w:rsidP="00AB2558">
            <w:pPr>
              <w:pStyle w:val="TableText"/>
            </w:pPr>
          </w:p>
        </w:tc>
        <w:tc>
          <w:tcPr>
            <w:tcW w:w="624" w:type="dxa"/>
          </w:tcPr>
          <w:p w14:paraId="1FEDE917" w14:textId="77777777" w:rsidR="00E01CC9" w:rsidRDefault="00E01CC9" w:rsidP="00AB2558">
            <w:pPr>
              <w:pStyle w:val="TableText"/>
            </w:pPr>
          </w:p>
        </w:tc>
        <w:tc>
          <w:tcPr>
            <w:tcW w:w="624" w:type="dxa"/>
          </w:tcPr>
          <w:p w14:paraId="0513CB23" w14:textId="77777777" w:rsidR="00E01CC9" w:rsidRDefault="00E01CC9" w:rsidP="00AB2558">
            <w:pPr>
              <w:pStyle w:val="TableText"/>
            </w:pPr>
          </w:p>
        </w:tc>
        <w:tc>
          <w:tcPr>
            <w:tcW w:w="624" w:type="dxa"/>
          </w:tcPr>
          <w:p w14:paraId="63649E88" w14:textId="77777777" w:rsidR="00E01CC9" w:rsidRDefault="00E01CC9" w:rsidP="00AB2558">
            <w:pPr>
              <w:pStyle w:val="TableText"/>
            </w:pPr>
          </w:p>
        </w:tc>
        <w:tc>
          <w:tcPr>
            <w:tcW w:w="624" w:type="dxa"/>
          </w:tcPr>
          <w:p w14:paraId="2622B6AD" w14:textId="77777777" w:rsidR="00E01CC9" w:rsidRDefault="00E01CC9" w:rsidP="00AB2558">
            <w:pPr>
              <w:pStyle w:val="TableText"/>
            </w:pPr>
          </w:p>
        </w:tc>
        <w:tc>
          <w:tcPr>
            <w:tcW w:w="4024" w:type="dxa"/>
          </w:tcPr>
          <w:p w14:paraId="1CC6DA93" w14:textId="415BA43A" w:rsidR="00E01CC9" w:rsidRDefault="00E01CC9" w:rsidP="00AB2558">
            <w:pPr>
              <w:pStyle w:val="TableBlock"/>
              <w:rPr>
                <w:rtl/>
              </w:rPr>
            </w:pPr>
            <w:r>
              <w:rPr>
                <w:rFonts w:hint="cs"/>
                <w:rtl/>
              </w:rPr>
              <w:t>(5)</w:t>
            </w:r>
            <w:r>
              <w:rPr>
                <w:rtl/>
              </w:rPr>
              <w:tab/>
            </w:r>
            <w:r w:rsidRPr="00645EC1">
              <w:rPr>
                <w:rtl/>
              </w:rPr>
              <w:t>השטח שלגביו יינתן הצו הוא מקרקעי ישראל או מקרקעין בבעלות רשות מקומית</w:t>
            </w:r>
            <w:r>
              <w:rPr>
                <w:rFonts w:hint="cs"/>
                <w:rtl/>
              </w:rPr>
              <w:t xml:space="preserve"> </w:t>
            </w:r>
            <w:r w:rsidRPr="00E01CC9">
              <w:rPr>
                <w:rtl/>
              </w:rPr>
              <w:t>או שניתנה הסכמת בעל הזכויות בהם לביצוע העבודות והשימושים</w:t>
            </w:r>
            <w:r>
              <w:rPr>
                <w:rFonts w:hint="cs"/>
                <w:rtl/>
              </w:rPr>
              <w:t>.</w:t>
            </w:r>
          </w:p>
        </w:tc>
      </w:tr>
      <w:tr w:rsidR="00E01CC9" w14:paraId="751E22BA" w14:textId="77777777" w:rsidTr="00361BC3">
        <w:trPr>
          <w:trHeight w:val="60"/>
        </w:trPr>
        <w:tc>
          <w:tcPr>
            <w:tcW w:w="1869" w:type="dxa"/>
          </w:tcPr>
          <w:p w14:paraId="2D0233D3" w14:textId="77777777" w:rsidR="00E01CC9" w:rsidRDefault="00E01CC9" w:rsidP="00AB2558">
            <w:pPr>
              <w:pStyle w:val="TableSideHeading"/>
            </w:pPr>
          </w:p>
        </w:tc>
        <w:tc>
          <w:tcPr>
            <w:tcW w:w="623" w:type="dxa"/>
          </w:tcPr>
          <w:p w14:paraId="488AE7AA" w14:textId="77777777" w:rsidR="00E01CC9" w:rsidRDefault="00E01CC9" w:rsidP="00AB2558">
            <w:pPr>
              <w:pStyle w:val="TableText"/>
            </w:pPr>
          </w:p>
        </w:tc>
        <w:tc>
          <w:tcPr>
            <w:tcW w:w="624" w:type="dxa"/>
          </w:tcPr>
          <w:p w14:paraId="13E63F93" w14:textId="77777777" w:rsidR="00E01CC9" w:rsidRDefault="00E01CC9" w:rsidP="00AB2558">
            <w:pPr>
              <w:pStyle w:val="TableText"/>
            </w:pPr>
          </w:p>
        </w:tc>
        <w:tc>
          <w:tcPr>
            <w:tcW w:w="624" w:type="dxa"/>
          </w:tcPr>
          <w:p w14:paraId="0321A394" w14:textId="77777777" w:rsidR="00E01CC9" w:rsidRDefault="00E01CC9" w:rsidP="00AB2558">
            <w:pPr>
              <w:pStyle w:val="TableText"/>
            </w:pPr>
          </w:p>
        </w:tc>
        <w:tc>
          <w:tcPr>
            <w:tcW w:w="624" w:type="dxa"/>
          </w:tcPr>
          <w:p w14:paraId="3C8D0895" w14:textId="77777777" w:rsidR="00E01CC9" w:rsidRDefault="00E01CC9" w:rsidP="00AB2558">
            <w:pPr>
              <w:pStyle w:val="TableText"/>
            </w:pPr>
          </w:p>
        </w:tc>
        <w:tc>
          <w:tcPr>
            <w:tcW w:w="624" w:type="dxa"/>
          </w:tcPr>
          <w:p w14:paraId="098F0F3B" w14:textId="77777777" w:rsidR="00E01CC9" w:rsidRDefault="00E01CC9" w:rsidP="00AB2558">
            <w:pPr>
              <w:pStyle w:val="TableText"/>
            </w:pPr>
          </w:p>
        </w:tc>
        <w:tc>
          <w:tcPr>
            <w:tcW w:w="4648" w:type="dxa"/>
            <w:gridSpan w:val="2"/>
          </w:tcPr>
          <w:p w14:paraId="5047FF68" w14:textId="77777777" w:rsidR="00E01CC9" w:rsidRDefault="00E01CC9" w:rsidP="00AB2558">
            <w:pPr>
              <w:pStyle w:val="TableBlock"/>
            </w:pPr>
            <w:r>
              <w:rPr>
                <w:rFonts w:hint="cs"/>
                <w:rtl/>
              </w:rPr>
              <w:t>(ב)</w:t>
            </w:r>
            <w:r>
              <w:rPr>
                <w:rtl/>
              </w:rPr>
              <w:tab/>
            </w:r>
            <w:r w:rsidRPr="00343984">
              <w:rPr>
                <w:rtl/>
              </w:rPr>
              <w:t>לעניין צו כאמור בסעיף קטן (א) שנקבע בו פטור מתוכנית נוסף על הוראות סעיף קטן (א), יחולו הוראות אלה:</w:t>
            </w:r>
          </w:p>
        </w:tc>
      </w:tr>
      <w:tr w:rsidR="00E01CC9" w14:paraId="4C993B73" w14:textId="77777777" w:rsidTr="00361BC3">
        <w:trPr>
          <w:trHeight w:val="60"/>
        </w:trPr>
        <w:tc>
          <w:tcPr>
            <w:tcW w:w="1869" w:type="dxa"/>
          </w:tcPr>
          <w:p w14:paraId="202733A1" w14:textId="77777777" w:rsidR="00E01CC9" w:rsidRDefault="00E01CC9" w:rsidP="00AB2558">
            <w:pPr>
              <w:pStyle w:val="TableSideHeading"/>
            </w:pPr>
          </w:p>
        </w:tc>
        <w:tc>
          <w:tcPr>
            <w:tcW w:w="623" w:type="dxa"/>
          </w:tcPr>
          <w:p w14:paraId="1AF47D49" w14:textId="77777777" w:rsidR="00E01CC9" w:rsidRDefault="00E01CC9" w:rsidP="00AB2558">
            <w:pPr>
              <w:pStyle w:val="TableText"/>
            </w:pPr>
          </w:p>
        </w:tc>
        <w:tc>
          <w:tcPr>
            <w:tcW w:w="624" w:type="dxa"/>
          </w:tcPr>
          <w:p w14:paraId="30770C2C" w14:textId="77777777" w:rsidR="00E01CC9" w:rsidRDefault="00E01CC9" w:rsidP="00AB2558">
            <w:pPr>
              <w:pStyle w:val="TableText"/>
            </w:pPr>
          </w:p>
        </w:tc>
        <w:tc>
          <w:tcPr>
            <w:tcW w:w="624" w:type="dxa"/>
          </w:tcPr>
          <w:p w14:paraId="621AC5BB" w14:textId="77777777" w:rsidR="00E01CC9" w:rsidRDefault="00E01CC9" w:rsidP="00AB2558">
            <w:pPr>
              <w:pStyle w:val="TableText"/>
            </w:pPr>
          </w:p>
        </w:tc>
        <w:tc>
          <w:tcPr>
            <w:tcW w:w="624" w:type="dxa"/>
          </w:tcPr>
          <w:p w14:paraId="3820774B" w14:textId="77777777" w:rsidR="00E01CC9" w:rsidRDefault="00E01CC9" w:rsidP="00AB2558">
            <w:pPr>
              <w:pStyle w:val="TableText"/>
            </w:pPr>
          </w:p>
        </w:tc>
        <w:tc>
          <w:tcPr>
            <w:tcW w:w="624" w:type="dxa"/>
          </w:tcPr>
          <w:p w14:paraId="508D4259" w14:textId="77777777" w:rsidR="00E01CC9" w:rsidRDefault="00E01CC9" w:rsidP="00AB2558">
            <w:pPr>
              <w:pStyle w:val="TableText"/>
            </w:pPr>
          </w:p>
        </w:tc>
        <w:tc>
          <w:tcPr>
            <w:tcW w:w="624" w:type="dxa"/>
          </w:tcPr>
          <w:p w14:paraId="563742D2" w14:textId="77777777" w:rsidR="00E01CC9" w:rsidRDefault="00E01CC9" w:rsidP="00AB2558">
            <w:pPr>
              <w:pStyle w:val="TableText"/>
            </w:pPr>
          </w:p>
        </w:tc>
        <w:tc>
          <w:tcPr>
            <w:tcW w:w="4024" w:type="dxa"/>
          </w:tcPr>
          <w:p w14:paraId="210B611C" w14:textId="2B51F0F4" w:rsidR="00E01CC9" w:rsidRDefault="00E01CC9" w:rsidP="00361BC3">
            <w:pPr>
              <w:pStyle w:val="TableBlock"/>
            </w:pPr>
            <w:r>
              <w:rPr>
                <w:rFonts w:hint="cs"/>
                <w:rtl/>
              </w:rPr>
              <w:t>(1)</w:t>
            </w:r>
            <w:r>
              <w:rPr>
                <w:rtl/>
              </w:rPr>
              <w:tab/>
            </w:r>
            <w:r w:rsidRPr="007A4F3B">
              <w:rPr>
                <w:rtl/>
              </w:rPr>
              <w:t>התקבלה חוות דעת בכתב מאת מתכנן המחוז</w:t>
            </w:r>
            <w:r>
              <w:rPr>
                <w:rFonts w:hint="cs"/>
                <w:rtl/>
              </w:rPr>
              <w:t xml:space="preserve"> </w:t>
            </w:r>
            <w:r w:rsidRPr="00343984">
              <w:rPr>
                <w:rFonts w:hint="cs"/>
                <w:rtl/>
              </w:rPr>
              <w:t xml:space="preserve">ויושב ראש </w:t>
            </w:r>
            <w:r w:rsidRPr="00AB2558">
              <w:rPr>
                <w:rFonts w:hint="eastAsia"/>
                <w:rtl/>
              </w:rPr>
              <w:t>הו</w:t>
            </w:r>
            <w:r w:rsidRPr="00343984">
              <w:rPr>
                <w:rFonts w:hint="cs"/>
                <w:rtl/>
              </w:rPr>
              <w:t xml:space="preserve">ועדה </w:t>
            </w:r>
            <w:r w:rsidRPr="00AB2558">
              <w:rPr>
                <w:rFonts w:hint="eastAsia"/>
                <w:rtl/>
              </w:rPr>
              <w:t>ה</w:t>
            </w:r>
            <w:r w:rsidRPr="00343984">
              <w:rPr>
                <w:rFonts w:hint="cs"/>
                <w:rtl/>
              </w:rPr>
              <w:t xml:space="preserve">מחוזית </w:t>
            </w:r>
            <w:r>
              <w:rPr>
                <w:rFonts w:hint="cs"/>
                <w:rtl/>
              </w:rPr>
              <w:t>שבתחומה מוצע הצו לא יאוחר משנה מיום שנתבקשה על ידי שר הפנים</w:t>
            </w:r>
            <w:r w:rsidRPr="007A4F3B">
              <w:rPr>
                <w:rtl/>
              </w:rPr>
              <w:t xml:space="preserve">, ולפיה יש, על פני הדברים, אפשרות סבירה להסדרת העבודות כפי שייקבעו בצו כאמור, בתוכנית; חוות </w:t>
            </w:r>
            <w:r>
              <w:rPr>
                <w:rFonts w:hint="cs"/>
                <w:rtl/>
              </w:rPr>
              <w:t>הדעת</w:t>
            </w:r>
            <w:r w:rsidRPr="007A4F3B">
              <w:rPr>
                <w:rtl/>
              </w:rPr>
              <w:t xml:space="preserve"> </w:t>
            </w:r>
            <w:r>
              <w:rPr>
                <w:rFonts w:hint="cs"/>
                <w:rtl/>
              </w:rPr>
              <w:t xml:space="preserve">כאמור </w:t>
            </w:r>
            <w:r w:rsidRPr="007A4F3B">
              <w:rPr>
                <w:rtl/>
              </w:rPr>
              <w:t xml:space="preserve">תכלול התייחסות גם למידת התאמתה של </w:t>
            </w:r>
            <w:proofErr w:type="spellStart"/>
            <w:r w:rsidRPr="007A4F3B">
              <w:rPr>
                <w:rtl/>
              </w:rPr>
              <w:t>תוכנית</w:t>
            </w:r>
            <w:proofErr w:type="spellEnd"/>
            <w:r w:rsidRPr="007A4F3B">
              <w:rPr>
                <w:rtl/>
              </w:rPr>
              <w:t xml:space="preserve"> </w:t>
            </w:r>
            <w:r w:rsidRPr="007A4F3B">
              <w:rPr>
                <w:rtl/>
              </w:rPr>
              <w:lastRenderedPageBreak/>
              <w:t xml:space="preserve">כאמור לתוכניות </w:t>
            </w:r>
            <w:proofErr w:type="spellStart"/>
            <w:r w:rsidRPr="007A4F3B">
              <w:rPr>
                <w:rtl/>
              </w:rPr>
              <w:t>מיתאר</w:t>
            </w:r>
            <w:proofErr w:type="spellEnd"/>
            <w:r w:rsidRPr="007A4F3B">
              <w:rPr>
                <w:rtl/>
              </w:rPr>
              <w:t xml:space="preserve"> ארציות, ובכלל זה לתוכניות לתשתיות לאומיות ולתוכניות </w:t>
            </w:r>
            <w:proofErr w:type="spellStart"/>
            <w:r w:rsidRPr="007A4F3B">
              <w:rPr>
                <w:rtl/>
              </w:rPr>
              <w:t>מיתאר</w:t>
            </w:r>
            <w:proofErr w:type="spellEnd"/>
            <w:r w:rsidRPr="007A4F3B">
              <w:rPr>
                <w:rtl/>
              </w:rPr>
              <w:t xml:space="preserve"> מחוזיות, ואם יש סטייה מתוכניות כאמור – את ההצדקה לכך; חוות דעת כאמור תתייחס, בין השאר, לשיקולים סביבתיים, חקלאיים, תחבורתיים וחברתיים שיש בהקמת המתחם; הוראות אלה לא יחולו לעניין צו החל בשטח </w:t>
            </w:r>
            <w:proofErr w:type="spellStart"/>
            <w:r w:rsidRPr="007A4F3B">
              <w:rPr>
                <w:rtl/>
              </w:rPr>
              <w:t>תוכנית</w:t>
            </w:r>
            <w:proofErr w:type="spellEnd"/>
            <w:r w:rsidRPr="007A4F3B">
              <w:rPr>
                <w:rtl/>
              </w:rPr>
              <w:t xml:space="preserve"> או בשט</w:t>
            </w:r>
            <w:r w:rsidR="00361BC3">
              <w:rPr>
                <w:rtl/>
              </w:rPr>
              <w:t xml:space="preserve">ח </w:t>
            </w:r>
            <w:proofErr w:type="spellStart"/>
            <w:r w:rsidR="00361BC3">
              <w:rPr>
                <w:rtl/>
              </w:rPr>
              <w:t>תוכנית</w:t>
            </w:r>
            <w:proofErr w:type="spellEnd"/>
            <w:r w:rsidR="00361BC3">
              <w:rPr>
                <w:rtl/>
              </w:rPr>
              <w:t xml:space="preserve"> שהוחלט על הפקדתה (בפסק</w:t>
            </w:r>
            <w:r w:rsidR="00361BC3">
              <w:rPr>
                <w:rFonts w:hint="cs"/>
                <w:rtl/>
              </w:rPr>
              <w:t>ה</w:t>
            </w:r>
            <w:r w:rsidRPr="007A4F3B">
              <w:rPr>
                <w:rtl/>
              </w:rPr>
              <w:t xml:space="preserve"> זו – </w:t>
            </w:r>
            <w:proofErr w:type="spellStart"/>
            <w:r w:rsidRPr="007A4F3B">
              <w:rPr>
                <w:rtl/>
              </w:rPr>
              <w:t>תוכנית</w:t>
            </w:r>
            <w:proofErr w:type="spellEnd"/>
            <w:r w:rsidRPr="007A4F3B">
              <w:rPr>
                <w:rtl/>
              </w:rPr>
              <w:t xml:space="preserve"> מקורית), ובלבד שהייעוד העיקרי בשטח הצו החופף לתוכנית המקורית הוא למגורים ושטח הצו חורג לכל היותר ב-20% משטח התוכנית המקורית החופף לצו (בפסקה זו – צו התואם בעיקרו הוראות </w:t>
            </w:r>
            <w:proofErr w:type="spellStart"/>
            <w:r w:rsidRPr="007A4F3B">
              <w:rPr>
                <w:rtl/>
              </w:rPr>
              <w:t>תוכנית</w:t>
            </w:r>
            <w:proofErr w:type="spellEnd"/>
            <w:r w:rsidRPr="007A4F3B">
              <w:rPr>
                <w:rtl/>
              </w:rPr>
              <w:t xml:space="preserve"> מקורית);</w:t>
            </w:r>
            <w:r>
              <w:rPr>
                <w:rFonts w:hint="cs"/>
                <w:rtl/>
              </w:rPr>
              <w:t xml:space="preserve"> </w:t>
            </w:r>
          </w:p>
        </w:tc>
      </w:tr>
      <w:tr w:rsidR="00E01CC9" w14:paraId="4E4D10F6" w14:textId="77777777" w:rsidTr="00361BC3">
        <w:trPr>
          <w:trHeight w:val="60"/>
        </w:trPr>
        <w:tc>
          <w:tcPr>
            <w:tcW w:w="1869" w:type="dxa"/>
          </w:tcPr>
          <w:p w14:paraId="2D8A812C" w14:textId="77777777" w:rsidR="00E01CC9" w:rsidRDefault="00E01CC9" w:rsidP="00AB2558">
            <w:pPr>
              <w:pStyle w:val="TableSideHeading"/>
              <w:rPr>
                <w:rtl/>
              </w:rPr>
            </w:pPr>
          </w:p>
        </w:tc>
        <w:tc>
          <w:tcPr>
            <w:tcW w:w="623" w:type="dxa"/>
          </w:tcPr>
          <w:p w14:paraId="358A3905" w14:textId="77777777" w:rsidR="00E01CC9" w:rsidRDefault="00E01CC9" w:rsidP="00AB2558">
            <w:pPr>
              <w:pStyle w:val="TableText"/>
            </w:pPr>
          </w:p>
        </w:tc>
        <w:tc>
          <w:tcPr>
            <w:tcW w:w="624" w:type="dxa"/>
          </w:tcPr>
          <w:p w14:paraId="12BA4BF6" w14:textId="77777777" w:rsidR="00E01CC9" w:rsidRDefault="00E01CC9" w:rsidP="00AB2558">
            <w:pPr>
              <w:pStyle w:val="TableText"/>
            </w:pPr>
          </w:p>
        </w:tc>
        <w:tc>
          <w:tcPr>
            <w:tcW w:w="624" w:type="dxa"/>
          </w:tcPr>
          <w:p w14:paraId="1000D95D" w14:textId="77777777" w:rsidR="00E01CC9" w:rsidRDefault="00E01CC9" w:rsidP="00AB2558">
            <w:pPr>
              <w:pStyle w:val="TableText"/>
            </w:pPr>
          </w:p>
        </w:tc>
        <w:tc>
          <w:tcPr>
            <w:tcW w:w="624" w:type="dxa"/>
          </w:tcPr>
          <w:p w14:paraId="0B9F72B8" w14:textId="77777777" w:rsidR="00E01CC9" w:rsidRDefault="00E01CC9" w:rsidP="00AB2558">
            <w:pPr>
              <w:pStyle w:val="TableText"/>
            </w:pPr>
          </w:p>
        </w:tc>
        <w:tc>
          <w:tcPr>
            <w:tcW w:w="624" w:type="dxa"/>
          </w:tcPr>
          <w:p w14:paraId="7F00BD94" w14:textId="77777777" w:rsidR="00E01CC9" w:rsidRDefault="00E01CC9" w:rsidP="00AB2558">
            <w:pPr>
              <w:pStyle w:val="TableText"/>
            </w:pPr>
          </w:p>
        </w:tc>
        <w:tc>
          <w:tcPr>
            <w:tcW w:w="624" w:type="dxa"/>
          </w:tcPr>
          <w:p w14:paraId="5A75D492" w14:textId="77777777" w:rsidR="00E01CC9" w:rsidRDefault="00E01CC9" w:rsidP="00AB2558">
            <w:pPr>
              <w:pStyle w:val="TableText"/>
            </w:pPr>
          </w:p>
        </w:tc>
        <w:tc>
          <w:tcPr>
            <w:tcW w:w="4024" w:type="dxa"/>
          </w:tcPr>
          <w:p w14:paraId="7568BDFA" w14:textId="77777777" w:rsidR="00E01CC9" w:rsidRDefault="00E01CC9" w:rsidP="00AB2558">
            <w:pPr>
              <w:pStyle w:val="TableBlock"/>
              <w:rPr>
                <w:rtl/>
              </w:rPr>
            </w:pPr>
            <w:r>
              <w:rPr>
                <w:rFonts w:hint="cs"/>
                <w:rtl/>
              </w:rPr>
              <w:t>(2)</w:t>
            </w:r>
            <w:r>
              <w:rPr>
                <w:rtl/>
              </w:rPr>
              <w:tab/>
            </w:r>
            <w:r w:rsidRPr="00722CA2">
              <w:rPr>
                <w:rtl/>
              </w:rPr>
              <w:t xml:space="preserve">הצו לא יחול בתחום הסביבה החופית, בתחום המיועד בתוכנית לגן לאומי או לשמורת טבע, בתחום אתר לאומי או אתר הנצחה, כהגדרתם בחוק גנים לאומיים, או בתחום המיועד ליער בתוכנית </w:t>
            </w:r>
            <w:proofErr w:type="spellStart"/>
            <w:r w:rsidRPr="00722CA2">
              <w:rPr>
                <w:rtl/>
              </w:rPr>
              <w:t>מיתאר</w:t>
            </w:r>
            <w:proofErr w:type="spellEnd"/>
            <w:r w:rsidRPr="00722CA2">
              <w:rPr>
                <w:rtl/>
              </w:rPr>
              <w:t xml:space="preserve"> ארצית (בסעיף זה – תחום המיועד ליער); ואולם ניתן לקבוע בצו כאמור כי המתחם יכלול תחום המיועד ליער בשיעור שלא יעלה על 20% מהשטח הכולל של המתחם או 15% מסך השטח המיועד ליער, בתחום יער שנקבע בתוכנית </w:t>
            </w:r>
            <w:proofErr w:type="spellStart"/>
            <w:r w:rsidRPr="00722CA2">
              <w:rPr>
                <w:rtl/>
              </w:rPr>
              <w:t>מיתאר</w:t>
            </w:r>
            <w:proofErr w:type="spellEnd"/>
            <w:r w:rsidRPr="00722CA2">
              <w:rPr>
                <w:rtl/>
              </w:rPr>
              <w:t xml:space="preserve"> ארצית, לפי הקטן; המועצה הארצית רשאית לאשר כי בצו ייכלל תחום המיועד ליער ששיעורו גדול מהשיעורים האמורים;</w:t>
            </w:r>
          </w:p>
        </w:tc>
      </w:tr>
      <w:tr w:rsidR="00E01CC9" w14:paraId="72289827" w14:textId="77777777" w:rsidTr="00361BC3">
        <w:trPr>
          <w:trHeight w:val="60"/>
        </w:trPr>
        <w:tc>
          <w:tcPr>
            <w:tcW w:w="1869" w:type="dxa"/>
          </w:tcPr>
          <w:p w14:paraId="7D9091FE" w14:textId="77777777" w:rsidR="00E01CC9" w:rsidRDefault="00E01CC9" w:rsidP="00AB2558">
            <w:pPr>
              <w:pStyle w:val="TableSideHeading"/>
              <w:rPr>
                <w:rtl/>
              </w:rPr>
            </w:pPr>
          </w:p>
        </w:tc>
        <w:tc>
          <w:tcPr>
            <w:tcW w:w="623" w:type="dxa"/>
          </w:tcPr>
          <w:p w14:paraId="2E3DBB4E" w14:textId="77777777" w:rsidR="00E01CC9" w:rsidRDefault="00E01CC9" w:rsidP="00AB2558">
            <w:pPr>
              <w:pStyle w:val="TableText"/>
            </w:pPr>
          </w:p>
        </w:tc>
        <w:tc>
          <w:tcPr>
            <w:tcW w:w="624" w:type="dxa"/>
          </w:tcPr>
          <w:p w14:paraId="114766E5" w14:textId="77777777" w:rsidR="00E01CC9" w:rsidRDefault="00E01CC9" w:rsidP="00AB2558">
            <w:pPr>
              <w:pStyle w:val="TableText"/>
            </w:pPr>
          </w:p>
        </w:tc>
        <w:tc>
          <w:tcPr>
            <w:tcW w:w="624" w:type="dxa"/>
          </w:tcPr>
          <w:p w14:paraId="7B432492" w14:textId="77777777" w:rsidR="00E01CC9" w:rsidRDefault="00E01CC9" w:rsidP="00AB2558">
            <w:pPr>
              <w:pStyle w:val="TableText"/>
            </w:pPr>
          </w:p>
        </w:tc>
        <w:tc>
          <w:tcPr>
            <w:tcW w:w="624" w:type="dxa"/>
          </w:tcPr>
          <w:p w14:paraId="59DEFCE2" w14:textId="77777777" w:rsidR="00E01CC9" w:rsidRDefault="00E01CC9" w:rsidP="00AB2558">
            <w:pPr>
              <w:pStyle w:val="TableText"/>
            </w:pPr>
          </w:p>
        </w:tc>
        <w:tc>
          <w:tcPr>
            <w:tcW w:w="624" w:type="dxa"/>
          </w:tcPr>
          <w:p w14:paraId="5A985014" w14:textId="77777777" w:rsidR="00E01CC9" w:rsidRDefault="00E01CC9" w:rsidP="00AB2558">
            <w:pPr>
              <w:pStyle w:val="TableText"/>
            </w:pPr>
          </w:p>
        </w:tc>
        <w:tc>
          <w:tcPr>
            <w:tcW w:w="624" w:type="dxa"/>
          </w:tcPr>
          <w:p w14:paraId="2044F146" w14:textId="77777777" w:rsidR="00E01CC9" w:rsidRDefault="00E01CC9" w:rsidP="00AB2558">
            <w:pPr>
              <w:pStyle w:val="TableText"/>
            </w:pPr>
          </w:p>
        </w:tc>
        <w:tc>
          <w:tcPr>
            <w:tcW w:w="4024" w:type="dxa"/>
          </w:tcPr>
          <w:p w14:paraId="0FE8D463" w14:textId="286059E1" w:rsidR="00E01CC9" w:rsidRDefault="00E01CC9" w:rsidP="008135EC">
            <w:pPr>
              <w:pStyle w:val="TableBlock"/>
              <w:rPr>
                <w:rtl/>
              </w:rPr>
            </w:pPr>
            <w:r>
              <w:rPr>
                <w:rFonts w:hint="cs"/>
                <w:rtl/>
              </w:rPr>
              <w:t>(3)</w:t>
            </w:r>
            <w:r>
              <w:rPr>
                <w:rtl/>
              </w:rPr>
              <w:tab/>
            </w:r>
            <w:r w:rsidRPr="00722CA2">
              <w:rPr>
                <w:rtl/>
              </w:rPr>
              <w:t xml:space="preserve">בצו יפורטו ההוראות כאמור בסעיפים קטנים </w:t>
            </w:r>
            <w:r w:rsidRPr="00343984">
              <w:rPr>
                <w:rtl/>
              </w:rPr>
              <w:t>(</w:t>
            </w:r>
            <w:r w:rsidR="008135EC">
              <w:rPr>
                <w:rFonts w:hint="cs"/>
                <w:rtl/>
              </w:rPr>
              <w:t>ה</w:t>
            </w:r>
            <w:r w:rsidRPr="00343984">
              <w:rPr>
                <w:rtl/>
              </w:rPr>
              <w:t>) עד (</w:t>
            </w:r>
            <w:r w:rsidR="008135EC">
              <w:rPr>
                <w:rFonts w:hint="cs"/>
                <w:rtl/>
              </w:rPr>
              <w:t>ז</w:t>
            </w:r>
            <w:r w:rsidRPr="00343984">
              <w:rPr>
                <w:rtl/>
              </w:rPr>
              <w:t>).</w:t>
            </w:r>
          </w:p>
        </w:tc>
      </w:tr>
      <w:tr w:rsidR="00E01CC9" w14:paraId="66717DEF" w14:textId="77777777" w:rsidTr="00361BC3">
        <w:trPr>
          <w:trHeight w:val="60"/>
        </w:trPr>
        <w:tc>
          <w:tcPr>
            <w:tcW w:w="1869" w:type="dxa"/>
          </w:tcPr>
          <w:p w14:paraId="1A62073B" w14:textId="77777777" w:rsidR="00E01CC9" w:rsidRDefault="00E01CC9" w:rsidP="00AB2558">
            <w:pPr>
              <w:pStyle w:val="TableSideHeading"/>
            </w:pPr>
          </w:p>
        </w:tc>
        <w:tc>
          <w:tcPr>
            <w:tcW w:w="623" w:type="dxa"/>
          </w:tcPr>
          <w:p w14:paraId="3DBC2E09" w14:textId="77777777" w:rsidR="00E01CC9" w:rsidRDefault="00E01CC9" w:rsidP="00AB2558">
            <w:pPr>
              <w:pStyle w:val="TableText"/>
            </w:pPr>
          </w:p>
        </w:tc>
        <w:tc>
          <w:tcPr>
            <w:tcW w:w="624" w:type="dxa"/>
          </w:tcPr>
          <w:p w14:paraId="773EF3AC" w14:textId="77777777" w:rsidR="00E01CC9" w:rsidRDefault="00E01CC9" w:rsidP="00AB2558">
            <w:pPr>
              <w:pStyle w:val="TableText"/>
            </w:pPr>
          </w:p>
        </w:tc>
        <w:tc>
          <w:tcPr>
            <w:tcW w:w="624" w:type="dxa"/>
          </w:tcPr>
          <w:p w14:paraId="4516F69C" w14:textId="77777777" w:rsidR="00E01CC9" w:rsidRDefault="00E01CC9" w:rsidP="00AB2558">
            <w:pPr>
              <w:pStyle w:val="TableText"/>
            </w:pPr>
          </w:p>
        </w:tc>
        <w:tc>
          <w:tcPr>
            <w:tcW w:w="624" w:type="dxa"/>
          </w:tcPr>
          <w:p w14:paraId="1CFF9285" w14:textId="77777777" w:rsidR="00E01CC9" w:rsidRDefault="00E01CC9" w:rsidP="00AB2558">
            <w:pPr>
              <w:pStyle w:val="TableText"/>
            </w:pPr>
          </w:p>
        </w:tc>
        <w:tc>
          <w:tcPr>
            <w:tcW w:w="624" w:type="dxa"/>
          </w:tcPr>
          <w:p w14:paraId="13A4B59C" w14:textId="77777777" w:rsidR="00E01CC9" w:rsidRDefault="00E01CC9" w:rsidP="00AB2558">
            <w:pPr>
              <w:pStyle w:val="TableText"/>
            </w:pPr>
          </w:p>
        </w:tc>
        <w:tc>
          <w:tcPr>
            <w:tcW w:w="4648" w:type="dxa"/>
            <w:gridSpan w:val="2"/>
          </w:tcPr>
          <w:p w14:paraId="30D7EB7A" w14:textId="77777777" w:rsidR="00E01CC9" w:rsidRDefault="00E01CC9" w:rsidP="00AB2558">
            <w:pPr>
              <w:pStyle w:val="TableBlock"/>
            </w:pPr>
            <w:r>
              <w:rPr>
                <w:rFonts w:hint="cs"/>
                <w:rtl/>
              </w:rPr>
              <w:t>(ג)</w:t>
            </w:r>
            <w:r>
              <w:rPr>
                <w:rtl/>
              </w:rPr>
              <w:tab/>
            </w:r>
            <w:r w:rsidRPr="00343984">
              <w:rPr>
                <w:rtl/>
              </w:rPr>
              <w:t xml:space="preserve">ראש הרשות המקומית שבתחומה מוצע הצו רשאי להציג את עמדתו לעניין צו כאמור, </w:t>
            </w:r>
            <w:r w:rsidRPr="00343984">
              <w:rPr>
                <w:rtl/>
              </w:rPr>
              <w:lastRenderedPageBreak/>
              <w:t>בכתב, בתוך שבעה ימים מפרסום סדר היום של המועצה הארצית שבו נכלל נושא הצו המוצע; הוצגה עמדת ראש הרשות המקומית, יצרפה יושב ראש המועצה הארצית לחוות דעתה של המועצה המוגשת לשר הפנים.</w:t>
            </w:r>
          </w:p>
        </w:tc>
      </w:tr>
      <w:tr w:rsidR="00E01CC9" w14:paraId="670DFDFA" w14:textId="77777777" w:rsidTr="00361BC3">
        <w:trPr>
          <w:trHeight w:val="60"/>
        </w:trPr>
        <w:tc>
          <w:tcPr>
            <w:tcW w:w="1869" w:type="dxa"/>
          </w:tcPr>
          <w:p w14:paraId="2AF93921" w14:textId="77777777" w:rsidR="00E01CC9" w:rsidRDefault="00E01CC9" w:rsidP="00AB2558">
            <w:pPr>
              <w:pStyle w:val="TableSideHeading"/>
            </w:pPr>
          </w:p>
        </w:tc>
        <w:tc>
          <w:tcPr>
            <w:tcW w:w="623" w:type="dxa"/>
          </w:tcPr>
          <w:p w14:paraId="361171C5" w14:textId="77777777" w:rsidR="00E01CC9" w:rsidRDefault="00E01CC9" w:rsidP="00AB2558">
            <w:pPr>
              <w:pStyle w:val="TableText"/>
            </w:pPr>
          </w:p>
        </w:tc>
        <w:tc>
          <w:tcPr>
            <w:tcW w:w="624" w:type="dxa"/>
          </w:tcPr>
          <w:p w14:paraId="564650AE" w14:textId="77777777" w:rsidR="00E01CC9" w:rsidRDefault="00E01CC9" w:rsidP="00AB2558">
            <w:pPr>
              <w:pStyle w:val="TableText"/>
            </w:pPr>
          </w:p>
        </w:tc>
        <w:tc>
          <w:tcPr>
            <w:tcW w:w="624" w:type="dxa"/>
          </w:tcPr>
          <w:p w14:paraId="6292134D" w14:textId="77777777" w:rsidR="00E01CC9" w:rsidRDefault="00E01CC9" w:rsidP="00AB2558">
            <w:pPr>
              <w:pStyle w:val="TableText"/>
            </w:pPr>
          </w:p>
        </w:tc>
        <w:tc>
          <w:tcPr>
            <w:tcW w:w="624" w:type="dxa"/>
          </w:tcPr>
          <w:p w14:paraId="18FB66FD" w14:textId="77777777" w:rsidR="00E01CC9" w:rsidRDefault="00E01CC9" w:rsidP="00AB2558">
            <w:pPr>
              <w:pStyle w:val="TableText"/>
            </w:pPr>
          </w:p>
        </w:tc>
        <w:tc>
          <w:tcPr>
            <w:tcW w:w="624" w:type="dxa"/>
          </w:tcPr>
          <w:p w14:paraId="7FAAAE9B" w14:textId="77777777" w:rsidR="00E01CC9" w:rsidRDefault="00E01CC9" w:rsidP="00AB2558">
            <w:pPr>
              <w:pStyle w:val="TableText"/>
            </w:pPr>
          </w:p>
        </w:tc>
        <w:tc>
          <w:tcPr>
            <w:tcW w:w="4648" w:type="dxa"/>
            <w:gridSpan w:val="2"/>
          </w:tcPr>
          <w:p w14:paraId="51F96113" w14:textId="77777777" w:rsidR="00E01CC9" w:rsidRDefault="00E01CC9" w:rsidP="00AB2558">
            <w:pPr>
              <w:pStyle w:val="TableBlock"/>
              <w:rPr>
                <w:rtl/>
              </w:rPr>
            </w:pPr>
            <w:r>
              <w:rPr>
                <w:rFonts w:hint="cs"/>
                <w:rtl/>
              </w:rPr>
              <w:t>(ד)</w:t>
            </w:r>
            <w:r>
              <w:rPr>
                <w:rtl/>
              </w:rPr>
              <w:tab/>
            </w:r>
            <w:r w:rsidRPr="00343984">
              <w:rPr>
                <w:rtl/>
              </w:rPr>
              <w:t>על צו לפי סעיף זה יחולו הוראות סעיף 266ה(ג) עד (ה), בשינויים המחויבים.</w:t>
            </w:r>
          </w:p>
        </w:tc>
      </w:tr>
      <w:tr w:rsidR="00E01CC9" w14:paraId="35D71D02" w14:textId="77777777" w:rsidTr="00361BC3">
        <w:tc>
          <w:tcPr>
            <w:tcW w:w="1869" w:type="dxa"/>
          </w:tcPr>
          <w:p w14:paraId="3FA49B09" w14:textId="77777777" w:rsidR="00E01CC9" w:rsidRDefault="00E01CC9" w:rsidP="00AB2558">
            <w:pPr>
              <w:pStyle w:val="TableSideHeading"/>
              <w:outlineLvl w:val="9"/>
              <w:rPr>
                <w:rtl/>
              </w:rPr>
            </w:pPr>
          </w:p>
        </w:tc>
        <w:tc>
          <w:tcPr>
            <w:tcW w:w="623" w:type="dxa"/>
          </w:tcPr>
          <w:p w14:paraId="28DC729A" w14:textId="77777777" w:rsidR="00E01CC9" w:rsidRDefault="00E01CC9" w:rsidP="00AB2558">
            <w:pPr>
              <w:pStyle w:val="TableText"/>
              <w:jc w:val="both"/>
            </w:pPr>
          </w:p>
        </w:tc>
        <w:tc>
          <w:tcPr>
            <w:tcW w:w="624" w:type="dxa"/>
          </w:tcPr>
          <w:p w14:paraId="2C25389E" w14:textId="77777777" w:rsidR="00E01CC9" w:rsidRDefault="00E01CC9" w:rsidP="00AB2558">
            <w:pPr>
              <w:pStyle w:val="TableText"/>
              <w:jc w:val="both"/>
            </w:pPr>
          </w:p>
        </w:tc>
        <w:tc>
          <w:tcPr>
            <w:tcW w:w="624" w:type="dxa"/>
          </w:tcPr>
          <w:p w14:paraId="2AF9C17E" w14:textId="77777777" w:rsidR="00E01CC9" w:rsidRDefault="00E01CC9" w:rsidP="00AB2558">
            <w:pPr>
              <w:pStyle w:val="TableText"/>
              <w:jc w:val="both"/>
            </w:pPr>
          </w:p>
        </w:tc>
        <w:tc>
          <w:tcPr>
            <w:tcW w:w="624" w:type="dxa"/>
          </w:tcPr>
          <w:p w14:paraId="4A80CC2D" w14:textId="77777777" w:rsidR="00E01CC9" w:rsidRDefault="00E01CC9" w:rsidP="00AB2558">
            <w:pPr>
              <w:pStyle w:val="TableText"/>
              <w:jc w:val="both"/>
            </w:pPr>
          </w:p>
        </w:tc>
        <w:tc>
          <w:tcPr>
            <w:tcW w:w="624" w:type="dxa"/>
          </w:tcPr>
          <w:p w14:paraId="4A25A62D" w14:textId="77777777" w:rsidR="00E01CC9" w:rsidRDefault="00E01CC9" w:rsidP="00AB2558">
            <w:pPr>
              <w:pStyle w:val="TableText"/>
              <w:jc w:val="both"/>
            </w:pPr>
          </w:p>
        </w:tc>
        <w:tc>
          <w:tcPr>
            <w:tcW w:w="4648" w:type="dxa"/>
            <w:gridSpan w:val="2"/>
          </w:tcPr>
          <w:p w14:paraId="2164DF4C" w14:textId="294C8E9C" w:rsidR="00E01CC9" w:rsidRDefault="00E01CC9" w:rsidP="00E01CC9">
            <w:pPr>
              <w:pStyle w:val="TableBlock"/>
              <w:rPr>
                <w:rtl/>
              </w:rPr>
            </w:pPr>
            <w:r>
              <w:rPr>
                <w:rFonts w:hint="cs"/>
                <w:rtl/>
              </w:rPr>
              <w:t>(ה)</w:t>
            </w:r>
            <w:r>
              <w:rPr>
                <w:rtl/>
              </w:rPr>
              <w:tab/>
            </w:r>
            <w:r w:rsidRPr="00645EC1">
              <w:rPr>
                <w:rtl/>
              </w:rPr>
              <w:t>נקבע בצו כאמור בסעיף קטן (א) פטור מתוכנית, יפקע תוקפו של הצו לעניין פטור כאמור בהתקיים אחד מאלה</w:t>
            </w:r>
            <w:r w:rsidRPr="00645EC1">
              <w:t>:</w:t>
            </w:r>
          </w:p>
        </w:tc>
      </w:tr>
      <w:tr w:rsidR="00E01CC9" w14:paraId="61273C4A" w14:textId="77777777" w:rsidTr="00361BC3">
        <w:tc>
          <w:tcPr>
            <w:tcW w:w="1869" w:type="dxa"/>
          </w:tcPr>
          <w:p w14:paraId="1880AAA0" w14:textId="77777777" w:rsidR="00E01CC9" w:rsidRDefault="00E01CC9" w:rsidP="00AB2558">
            <w:pPr>
              <w:pStyle w:val="TableSideHeading"/>
              <w:outlineLvl w:val="9"/>
              <w:rPr>
                <w:rtl/>
              </w:rPr>
            </w:pPr>
          </w:p>
        </w:tc>
        <w:tc>
          <w:tcPr>
            <w:tcW w:w="623" w:type="dxa"/>
          </w:tcPr>
          <w:p w14:paraId="1B1E67E3" w14:textId="77777777" w:rsidR="00E01CC9" w:rsidRDefault="00E01CC9" w:rsidP="00AB2558">
            <w:pPr>
              <w:pStyle w:val="TableText"/>
              <w:jc w:val="both"/>
            </w:pPr>
          </w:p>
        </w:tc>
        <w:tc>
          <w:tcPr>
            <w:tcW w:w="624" w:type="dxa"/>
          </w:tcPr>
          <w:p w14:paraId="788425EF" w14:textId="77777777" w:rsidR="00E01CC9" w:rsidRDefault="00E01CC9" w:rsidP="00AB2558">
            <w:pPr>
              <w:pStyle w:val="TableText"/>
              <w:jc w:val="both"/>
            </w:pPr>
          </w:p>
        </w:tc>
        <w:tc>
          <w:tcPr>
            <w:tcW w:w="624" w:type="dxa"/>
          </w:tcPr>
          <w:p w14:paraId="00B0440E" w14:textId="77777777" w:rsidR="00E01CC9" w:rsidRDefault="00E01CC9" w:rsidP="00AB2558">
            <w:pPr>
              <w:pStyle w:val="TableText"/>
              <w:jc w:val="both"/>
            </w:pPr>
          </w:p>
        </w:tc>
        <w:tc>
          <w:tcPr>
            <w:tcW w:w="624" w:type="dxa"/>
          </w:tcPr>
          <w:p w14:paraId="052F74E0" w14:textId="77777777" w:rsidR="00E01CC9" w:rsidRDefault="00E01CC9" w:rsidP="00AB2558">
            <w:pPr>
              <w:pStyle w:val="TableText"/>
              <w:jc w:val="both"/>
            </w:pPr>
          </w:p>
        </w:tc>
        <w:tc>
          <w:tcPr>
            <w:tcW w:w="624" w:type="dxa"/>
          </w:tcPr>
          <w:p w14:paraId="08A37A2A" w14:textId="77777777" w:rsidR="00E01CC9" w:rsidRDefault="00E01CC9" w:rsidP="00AB2558">
            <w:pPr>
              <w:pStyle w:val="TableText"/>
              <w:jc w:val="both"/>
            </w:pPr>
          </w:p>
        </w:tc>
        <w:tc>
          <w:tcPr>
            <w:tcW w:w="624" w:type="dxa"/>
          </w:tcPr>
          <w:p w14:paraId="0292527E" w14:textId="77777777" w:rsidR="00E01CC9" w:rsidRDefault="00E01CC9" w:rsidP="00AB2558">
            <w:pPr>
              <w:pStyle w:val="TableText"/>
              <w:jc w:val="both"/>
              <w:rPr>
                <w:rtl/>
              </w:rPr>
            </w:pPr>
          </w:p>
        </w:tc>
        <w:tc>
          <w:tcPr>
            <w:tcW w:w="4024" w:type="dxa"/>
          </w:tcPr>
          <w:p w14:paraId="42736CF1" w14:textId="77777777" w:rsidR="00E01CC9" w:rsidRDefault="00E01CC9" w:rsidP="00AB2558">
            <w:pPr>
              <w:pStyle w:val="TableBlock"/>
              <w:rPr>
                <w:rtl/>
              </w:rPr>
            </w:pPr>
            <w:r>
              <w:rPr>
                <w:rFonts w:hint="cs"/>
                <w:rtl/>
              </w:rPr>
              <w:t>(1)</w:t>
            </w:r>
            <w:r>
              <w:rPr>
                <w:rtl/>
              </w:rPr>
              <w:tab/>
            </w:r>
            <w:r w:rsidRPr="00645EC1">
              <w:rPr>
                <w:rtl/>
              </w:rPr>
              <w:t xml:space="preserve">לא הוגשה </w:t>
            </w:r>
            <w:proofErr w:type="spellStart"/>
            <w:r w:rsidRPr="00645EC1">
              <w:rPr>
                <w:rtl/>
              </w:rPr>
              <w:t>תוכנית</w:t>
            </w:r>
            <w:proofErr w:type="spellEnd"/>
            <w:r w:rsidRPr="00645EC1">
              <w:rPr>
                <w:rtl/>
              </w:rPr>
              <w:t xml:space="preserve"> הכוללת הוראות להסדרת העבודות כפי שנקבעו בצו</w:t>
            </w:r>
            <w:r w:rsidRPr="00645EC1">
              <w:rPr>
                <w:rFonts w:hint="cs"/>
                <w:rtl/>
              </w:rPr>
              <w:t xml:space="preserve"> </w:t>
            </w:r>
            <w:r w:rsidRPr="00645EC1">
              <w:rPr>
                <w:rtl/>
              </w:rPr>
              <w:t xml:space="preserve">(בסעיף קטן זה – התוכנית), למוסד התכנון המוסמך לאשרה, בתוך </w:t>
            </w:r>
            <w:r>
              <w:rPr>
                <w:rFonts w:hint="cs"/>
                <w:rtl/>
              </w:rPr>
              <w:t>חמש</w:t>
            </w:r>
            <w:r w:rsidRPr="00645EC1">
              <w:rPr>
                <w:rtl/>
              </w:rPr>
              <w:t xml:space="preserve"> שנים ממועד תחילתו של הצו; לעניין זה, הוגשה </w:t>
            </w:r>
            <w:proofErr w:type="spellStart"/>
            <w:r w:rsidRPr="00645EC1">
              <w:rPr>
                <w:rtl/>
              </w:rPr>
              <w:t>תוכנית</w:t>
            </w:r>
            <w:proofErr w:type="spellEnd"/>
            <w:r w:rsidRPr="00645EC1">
              <w:rPr>
                <w:rtl/>
              </w:rPr>
              <w:t xml:space="preserve"> ונדחתה על ידי מוסד התכנון המוסמך לאשרה, יראו אותה ממועד הדחייה כאילו לא הוגשה</w:t>
            </w:r>
            <w:r>
              <w:rPr>
                <w:rFonts w:hint="cs"/>
                <w:rtl/>
              </w:rPr>
              <w:t>;</w:t>
            </w:r>
          </w:p>
        </w:tc>
      </w:tr>
      <w:tr w:rsidR="00E01CC9" w14:paraId="28C5B358" w14:textId="77777777" w:rsidTr="00361BC3">
        <w:tc>
          <w:tcPr>
            <w:tcW w:w="1869" w:type="dxa"/>
          </w:tcPr>
          <w:p w14:paraId="3940C4AA" w14:textId="77777777" w:rsidR="00E01CC9" w:rsidRDefault="00E01CC9" w:rsidP="00AB2558">
            <w:pPr>
              <w:pStyle w:val="TableSideHeading"/>
              <w:outlineLvl w:val="9"/>
              <w:rPr>
                <w:rtl/>
              </w:rPr>
            </w:pPr>
          </w:p>
        </w:tc>
        <w:tc>
          <w:tcPr>
            <w:tcW w:w="623" w:type="dxa"/>
          </w:tcPr>
          <w:p w14:paraId="04C5892D" w14:textId="77777777" w:rsidR="00E01CC9" w:rsidRDefault="00E01CC9" w:rsidP="00AB2558">
            <w:pPr>
              <w:pStyle w:val="TableText"/>
            </w:pPr>
          </w:p>
        </w:tc>
        <w:tc>
          <w:tcPr>
            <w:tcW w:w="624" w:type="dxa"/>
          </w:tcPr>
          <w:p w14:paraId="292C278A" w14:textId="77777777" w:rsidR="00E01CC9" w:rsidRDefault="00E01CC9" w:rsidP="00AB2558">
            <w:pPr>
              <w:pStyle w:val="TableText"/>
              <w:jc w:val="both"/>
            </w:pPr>
          </w:p>
        </w:tc>
        <w:tc>
          <w:tcPr>
            <w:tcW w:w="624" w:type="dxa"/>
          </w:tcPr>
          <w:p w14:paraId="1DF5A8B6" w14:textId="77777777" w:rsidR="00E01CC9" w:rsidRDefault="00E01CC9" w:rsidP="00AB2558">
            <w:pPr>
              <w:pStyle w:val="TableText"/>
              <w:jc w:val="both"/>
            </w:pPr>
          </w:p>
        </w:tc>
        <w:tc>
          <w:tcPr>
            <w:tcW w:w="624" w:type="dxa"/>
          </w:tcPr>
          <w:p w14:paraId="7455FDD8" w14:textId="77777777" w:rsidR="00E01CC9" w:rsidRDefault="00E01CC9" w:rsidP="00AB2558">
            <w:pPr>
              <w:pStyle w:val="TableText"/>
              <w:jc w:val="both"/>
            </w:pPr>
          </w:p>
        </w:tc>
        <w:tc>
          <w:tcPr>
            <w:tcW w:w="624" w:type="dxa"/>
          </w:tcPr>
          <w:p w14:paraId="21F83C5C" w14:textId="77777777" w:rsidR="00E01CC9" w:rsidRDefault="00E01CC9" w:rsidP="00AB2558">
            <w:pPr>
              <w:pStyle w:val="TableText"/>
              <w:jc w:val="both"/>
            </w:pPr>
          </w:p>
        </w:tc>
        <w:tc>
          <w:tcPr>
            <w:tcW w:w="624" w:type="dxa"/>
          </w:tcPr>
          <w:p w14:paraId="4B3056AF" w14:textId="77777777" w:rsidR="00E01CC9" w:rsidRDefault="00E01CC9" w:rsidP="00AB2558">
            <w:pPr>
              <w:pStyle w:val="TableText"/>
              <w:jc w:val="both"/>
              <w:rPr>
                <w:rtl/>
              </w:rPr>
            </w:pPr>
          </w:p>
        </w:tc>
        <w:tc>
          <w:tcPr>
            <w:tcW w:w="4024" w:type="dxa"/>
          </w:tcPr>
          <w:p w14:paraId="187A596F" w14:textId="77777777" w:rsidR="00E01CC9" w:rsidRDefault="00E01CC9" w:rsidP="00AB2558">
            <w:pPr>
              <w:pStyle w:val="TableBlock"/>
              <w:rPr>
                <w:rtl/>
              </w:rPr>
            </w:pPr>
            <w:r>
              <w:rPr>
                <w:rFonts w:hint="cs"/>
                <w:rtl/>
              </w:rPr>
              <w:t>(2)</w:t>
            </w:r>
            <w:r>
              <w:rPr>
                <w:rtl/>
              </w:rPr>
              <w:tab/>
            </w:r>
            <w:r w:rsidRPr="00645EC1">
              <w:rPr>
                <w:rtl/>
              </w:rPr>
              <w:t xml:space="preserve">לא התקבלה החלטה על אישור התוכנית, בתוך </w:t>
            </w:r>
            <w:r>
              <w:rPr>
                <w:rFonts w:hint="cs"/>
                <w:rtl/>
              </w:rPr>
              <w:t xml:space="preserve">חמש שנים וחצי </w:t>
            </w:r>
            <w:r w:rsidRPr="00645EC1">
              <w:rPr>
                <w:rtl/>
              </w:rPr>
              <w:t>ממועד תחילתו של הצו; שר הפנים רשאי, בהחלטה מנומקת בכתב, להאריך את התקופה האמורה בתקופה מצטברת שלא תעלה על שנה</w:t>
            </w:r>
            <w:r>
              <w:rPr>
                <w:rFonts w:hint="cs"/>
                <w:rtl/>
              </w:rPr>
              <w:t>; לא התקבלה החלטה כאמור בתום הארכת שר הפנים, רשאי שר הפנים באישור הממשלה להאריך את התקופה האמורה בשנה נוספת;</w:t>
            </w:r>
            <w:r>
              <w:rPr>
                <w:rtl/>
              </w:rPr>
              <w:t xml:space="preserve"> </w:t>
            </w:r>
            <w:r w:rsidRPr="0088237C">
              <w:rPr>
                <w:rtl/>
              </w:rPr>
              <w:t xml:space="preserve"> </w:t>
            </w:r>
          </w:p>
        </w:tc>
      </w:tr>
      <w:tr w:rsidR="00E01CC9" w14:paraId="017C80F9" w14:textId="77777777" w:rsidTr="00361BC3">
        <w:tc>
          <w:tcPr>
            <w:tcW w:w="1869" w:type="dxa"/>
          </w:tcPr>
          <w:p w14:paraId="437DFD67" w14:textId="77777777" w:rsidR="00E01CC9" w:rsidRDefault="00E01CC9" w:rsidP="00AB2558">
            <w:pPr>
              <w:pStyle w:val="TableSideHeading"/>
              <w:outlineLvl w:val="9"/>
              <w:rPr>
                <w:rtl/>
              </w:rPr>
            </w:pPr>
          </w:p>
        </w:tc>
        <w:tc>
          <w:tcPr>
            <w:tcW w:w="623" w:type="dxa"/>
          </w:tcPr>
          <w:p w14:paraId="536F285E" w14:textId="77777777" w:rsidR="00E01CC9" w:rsidRDefault="00E01CC9" w:rsidP="00AB2558">
            <w:pPr>
              <w:pStyle w:val="TableText"/>
            </w:pPr>
          </w:p>
        </w:tc>
        <w:tc>
          <w:tcPr>
            <w:tcW w:w="624" w:type="dxa"/>
          </w:tcPr>
          <w:p w14:paraId="6A6C70B8" w14:textId="77777777" w:rsidR="00E01CC9" w:rsidRDefault="00E01CC9" w:rsidP="00AB2558">
            <w:pPr>
              <w:pStyle w:val="TableText"/>
              <w:jc w:val="both"/>
            </w:pPr>
          </w:p>
        </w:tc>
        <w:tc>
          <w:tcPr>
            <w:tcW w:w="624" w:type="dxa"/>
          </w:tcPr>
          <w:p w14:paraId="5D2D2320" w14:textId="77777777" w:rsidR="00E01CC9" w:rsidRDefault="00E01CC9" w:rsidP="00AB2558">
            <w:pPr>
              <w:pStyle w:val="TableText"/>
              <w:jc w:val="both"/>
            </w:pPr>
          </w:p>
        </w:tc>
        <w:tc>
          <w:tcPr>
            <w:tcW w:w="624" w:type="dxa"/>
          </w:tcPr>
          <w:p w14:paraId="27A96C20" w14:textId="77777777" w:rsidR="00E01CC9" w:rsidRDefault="00E01CC9" w:rsidP="00AB2558">
            <w:pPr>
              <w:pStyle w:val="TableText"/>
              <w:jc w:val="both"/>
            </w:pPr>
          </w:p>
        </w:tc>
        <w:tc>
          <w:tcPr>
            <w:tcW w:w="624" w:type="dxa"/>
          </w:tcPr>
          <w:p w14:paraId="29A5D7E0" w14:textId="77777777" w:rsidR="00E01CC9" w:rsidRDefault="00E01CC9" w:rsidP="00AB2558">
            <w:pPr>
              <w:pStyle w:val="TableText"/>
              <w:jc w:val="both"/>
            </w:pPr>
          </w:p>
        </w:tc>
        <w:tc>
          <w:tcPr>
            <w:tcW w:w="624" w:type="dxa"/>
          </w:tcPr>
          <w:p w14:paraId="5A577474" w14:textId="77777777" w:rsidR="00E01CC9" w:rsidRDefault="00E01CC9" w:rsidP="00AB2558">
            <w:pPr>
              <w:pStyle w:val="TableText"/>
              <w:jc w:val="both"/>
              <w:rPr>
                <w:rtl/>
              </w:rPr>
            </w:pPr>
          </w:p>
        </w:tc>
        <w:tc>
          <w:tcPr>
            <w:tcW w:w="4024" w:type="dxa"/>
          </w:tcPr>
          <w:p w14:paraId="681B7C4D" w14:textId="77777777" w:rsidR="00E01CC9" w:rsidRDefault="00E01CC9" w:rsidP="00AB2558">
            <w:pPr>
              <w:pStyle w:val="TableBlock"/>
              <w:rPr>
                <w:rtl/>
              </w:rPr>
            </w:pPr>
            <w:r>
              <w:rPr>
                <w:rFonts w:hint="cs"/>
                <w:rtl/>
              </w:rPr>
              <w:t>(3)</w:t>
            </w:r>
            <w:r>
              <w:rPr>
                <w:rtl/>
              </w:rPr>
              <w:tab/>
            </w:r>
            <w:r w:rsidRPr="00645EC1">
              <w:rPr>
                <w:rtl/>
              </w:rPr>
              <w:t xml:space="preserve">התוכנית לא נכנסה לתוקף בתוך </w:t>
            </w:r>
            <w:r>
              <w:rPr>
                <w:rFonts w:hint="cs"/>
                <w:rtl/>
              </w:rPr>
              <w:t>שבע</w:t>
            </w:r>
            <w:r w:rsidRPr="00645EC1">
              <w:rPr>
                <w:rtl/>
              </w:rPr>
              <w:t xml:space="preserve"> שנים ממועד תחילתו של הצו; שר הפנים רשאי, בהחלטה מנומקת בכתב, להאריך את התקופה האמורה בפסקה זו בתקופה מצטברת שלא תעלה על שנה</w:t>
            </w:r>
            <w:r>
              <w:rPr>
                <w:rFonts w:hint="cs"/>
                <w:rtl/>
              </w:rPr>
              <w:t>;</w:t>
            </w:r>
            <w:r w:rsidRPr="00645EC1">
              <w:rPr>
                <w:rtl/>
              </w:rPr>
              <w:t xml:space="preserve"> </w:t>
            </w:r>
          </w:p>
        </w:tc>
      </w:tr>
      <w:tr w:rsidR="00E01CC9" w14:paraId="20B5805A" w14:textId="77777777" w:rsidTr="00361BC3">
        <w:tc>
          <w:tcPr>
            <w:tcW w:w="1869" w:type="dxa"/>
          </w:tcPr>
          <w:p w14:paraId="206C929F" w14:textId="77777777" w:rsidR="00E01CC9" w:rsidRDefault="00E01CC9" w:rsidP="00AB2558">
            <w:pPr>
              <w:pStyle w:val="TableSideHeading"/>
              <w:outlineLvl w:val="9"/>
              <w:rPr>
                <w:rtl/>
              </w:rPr>
            </w:pPr>
          </w:p>
        </w:tc>
        <w:tc>
          <w:tcPr>
            <w:tcW w:w="623" w:type="dxa"/>
          </w:tcPr>
          <w:p w14:paraId="0041A027" w14:textId="77777777" w:rsidR="00E01CC9" w:rsidRDefault="00E01CC9" w:rsidP="00AB2558">
            <w:pPr>
              <w:pStyle w:val="TableText"/>
            </w:pPr>
          </w:p>
        </w:tc>
        <w:tc>
          <w:tcPr>
            <w:tcW w:w="624" w:type="dxa"/>
          </w:tcPr>
          <w:p w14:paraId="70A9B498" w14:textId="77777777" w:rsidR="00E01CC9" w:rsidRDefault="00E01CC9" w:rsidP="00AB2558">
            <w:pPr>
              <w:pStyle w:val="TableText"/>
              <w:jc w:val="both"/>
            </w:pPr>
          </w:p>
        </w:tc>
        <w:tc>
          <w:tcPr>
            <w:tcW w:w="624" w:type="dxa"/>
          </w:tcPr>
          <w:p w14:paraId="39822B29" w14:textId="77777777" w:rsidR="00E01CC9" w:rsidRDefault="00E01CC9" w:rsidP="00AB2558">
            <w:pPr>
              <w:pStyle w:val="TableText"/>
              <w:jc w:val="both"/>
            </w:pPr>
          </w:p>
        </w:tc>
        <w:tc>
          <w:tcPr>
            <w:tcW w:w="624" w:type="dxa"/>
          </w:tcPr>
          <w:p w14:paraId="51BE9EC8" w14:textId="77777777" w:rsidR="00E01CC9" w:rsidRDefault="00E01CC9" w:rsidP="00AB2558">
            <w:pPr>
              <w:pStyle w:val="TableText"/>
              <w:jc w:val="both"/>
            </w:pPr>
          </w:p>
        </w:tc>
        <w:tc>
          <w:tcPr>
            <w:tcW w:w="624" w:type="dxa"/>
          </w:tcPr>
          <w:p w14:paraId="18DE4529" w14:textId="77777777" w:rsidR="00E01CC9" w:rsidRDefault="00E01CC9" w:rsidP="00AB2558">
            <w:pPr>
              <w:pStyle w:val="TableText"/>
              <w:jc w:val="both"/>
            </w:pPr>
          </w:p>
        </w:tc>
        <w:tc>
          <w:tcPr>
            <w:tcW w:w="624" w:type="dxa"/>
          </w:tcPr>
          <w:p w14:paraId="220FFBF4" w14:textId="77777777" w:rsidR="00E01CC9" w:rsidRDefault="00E01CC9" w:rsidP="00AB2558">
            <w:pPr>
              <w:pStyle w:val="TableText"/>
              <w:jc w:val="both"/>
              <w:rPr>
                <w:rtl/>
              </w:rPr>
            </w:pPr>
          </w:p>
        </w:tc>
        <w:tc>
          <w:tcPr>
            <w:tcW w:w="4024" w:type="dxa"/>
          </w:tcPr>
          <w:p w14:paraId="5A41931C" w14:textId="77777777" w:rsidR="00E01CC9" w:rsidRDefault="00E01CC9" w:rsidP="00AB2558">
            <w:pPr>
              <w:pStyle w:val="TableBlock"/>
              <w:rPr>
                <w:rtl/>
              </w:rPr>
            </w:pPr>
            <w:r>
              <w:rPr>
                <w:rFonts w:hint="cs"/>
                <w:rtl/>
              </w:rPr>
              <w:t>(4)</w:t>
            </w:r>
            <w:r>
              <w:rPr>
                <w:rtl/>
              </w:rPr>
              <w:tab/>
            </w:r>
            <w:r w:rsidRPr="00645EC1">
              <w:rPr>
                <w:rtl/>
              </w:rPr>
              <w:t>התוכנית נכנסה לתוקף</w:t>
            </w:r>
            <w:r>
              <w:rPr>
                <w:rFonts w:hint="cs"/>
                <w:rtl/>
              </w:rPr>
              <w:t>.</w:t>
            </w:r>
          </w:p>
        </w:tc>
      </w:tr>
      <w:tr w:rsidR="00E01CC9" w14:paraId="31D44CA3" w14:textId="77777777" w:rsidTr="00361BC3">
        <w:tc>
          <w:tcPr>
            <w:tcW w:w="1869" w:type="dxa"/>
          </w:tcPr>
          <w:p w14:paraId="6E09B4BD" w14:textId="77777777" w:rsidR="00E01CC9" w:rsidRDefault="00E01CC9" w:rsidP="00AB2558">
            <w:pPr>
              <w:pStyle w:val="TableSideHeading"/>
              <w:outlineLvl w:val="9"/>
              <w:rPr>
                <w:rtl/>
              </w:rPr>
            </w:pPr>
          </w:p>
        </w:tc>
        <w:tc>
          <w:tcPr>
            <w:tcW w:w="623" w:type="dxa"/>
          </w:tcPr>
          <w:p w14:paraId="0567B1C5" w14:textId="77777777" w:rsidR="00E01CC9" w:rsidRDefault="00E01CC9" w:rsidP="00AB2558">
            <w:pPr>
              <w:pStyle w:val="TableText"/>
              <w:jc w:val="both"/>
            </w:pPr>
          </w:p>
        </w:tc>
        <w:tc>
          <w:tcPr>
            <w:tcW w:w="624" w:type="dxa"/>
          </w:tcPr>
          <w:p w14:paraId="761B96D3" w14:textId="77777777" w:rsidR="00E01CC9" w:rsidRDefault="00E01CC9" w:rsidP="00AB2558">
            <w:pPr>
              <w:pStyle w:val="TableText"/>
              <w:jc w:val="both"/>
            </w:pPr>
          </w:p>
        </w:tc>
        <w:tc>
          <w:tcPr>
            <w:tcW w:w="624" w:type="dxa"/>
          </w:tcPr>
          <w:p w14:paraId="1B7608B4" w14:textId="77777777" w:rsidR="00E01CC9" w:rsidRDefault="00E01CC9" w:rsidP="00AB2558">
            <w:pPr>
              <w:pStyle w:val="TableText"/>
              <w:jc w:val="both"/>
            </w:pPr>
          </w:p>
        </w:tc>
        <w:tc>
          <w:tcPr>
            <w:tcW w:w="624" w:type="dxa"/>
          </w:tcPr>
          <w:p w14:paraId="1A38922C" w14:textId="77777777" w:rsidR="00E01CC9" w:rsidRDefault="00E01CC9" w:rsidP="00AB2558">
            <w:pPr>
              <w:pStyle w:val="TableText"/>
              <w:jc w:val="both"/>
            </w:pPr>
          </w:p>
        </w:tc>
        <w:tc>
          <w:tcPr>
            <w:tcW w:w="624" w:type="dxa"/>
          </w:tcPr>
          <w:p w14:paraId="074C5EFB" w14:textId="77777777" w:rsidR="00E01CC9" w:rsidRDefault="00E01CC9" w:rsidP="00AB2558">
            <w:pPr>
              <w:pStyle w:val="TableText"/>
              <w:jc w:val="both"/>
            </w:pPr>
          </w:p>
        </w:tc>
        <w:tc>
          <w:tcPr>
            <w:tcW w:w="4648" w:type="dxa"/>
            <w:gridSpan w:val="2"/>
          </w:tcPr>
          <w:p w14:paraId="17E4711E" w14:textId="6F4C7599" w:rsidR="00E01CC9" w:rsidRDefault="00E01CC9" w:rsidP="00E01CC9">
            <w:pPr>
              <w:pStyle w:val="TableBlock"/>
              <w:rPr>
                <w:rtl/>
              </w:rPr>
            </w:pPr>
            <w:r>
              <w:rPr>
                <w:rFonts w:hint="cs"/>
                <w:rtl/>
              </w:rPr>
              <w:t>(ו)</w:t>
            </w:r>
            <w:r>
              <w:rPr>
                <w:rtl/>
              </w:rPr>
              <w:tab/>
            </w:r>
            <w:r w:rsidRPr="000655EC">
              <w:rPr>
                <w:rtl/>
              </w:rPr>
              <w:t xml:space="preserve">בלי לגרוע מהוראות סעיף קטן </w:t>
            </w:r>
            <w:r w:rsidRPr="00343984">
              <w:rPr>
                <w:rtl/>
              </w:rPr>
              <w:t>(</w:t>
            </w:r>
            <w:r>
              <w:rPr>
                <w:rFonts w:hint="cs"/>
                <w:rtl/>
              </w:rPr>
              <w:t>ה</w:t>
            </w:r>
            <w:r w:rsidRPr="00343984">
              <w:rPr>
                <w:rtl/>
              </w:rPr>
              <w:t>), התקבלה</w:t>
            </w:r>
            <w:r w:rsidRPr="000655EC">
              <w:rPr>
                <w:rtl/>
              </w:rPr>
              <w:t xml:space="preserve"> החלטה על אישור </w:t>
            </w:r>
            <w:proofErr w:type="spellStart"/>
            <w:r w:rsidRPr="000655EC">
              <w:rPr>
                <w:rtl/>
              </w:rPr>
              <w:t>תוכנית</w:t>
            </w:r>
            <w:proofErr w:type="spellEnd"/>
            <w:r w:rsidRPr="000655EC">
              <w:rPr>
                <w:rtl/>
              </w:rPr>
              <w:t xml:space="preserve"> המסדירה חלק מהעבודות והשימושים שנקבעו בצו, יפקע תוקפו של הצו לעניין החלק שהתוכנית לא הסדירה</w:t>
            </w:r>
            <w:r>
              <w:rPr>
                <w:rFonts w:hint="cs"/>
                <w:rtl/>
              </w:rPr>
              <w:t>.</w:t>
            </w:r>
          </w:p>
        </w:tc>
      </w:tr>
      <w:tr w:rsidR="00E01CC9" w14:paraId="5A9A8204" w14:textId="77777777" w:rsidTr="00361BC3">
        <w:tc>
          <w:tcPr>
            <w:tcW w:w="1869" w:type="dxa"/>
          </w:tcPr>
          <w:p w14:paraId="388CE0A8" w14:textId="77777777" w:rsidR="00E01CC9" w:rsidRDefault="00E01CC9" w:rsidP="00AB2558">
            <w:pPr>
              <w:pStyle w:val="TableSideHeading"/>
              <w:outlineLvl w:val="9"/>
              <w:rPr>
                <w:rtl/>
              </w:rPr>
            </w:pPr>
          </w:p>
        </w:tc>
        <w:tc>
          <w:tcPr>
            <w:tcW w:w="623" w:type="dxa"/>
          </w:tcPr>
          <w:p w14:paraId="0F9365E6" w14:textId="77777777" w:rsidR="00E01CC9" w:rsidRDefault="00E01CC9" w:rsidP="00AB2558">
            <w:pPr>
              <w:pStyle w:val="TableText"/>
            </w:pPr>
          </w:p>
        </w:tc>
        <w:tc>
          <w:tcPr>
            <w:tcW w:w="624" w:type="dxa"/>
          </w:tcPr>
          <w:p w14:paraId="24B8EC5E" w14:textId="77777777" w:rsidR="00E01CC9" w:rsidRDefault="00E01CC9" w:rsidP="00AB2558">
            <w:pPr>
              <w:pStyle w:val="TableText"/>
              <w:jc w:val="both"/>
            </w:pPr>
          </w:p>
        </w:tc>
        <w:tc>
          <w:tcPr>
            <w:tcW w:w="624" w:type="dxa"/>
          </w:tcPr>
          <w:p w14:paraId="65509462" w14:textId="77777777" w:rsidR="00E01CC9" w:rsidRDefault="00E01CC9" w:rsidP="00AB2558">
            <w:pPr>
              <w:pStyle w:val="TableText"/>
              <w:jc w:val="both"/>
            </w:pPr>
          </w:p>
        </w:tc>
        <w:tc>
          <w:tcPr>
            <w:tcW w:w="624" w:type="dxa"/>
          </w:tcPr>
          <w:p w14:paraId="5F596351" w14:textId="77777777" w:rsidR="00E01CC9" w:rsidRDefault="00E01CC9" w:rsidP="00AB2558">
            <w:pPr>
              <w:pStyle w:val="TableText"/>
              <w:jc w:val="both"/>
            </w:pPr>
          </w:p>
        </w:tc>
        <w:tc>
          <w:tcPr>
            <w:tcW w:w="624" w:type="dxa"/>
          </w:tcPr>
          <w:p w14:paraId="034413F7" w14:textId="77777777" w:rsidR="00E01CC9" w:rsidRDefault="00E01CC9" w:rsidP="00AB2558">
            <w:pPr>
              <w:pStyle w:val="TableText"/>
              <w:jc w:val="both"/>
            </w:pPr>
          </w:p>
        </w:tc>
        <w:tc>
          <w:tcPr>
            <w:tcW w:w="4648" w:type="dxa"/>
            <w:gridSpan w:val="2"/>
          </w:tcPr>
          <w:p w14:paraId="65BE8FAB" w14:textId="3946DCA2" w:rsidR="00E01CC9" w:rsidRDefault="00E01CC9" w:rsidP="00E01CC9">
            <w:pPr>
              <w:pStyle w:val="TableBlock"/>
              <w:rPr>
                <w:rtl/>
              </w:rPr>
            </w:pPr>
            <w:r>
              <w:rPr>
                <w:rFonts w:hint="cs"/>
                <w:rtl/>
              </w:rPr>
              <w:t>(ז)</w:t>
            </w:r>
            <w:r>
              <w:rPr>
                <w:rtl/>
              </w:rPr>
              <w:tab/>
            </w:r>
            <w:r w:rsidRPr="00343984">
              <w:rPr>
                <w:rtl/>
              </w:rPr>
              <w:t>פקע תוקפו של הצו לפי סעיף קטן (</w:t>
            </w:r>
            <w:r>
              <w:rPr>
                <w:rFonts w:hint="cs"/>
                <w:rtl/>
              </w:rPr>
              <w:t>ה</w:t>
            </w:r>
            <w:r w:rsidRPr="00343984">
              <w:rPr>
                <w:rtl/>
              </w:rPr>
              <w:t>)(1) עד (3) או לפי סעיף קטן (</w:t>
            </w:r>
            <w:r>
              <w:rPr>
                <w:rFonts w:hint="cs"/>
                <w:rtl/>
              </w:rPr>
              <w:t>ו</w:t>
            </w:r>
            <w:r w:rsidRPr="00343984">
              <w:rPr>
                <w:rtl/>
              </w:rPr>
              <w:t>), לפי</w:t>
            </w:r>
            <w:r w:rsidRPr="000655EC">
              <w:rPr>
                <w:rtl/>
              </w:rPr>
              <w:t xml:space="preserve"> העניין, יהיה אחראי מי שביצע את העבודות לפי הצו, להשיב את המצב לקדמותו, ככל האפשר, ורשאי שר הפנים לקבוע בצו גורם אחר שיהיה אחראי להשבת המצב לקדמותו כאמור</w:t>
            </w:r>
            <w:r>
              <w:rPr>
                <w:rFonts w:hint="cs"/>
                <w:rtl/>
              </w:rPr>
              <w:t>.</w:t>
            </w:r>
          </w:p>
        </w:tc>
      </w:tr>
      <w:tr w:rsidR="00E01CC9" w14:paraId="39E3A640" w14:textId="77777777" w:rsidTr="00361BC3">
        <w:tc>
          <w:tcPr>
            <w:tcW w:w="1869" w:type="dxa"/>
          </w:tcPr>
          <w:p w14:paraId="58095E78" w14:textId="77777777" w:rsidR="00E01CC9" w:rsidRDefault="00E01CC9" w:rsidP="00AB2558">
            <w:pPr>
              <w:pStyle w:val="TableSideHeading"/>
              <w:outlineLvl w:val="9"/>
              <w:rPr>
                <w:rtl/>
              </w:rPr>
            </w:pPr>
          </w:p>
        </w:tc>
        <w:tc>
          <w:tcPr>
            <w:tcW w:w="623" w:type="dxa"/>
          </w:tcPr>
          <w:p w14:paraId="7A7A1368" w14:textId="77777777" w:rsidR="00E01CC9" w:rsidRDefault="00E01CC9" w:rsidP="00AB2558">
            <w:pPr>
              <w:pStyle w:val="TableText"/>
            </w:pPr>
          </w:p>
        </w:tc>
        <w:tc>
          <w:tcPr>
            <w:tcW w:w="624" w:type="dxa"/>
          </w:tcPr>
          <w:p w14:paraId="3847799D" w14:textId="77777777" w:rsidR="00E01CC9" w:rsidRDefault="00E01CC9" w:rsidP="00AB2558">
            <w:pPr>
              <w:pStyle w:val="TableText"/>
              <w:jc w:val="both"/>
            </w:pPr>
          </w:p>
        </w:tc>
        <w:tc>
          <w:tcPr>
            <w:tcW w:w="624" w:type="dxa"/>
          </w:tcPr>
          <w:p w14:paraId="29114731" w14:textId="77777777" w:rsidR="00E01CC9" w:rsidRDefault="00E01CC9" w:rsidP="00AB2558">
            <w:pPr>
              <w:pStyle w:val="TableText"/>
              <w:jc w:val="both"/>
            </w:pPr>
          </w:p>
        </w:tc>
        <w:tc>
          <w:tcPr>
            <w:tcW w:w="624" w:type="dxa"/>
          </w:tcPr>
          <w:p w14:paraId="16E4DD66" w14:textId="77777777" w:rsidR="00E01CC9" w:rsidRDefault="00E01CC9" w:rsidP="00AB2558">
            <w:pPr>
              <w:pStyle w:val="TableText"/>
              <w:jc w:val="both"/>
            </w:pPr>
          </w:p>
        </w:tc>
        <w:tc>
          <w:tcPr>
            <w:tcW w:w="624" w:type="dxa"/>
          </w:tcPr>
          <w:p w14:paraId="650E472D" w14:textId="77777777" w:rsidR="00E01CC9" w:rsidRDefault="00E01CC9" w:rsidP="00AB2558">
            <w:pPr>
              <w:pStyle w:val="TableText"/>
              <w:jc w:val="both"/>
            </w:pPr>
          </w:p>
        </w:tc>
        <w:tc>
          <w:tcPr>
            <w:tcW w:w="4648" w:type="dxa"/>
            <w:gridSpan w:val="2"/>
          </w:tcPr>
          <w:p w14:paraId="6FCD813B" w14:textId="7FAB0E4B" w:rsidR="00E01CC9" w:rsidRDefault="00E01CC9" w:rsidP="0059257C">
            <w:pPr>
              <w:pStyle w:val="TableBlock"/>
              <w:rPr>
                <w:rtl/>
              </w:rPr>
            </w:pPr>
            <w:r>
              <w:rPr>
                <w:rFonts w:hint="cs"/>
                <w:rtl/>
              </w:rPr>
              <w:t>(ח)</w:t>
            </w:r>
            <w:r>
              <w:rPr>
                <w:rtl/>
              </w:rPr>
              <w:tab/>
            </w:r>
            <w:r w:rsidRPr="00705BE5">
              <w:rPr>
                <w:rtl/>
              </w:rPr>
              <w:t>בסעיף זה</w:t>
            </w:r>
            <w:r w:rsidR="0059257C">
              <w:rPr>
                <w:rFonts w:hint="cs"/>
                <w:rtl/>
              </w:rPr>
              <w:t>,</w:t>
            </w:r>
            <w:r>
              <w:rPr>
                <w:rFonts w:hint="cs"/>
                <w:rtl/>
              </w:rPr>
              <w:t xml:space="preserve"> </w:t>
            </w:r>
            <w:r w:rsidRPr="00705BE5">
              <w:rPr>
                <w:rtl/>
              </w:rPr>
              <w:t>"מיתקן תשתית מקומי" – אחד או יותר מאלה:</w:t>
            </w:r>
            <w:r>
              <w:rPr>
                <w:rtl/>
              </w:rPr>
              <w:t xml:space="preserve"> </w:t>
            </w:r>
          </w:p>
        </w:tc>
      </w:tr>
      <w:tr w:rsidR="00E01CC9" w14:paraId="577C5B18" w14:textId="77777777" w:rsidTr="00361BC3">
        <w:trPr>
          <w:trHeight w:val="60"/>
        </w:trPr>
        <w:tc>
          <w:tcPr>
            <w:tcW w:w="1869" w:type="dxa"/>
          </w:tcPr>
          <w:p w14:paraId="6D6DBBCA" w14:textId="77777777" w:rsidR="00E01CC9" w:rsidRDefault="00E01CC9" w:rsidP="00AB2558">
            <w:pPr>
              <w:pStyle w:val="TableSideHeading"/>
            </w:pPr>
          </w:p>
        </w:tc>
        <w:tc>
          <w:tcPr>
            <w:tcW w:w="623" w:type="dxa"/>
          </w:tcPr>
          <w:p w14:paraId="25CA2CB8" w14:textId="77777777" w:rsidR="00E01CC9" w:rsidRDefault="00E01CC9" w:rsidP="00AB2558">
            <w:pPr>
              <w:pStyle w:val="TableText"/>
            </w:pPr>
          </w:p>
        </w:tc>
        <w:tc>
          <w:tcPr>
            <w:tcW w:w="624" w:type="dxa"/>
          </w:tcPr>
          <w:p w14:paraId="58225DE4" w14:textId="77777777" w:rsidR="00E01CC9" w:rsidRDefault="00E01CC9" w:rsidP="00AB2558">
            <w:pPr>
              <w:pStyle w:val="TableText"/>
            </w:pPr>
          </w:p>
        </w:tc>
        <w:tc>
          <w:tcPr>
            <w:tcW w:w="624" w:type="dxa"/>
          </w:tcPr>
          <w:p w14:paraId="3978E5DF" w14:textId="77777777" w:rsidR="00E01CC9" w:rsidRDefault="00E01CC9" w:rsidP="00AB2558">
            <w:pPr>
              <w:pStyle w:val="TableText"/>
            </w:pPr>
          </w:p>
        </w:tc>
        <w:tc>
          <w:tcPr>
            <w:tcW w:w="624" w:type="dxa"/>
          </w:tcPr>
          <w:p w14:paraId="6E176105" w14:textId="77777777" w:rsidR="00E01CC9" w:rsidRDefault="00E01CC9" w:rsidP="00AB2558">
            <w:pPr>
              <w:pStyle w:val="TableText"/>
            </w:pPr>
          </w:p>
        </w:tc>
        <w:tc>
          <w:tcPr>
            <w:tcW w:w="624" w:type="dxa"/>
          </w:tcPr>
          <w:p w14:paraId="11F1E1D3" w14:textId="77777777" w:rsidR="00E01CC9" w:rsidRDefault="00E01CC9" w:rsidP="00AB2558">
            <w:pPr>
              <w:pStyle w:val="TableText"/>
            </w:pPr>
          </w:p>
        </w:tc>
        <w:tc>
          <w:tcPr>
            <w:tcW w:w="624" w:type="dxa"/>
          </w:tcPr>
          <w:p w14:paraId="07710970" w14:textId="77777777" w:rsidR="00E01CC9" w:rsidRDefault="00E01CC9" w:rsidP="00AB2558">
            <w:pPr>
              <w:pStyle w:val="TableText"/>
            </w:pPr>
          </w:p>
        </w:tc>
        <w:tc>
          <w:tcPr>
            <w:tcW w:w="4024" w:type="dxa"/>
          </w:tcPr>
          <w:p w14:paraId="1683C07E" w14:textId="77777777" w:rsidR="00E01CC9" w:rsidRPr="0059257C" w:rsidRDefault="00E01CC9" w:rsidP="0059257C">
            <w:pPr>
              <w:pStyle w:val="TableBlock"/>
            </w:pPr>
            <w:r w:rsidRPr="0059257C">
              <w:rPr>
                <w:rFonts w:hint="cs"/>
                <w:rtl/>
              </w:rPr>
              <w:t>(1)</w:t>
            </w:r>
            <w:r w:rsidRPr="0059257C">
              <w:rPr>
                <w:rtl/>
              </w:rPr>
              <w:tab/>
              <w:t xml:space="preserve">מיתקן להספקה, לאגירה, לחלוקה ולהשנאה של חשמל;  </w:t>
            </w:r>
          </w:p>
        </w:tc>
      </w:tr>
      <w:tr w:rsidR="00E01CC9" w14:paraId="05CB1961" w14:textId="77777777" w:rsidTr="00361BC3">
        <w:trPr>
          <w:trHeight w:val="60"/>
        </w:trPr>
        <w:tc>
          <w:tcPr>
            <w:tcW w:w="1869" w:type="dxa"/>
          </w:tcPr>
          <w:p w14:paraId="58BF7FD5" w14:textId="77777777" w:rsidR="00E01CC9" w:rsidRDefault="00E01CC9" w:rsidP="00AB2558">
            <w:pPr>
              <w:pStyle w:val="TableSideHeading"/>
            </w:pPr>
          </w:p>
        </w:tc>
        <w:tc>
          <w:tcPr>
            <w:tcW w:w="623" w:type="dxa"/>
          </w:tcPr>
          <w:p w14:paraId="4597FF98" w14:textId="77777777" w:rsidR="00E01CC9" w:rsidRDefault="00E01CC9" w:rsidP="00AB2558">
            <w:pPr>
              <w:pStyle w:val="TableText"/>
            </w:pPr>
          </w:p>
        </w:tc>
        <w:tc>
          <w:tcPr>
            <w:tcW w:w="624" w:type="dxa"/>
          </w:tcPr>
          <w:p w14:paraId="733555AA" w14:textId="77777777" w:rsidR="00E01CC9" w:rsidRDefault="00E01CC9" w:rsidP="00AB2558">
            <w:pPr>
              <w:pStyle w:val="TableText"/>
            </w:pPr>
          </w:p>
        </w:tc>
        <w:tc>
          <w:tcPr>
            <w:tcW w:w="624" w:type="dxa"/>
          </w:tcPr>
          <w:p w14:paraId="602446BA" w14:textId="77777777" w:rsidR="00E01CC9" w:rsidRDefault="00E01CC9" w:rsidP="00AB2558">
            <w:pPr>
              <w:pStyle w:val="TableText"/>
            </w:pPr>
          </w:p>
        </w:tc>
        <w:tc>
          <w:tcPr>
            <w:tcW w:w="624" w:type="dxa"/>
          </w:tcPr>
          <w:p w14:paraId="6ABA4408" w14:textId="77777777" w:rsidR="00E01CC9" w:rsidRDefault="00E01CC9" w:rsidP="00AB2558">
            <w:pPr>
              <w:pStyle w:val="TableText"/>
            </w:pPr>
          </w:p>
        </w:tc>
        <w:tc>
          <w:tcPr>
            <w:tcW w:w="624" w:type="dxa"/>
          </w:tcPr>
          <w:p w14:paraId="06D0C76B" w14:textId="77777777" w:rsidR="00E01CC9" w:rsidRDefault="00E01CC9" w:rsidP="00AB2558">
            <w:pPr>
              <w:pStyle w:val="TableText"/>
            </w:pPr>
          </w:p>
        </w:tc>
        <w:tc>
          <w:tcPr>
            <w:tcW w:w="624" w:type="dxa"/>
          </w:tcPr>
          <w:p w14:paraId="127F058D" w14:textId="77777777" w:rsidR="00E01CC9" w:rsidRDefault="00E01CC9" w:rsidP="00AB2558">
            <w:pPr>
              <w:pStyle w:val="TableText"/>
            </w:pPr>
          </w:p>
        </w:tc>
        <w:tc>
          <w:tcPr>
            <w:tcW w:w="4024" w:type="dxa"/>
          </w:tcPr>
          <w:p w14:paraId="2E04B61C" w14:textId="77777777" w:rsidR="00E01CC9" w:rsidRPr="0059257C" w:rsidRDefault="00E01CC9" w:rsidP="0059257C">
            <w:pPr>
              <w:pStyle w:val="TableBlock"/>
              <w:rPr>
                <w:rtl/>
              </w:rPr>
            </w:pPr>
            <w:r w:rsidRPr="0059257C">
              <w:rPr>
                <w:rFonts w:hint="cs"/>
                <w:rtl/>
              </w:rPr>
              <w:t>(2)</w:t>
            </w:r>
            <w:r w:rsidRPr="0059257C">
              <w:rPr>
                <w:rtl/>
              </w:rPr>
              <w:tab/>
              <w:t>מיתקן פוטו-</w:t>
            </w:r>
            <w:proofErr w:type="spellStart"/>
            <w:r w:rsidRPr="0059257C">
              <w:rPr>
                <w:rtl/>
              </w:rPr>
              <w:t>וולטאי</w:t>
            </w:r>
            <w:proofErr w:type="spellEnd"/>
            <w:r w:rsidRPr="0059257C">
              <w:rPr>
                <w:rtl/>
              </w:rPr>
              <w:t xml:space="preserve"> ומיתקן לאגירת אנרגיה;  </w:t>
            </w:r>
          </w:p>
        </w:tc>
      </w:tr>
      <w:tr w:rsidR="00E01CC9" w14:paraId="744FB87D" w14:textId="77777777" w:rsidTr="00361BC3">
        <w:trPr>
          <w:trHeight w:val="60"/>
        </w:trPr>
        <w:tc>
          <w:tcPr>
            <w:tcW w:w="1869" w:type="dxa"/>
          </w:tcPr>
          <w:p w14:paraId="5B996378" w14:textId="77777777" w:rsidR="00E01CC9" w:rsidRDefault="00E01CC9" w:rsidP="00AB2558">
            <w:pPr>
              <w:pStyle w:val="TableSideHeading"/>
            </w:pPr>
          </w:p>
        </w:tc>
        <w:tc>
          <w:tcPr>
            <w:tcW w:w="623" w:type="dxa"/>
          </w:tcPr>
          <w:p w14:paraId="2689EC81" w14:textId="77777777" w:rsidR="00E01CC9" w:rsidRDefault="00E01CC9" w:rsidP="00AB2558">
            <w:pPr>
              <w:pStyle w:val="TableText"/>
            </w:pPr>
          </w:p>
        </w:tc>
        <w:tc>
          <w:tcPr>
            <w:tcW w:w="624" w:type="dxa"/>
          </w:tcPr>
          <w:p w14:paraId="1442D8A6" w14:textId="77777777" w:rsidR="00E01CC9" w:rsidRDefault="00E01CC9" w:rsidP="00AB2558">
            <w:pPr>
              <w:pStyle w:val="TableText"/>
            </w:pPr>
          </w:p>
        </w:tc>
        <w:tc>
          <w:tcPr>
            <w:tcW w:w="624" w:type="dxa"/>
          </w:tcPr>
          <w:p w14:paraId="637E0C3A" w14:textId="77777777" w:rsidR="00E01CC9" w:rsidRDefault="00E01CC9" w:rsidP="00AB2558">
            <w:pPr>
              <w:pStyle w:val="TableText"/>
            </w:pPr>
          </w:p>
        </w:tc>
        <w:tc>
          <w:tcPr>
            <w:tcW w:w="624" w:type="dxa"/>
          </w:tcPr>
          <w:p w14:paraId="75A8088D" w14:textId="77777777" w:rsidR="00E01CC9" w:rsidRDefault="00E01CC9" w:rsidP="00AB2558">
            <w:pPr>
              <w:pStyle w:val="TableText"/>
            </w:pPr>
          </w:p>
        </w:tc>
        <w:tc>
          <w:tcPr>
            <w:tcW w:w="624" w:type="dxa"/>
          </w:tcPr>
          <w:p w14:paraId="4A5CF040" w14:textId="77777777" w:rsidR="00E01CC9" w:rsidRDefault="00E01CC9" w:rsidP="00AB2558">
            <w:pPr>
              <w:pStyle w:val="TableText"/>
            </w:pPr>
          </w:p>
        </w:tc>
        <w:tc>
          <w:tcPr>
            <w:tcW w:w="624" w:type="dxa"/>
          </w:tcPr>
          <w:p w14:paraId="6A7997CC" w14:textId="77777777" w:rsidR="00E01CC9" w:rsidRDefault="00E01CC9" w:rsidP="00AB2558">
            <w:pPr>
              <w:pStyle w:val="TableText"/>
            </w:pPr>
          </w:p>
        </w:tc>
        <w:tc>
          <w:tcPr>
            <w:tcW w:w="4024" w:type="dxa"/>
          </w:tcPr>
          <w:p w14:paraId="55C15110" w14:textId="77777777" w:rsidR="00E01CC9" w:rsidRPr="0059257C" w:rsidRDefault="00E01CC9" w:rsidP="0059257C">
            <w:pPr>
              <w:pStyle w:val="TableBlock"/>
              <w:rPr>
                <w:rtl/>
              </w:rPr>
            </w:pPr>
            <w:r w:rsidRPr="0059257C">
              <w:rPr>
                <w:rFonts w:hint="cs"/>
                <w:rtl/>
              </w:rPr>
              <w:t>(3)</w:t>
            </w:r>
            <w:r w:rsidRPr="0059257C">
              <w:rPr>
                <w:rtl/>
              </w:rPr>
              <w:tab/>
              <w:t>מיתקן להספקה, לחלוקה או לאגירה של מים, ביוב, פסולת או גז, או לטיפול בהם;</w:t>
            </w:r>
          </w:p>
        </w:tc>
      </w:tr>
      <w:tr w:rsidR="00E01CC9" w14:paraId="6EE472B0" w14:textId="77777777" w:rsidTr="00361BC3">
        <w:trPr>
          <w:trHeight w:val="60"/>
        </w:trPr>
        <w:tc>
          <w:tcPr>
            <w:tcW w:w="1869" w:type="dxa"/>
          </w:tcPr>
          <w:p w14:paraId="31657FE8" w14:textId="77777777" w:rsidR="00E01CC9" w:rsidRDefault="00E01CC9" w:rsidP="00AB2558">
            <w:pPr>
              <w:pStyle w:val="TableSideHeading"/>
            </w:pPr>
          </w:p>
        </w:tc>
        <w:tc>
          <w:tcPr>
            <w:tcW w:w="623" w:type="dxa"/>
          </w:tcPr>
          <w:p w14:paraId="1DE8C1B9" w14:textId="77777777" w:rsidR="00E01CC9" w:rsidRDefault="00E01CC9" w:rsidP="00AB2558">
            <w:pPr>
              <w:pStyle w:val="TableText"/>
            </w:pPr>
          </w:p>
        </w:tc>
        <w:tc>
          <w:tcPr>
            <w:tcW w:w="624" w:type="dxa"/>
          </w:tcPr>
          <w:p w14:paraId="055C92E7" w14:textId="77777777" w:rsidR="00E01CC9" w:rsidRDefault="00E01CC9" w:rsidP="00AB2558">
            <w:pPr>
              <w:pStyle w:val="TableText"/>
            </w:pPr>
          </w:p>
        </w:tc>
        <w:tc>
          <w:tcPr>
            <w:tcW w:w="624" w:type="dxa"/>
          </w:tcPr>
          <w:p w14:paraId="4B7C6057" w14:textId="77777777" w:rsidR="00E01CC9" w:rsidRDefault="00E01CC9" w:rsidP="00AB2558">
            <w:pPr>
              <w:pStyle w:val="TableText"/>
            </w:pPr>
          </w:p>
        </w:tc>
        <w:tc>
          <w:tcPr>
            <w:tcW w:w="624" w:type="dxa"/>
          </w:tcPr>
          <w:p w14:paraId="7D88BAD3" w14:textId="77777777" w:rsidR="00E01CC9" w:rsidRDefault="00E01CC9" w:rsidP="00AB2558">
            <w:pPr>
              <w:pStyle w:val="TableText"/>
            </w:pPr>
          </w:p>
        </w:tc>
        <w:tc>
          <w:tcPr>
            <w:tcW w:w="624" w:type="dxa"/>
          </w:tcPr>
          <w:p w14:paraId="01742CF6" w14:textId="77777777" w:rsidR="00E01CC9" w:rsidRDefault="00E01CC9" w:rsidP="00AB2558">
            <w:pPr>
              <w:pStyle w:val="TableText"/>
            </w:pPr>
          </w:p>
        </w:tc>
        <w:tc>
          <w:tcPr>
            <w:tcW w:w="624" w:type="dxa"/>
          </w:tcPr>
          <w:p w14:paraId="60ED9A07" w14:textId="77777777" w:rsidR="00E01CC9" w:rsidRDefault="00E01CC9" w:rsidP="00AB2558">
            <w:pPr>
              <w:pStyle w:val="TableText"/>
            </w:pPr>
          </w:p>
        </w:tc>
        <w:tc>
          <w:tcPr>
            <w:tcW w:w="4024" w:type="dxa"/>
          </w:tcPr>
          <w:p w14:paraId="163AF562" w14:textId="6CDC6F80" w:rsidR="00E01CC9" w:rsidRPr="0059257C" w:rsidRDefault="00E01CC9" w:rsidP="0059257C">
            <w:pPr>
              <w:pStyle w:val="TableBlock"/>
              <w:rPr>
                <w:rtl/>
              </w:rPr>
            </w:pPr>
            <w:r w:rsidRPr="0059257C">
              <w:rPr>
                <w:rFonts w:hint="cs"/>
                <w:rtl/>
              </w:rPr>
              <w:t>(4)</w:t>
            </w:r>
            <w:r w:rsidRPr="0059257C">
              <w:rPr>
                <w:rtl/>
              </w:rPr>
              <w:tab/>
              <w:t>מיתקן המשמש או מיועד לשמש להספקת שירות בזק כהגדרתו בחוק התקשורת או להספקת שידור</w:t>
            </w:r>
            <w:r w:rsidR="0059257C">
              <w:rPr>
                <w:rtl/>
              </w:rPr>
              <w:t>ים כהגדרתם בסעיף 13ב לחוק האמור</w:t>
            </w:r>
            <w:r w:rsidR="0059257C">
              <w:rPr>
                <w:rFonts w:hint="cs"/>
                <w:rtl/>
              </w:rPr>
              <w:t>."</w:t>
            </w:r>
          </w:p>
        </w:tc>
      </w:tr>
      <w:tr w:rsidR="00E01CC9" w14:paraId="745885DE" w14:textId="77777777" w:rsidTr="00361BC3">
        <w:tc>
          <w:tcPr>
            <w:tcW w:w="1869" w:type="dxa"/>
          </w:tcPr>
          <w:p w14:paraId="4D10ABB8" w14:textId="77777777" w:rsidR="00E01CC9" w:rsidRPr="00645EC1" w:rsidRDefault="00E01CC9" w:rsidP="00AB2558">
            <w:pPr>
              <w:pStyle w:val="TableSideHeading"/>
              <w:rPr>
                <w:rtl/>
              </w:rPr>
            </w:pPr>
            <w:r>
              <w:rPr>
                <w:rFonts w:hint="cs"/>
                <w:rtl/>
              </w:rPr>
              <w:t xml:space="preserve">תיקון חוק </w:t>
            </w:r>
            <w:r w:rsidRPr="00597D52">
              <w:rPr>
                <w:rtl/>
              </w:rPr>
              <w:t>לקידום הבנייה במתחמים מועדפים (הוראת שעה)</w:t>
            </w:r>
          </w:p>
        </w:tc>
        <w:tc>
          <w:tcPr>
            <w:tcW w:w="623" w:type="dxa"/>
          </w:tcPr>
          <w:p w14:paraId="13988D56" w14:textId="77777777" w:rsidR="00E01CC9" w:rsidRDefault="00E01CC9" w:rsidP="00AB2558">
            <w:pPr>
              <w:pStyle w:val="TableText"/>
            </w:pPr>
            <w:r>
              <w:rPr>
                <w:rFonts w:hint="cs"/>
                <w:rtl/>
              </w:rPr>
              <w:t>2.</w:t>
            </w:r>
          </w:p>
        </w:tc>
        <w:tc>
          <w:tcPr>
            <w:tcW w:w="7144" w:type="dxa"/>
            <w:gridSpan w:val="6"/>
          </w:tcPr>
          <w:p w14:paraId="5E72C766" w14:textId="77777777" w:rsidR="00E01CC9" w:rsidRPr="00597D52" w:rsidRDefault="00E01CC9" w:rsidP="00AB2558">
            <w:pPr>
              <w:pStyle w:val="TableBlock"/>
              <w:rPr>
                <w:rtl/>
              </w:rPr>
            </w:pPr>
            <w:r w:rsidRPr="00597D52">
              <w:rPr>
                <w:rFonts w:hint="cs"/>
                <w:rtl/>
              </w:rPr>
              <w:t>ב</w:t>
            </w:r>
            <w:r w:rsidRPr="00597D52">
              <w:rPr>
                <w:rtl/>
              </w:rPr>
              <w:t xml:space="preserve">חוק לקידום הבנייה במתחמים מועדפים (הוראת שעה), </w:t>
            </w:r>
            <w:proofErr w:type="spellStart"/>
            <w:r>
              <w:rPr>
                <w:rFonts w:hint="cs"/>
                <w:rtl/>
              </w:rPr>
              <w:t>ה</w:t>
            </w:r>
            <w:r w:rsidRPr="00597D52">
              <w:rPr>
                <w:rtl/>
              </w:rPr>
              <w:t>תשע"ד</w:t>
            </w:r>
            <w:proofErr w:type="spellEnd"/>
            <w:r>
              <w:rPr>
                <w:rFonts w:hint="cs"/>
                <w:rtl/>
              </w:rPr>
              <w:t>–</w:t>
            </w:r>
            <w:r w:rsidRPr="00597D52">
              <w:rPr>
                <w:rtl/>
              </w:rPr>
              <w:t>2014</w:t>
            </w:r>
            <w:r w:rsidRPr="00142EA8">
              <w:rPr>
                <w:rStyle w:val="a5"/>
                <w:rFonts w:ascii="David" w:hAnsi="David"/>
                <w:sz w:val="26"/>
                <w:rtl/>
              </w:rPr>
              <w:footnoteReference w:id="3"/>
            </w:r>
            <w:r>
              <w:rPr>
                <w:rFonts w:hint="cs"/>
                <w:rtl/>
              </w:rPr>
              <w:t xml:space="preserve"> </w:t>
            </w:r>
            <w:r>
              <w:rPr>
                <w:rFonts w:hint="eastAsia"/>
                <w:rtl/>
              </w:rPr>
              <w:t>–</w:t>
            </w:r>
          </w:p>
        </w:tc>
      </w:tr>
      <w:tr w:rsidR="00E01CC9" w14:paraId="7D774A84" w14:textId="77777777" w:rsidTr="00361BC3">
        <w:tc>
          <w:tcPr>
            <w:tcW w:w="1869" w:type="dxa"/>
          </w:tcPr>
          <w:p w14:paraId="0314927C" w14:textId="77777777" w:rsidR="00E01CC9" w:rsidRDefault="00E01CC9" w:rsidP="00AB2558">
            <w:pPr>
              <w:pStyle w:val="TableSideHeading"/>
              <w:rPr>
                <w:rtl/>
              </w:rPr>
            </w:pPr>
          </w:p>
        </w:tc>
        <w:tc>
          <w:tcPr>
            <w:tcW w:w="623" w:type="dxa"/>
          </w:tcPr>
          <w:p w14:paraId="474443D6" w14:textId="77777777" w:rsidR="00E01CC9" w:rsidRDefault="00E01CC9" w:rsidP="00AB2558">
            <w:pPr>
              <w:pStyle w:val="TableText"/>
              <w:rPr>
                <w:rtl/>
              </w:rPr>
            </w:pPr>
          </w:p>
        </w:tc>
        <w:tc>
          <w:tcPr>
            <w:tcW w:w="7144" w:type="dxa"/>
            <w:gridSpan w:val="6"/>
          </w:tcPr>
          <w:p w14:paraId="20EB49B4" w14:textId="1B82ED97" w:rsidR="00E01CC9" w:rsidRPr="00597D52" w:rsidRDefault="00E01CC9" w:rsidP="00572E3D">
            <w:pPr>
              <w:pStyle w:val="TableBlock"/>
              <w:rPr>
                <w:rtl/>
              </w:rPr>
            </w:pPr>
            <w:r>
              <w:rPr>
                <w:rFonts w:hint="cs"/>
                <w:rtl/>
              </w:rPr>
              <w:t>(</w:t>
            </w:r>
            <w:r w:rsidR="00572E3D">
              <w:rPr>
                <w:rFonts w:hint="cs"/>
                <w:rtl/>
              </w:rPr>
              <w:t>1</w:t>
            </w:r>
            <w:r>
              <w:rPr>
                <w:rFonts w:hint="cs"/>
                <w:rtl/>
              </w:rPr>
              <w:t>)</w:t>
            </w:r>
            <w:r>
              <w:rPr>
                <w:rtl/>
              </w:rPr>
              <w:tab/>
            </w:r>
            <w:r w:rsidRPr="002C6FDE">
              <w:rPr>
                <w:rFonts w:hint="cs"/>
                <w:rtl/>
              </w:rPr>
              <w:t>בסעיף 3(א)</w:t>
            </w:r>
            <w:r>
              <w:rPr>
                <w:rFonts w:hint="cs"/>
                <w:rtl/>
              </w:rPr>
              <w:t xml:space="preserve">, </w:t>
            </w:r>
            <w:r w:rsidRPr="002C6FDE">
              <w:rPr>
                <w:rFonts w:hint="cs"/>
                <w:rtl/>
              </w:rPr>
              <w:t>המילים "</w:t>
            </w:r>
            <w:r w:rsidRPr="002C6FDE">
              <w:rPr>
                <w:rtl/>
              </w:rPr>
              <w:t>ובלבד שלא יוקם במתחם האמור יישוב חד</w:t>
            </w:r>
            <w:r w:rsidRPr="002C6FDE">
              <w:rPr>
                <w:rFonts w:hint="cs"/>
                <w:rtl/>
              </w:rPr>
              <w:t>ש"</w:t>
            </w:r>
            <w:r>
              <w:rPr>
                <w:rFonts w:hint="cs"/>
                <w:rtl/>
              </w:rPr>
              <w:t xml:space="preserve"> </w:t>
            </w:r>
            <w:r>
              <w:rPr>
                <w:rFonts w:hint="eastAsia"/>
                <w:rtl/>
              </w:rPr>
              <w:t>–</w:t>
            </w:r>
            <w:r w:rsidRPr="002C6FDE">
              <w:rPr>
                <w:rFonts w:hint="cs"/>
                <w:rtl/>
              </w:rPr>
              <w:t xml:space="preserve"> יימחקו</w:t>
            </w:r>
            <w:r w:rsidR="00572E3D">
              <w:rPr>
                <w:rFonts w:hint="cs"/>
                <w:rtl/>
              </w:rPr>
              <w:t>;</w:t>
            </w:r>
          </w:p>
        </w:tc>
      </w:tr>
      <w:tr w:rsidR="00E01CC9" w14:paraId="716F893A" w14:textId="77777777" w:rsidTr="00361BC3">
        <w:tc>
          <w:tcPr>
            <w:tcW w:w="1869" w:type="dxa"/>
          </w:tcPr>
          <w:p w14:paraId="647298C5" w14:textId="77777777" w:rsidR="00E01CC9" w:rsidRDefault="00E01CC9" w:rsidP="00AB2558">
            <w:pPr>
              <w:pStyle w:val="TableSideHeading"/>
              <w:rPr>
                <w:rtl/>
              </w:rPr>
            </w:pPr>
          </w:p>
        </w:tc>
        <w:tc>
          <w:tcPr>
            <w:tcW w:w="623" w:type="dxa"/>
          </w:tcPr>
          <w:p w14:paraId="1B5BB049" w14:textId="77777777" w:rsidR="00E01CC9" w:rsidRDefault="00E01CC9" w:rsidP="00AB2558">
            <w:pPr>
              <w:pStyle w:val="TableText"/>
              <w:rPr>
                <w:rtl/>
              </w:rPr>
            </w:pPr>
          </w:p>
        </w:tc>
        <w:tc>
          <w:tcPr>
            <w:tcW w:w="7144" w:type="dxa"/>
            <w:gridSpan w:val="6"/>
          </w:tcPr>
          <w:p w14:paraId="27869785" w14:textId="4D3A2FE2" w:rsidR="00E01CC9" w:rsidRDefault="00E01CC9" w:rsidP="00572E3D">
            <w:pPr>
              <w:pStyle w:val="TableBlock"/>
              <w:rPr>
                <w:rtl/>
              </w:rPr>
            </w:pPr>
            <w:r>
              <w:rPr>
                <w:rFonts w:hint="cs"/>
                <w:rtl/>
              </w:rPr>
              <w:t>(</w:t>
            </w:r>
            <w:r w:rsidR="00572E3D">
              <w:rPr>
                <w:rFonts w:hint="cs"/>
                <w:rtl/>
              </w:rPr>
              <w:t>2</w:t>
            </w:r>
            <w:r>
              <w:rPr>
                <w:rFonts w:hint="cs"/>
                <w:rtl/>
              </w:rPr>
              <w:t>)</w:t>
            </w:r>
            <w:r>
              <w:rPr>
                <w:rtl/>
              </w:rPr>
              <w:tab/>
            </w:r>
            <w:r>
              <w:rPr>
                <w:rFonts w:hint="cs"/>
                <w:rtl/>
              </w:rPr>
              <w:t xml:space="preserve">בסעיף 4 </w:t>
            </w:r>
            <w:r>
              <w:rPr>
                <w:rFonts w:hint="eastAsia"/>
                <w:rtl/>
              </w:rPr>
              <w:t>–</w:t>
            </w:r>
          </w:p>
        </w:tc>
      </w:tr>
      <w:tr w:rsidR="00E01CC9" w14:paraId="1080F369" w14:textId="77777777" w:rsidTr="00361BC3">
        <w:tc>
          <w:tcPr>
            <w:tcW w:w="1869" w:type="dxa"/>
          </w:tcPr>
          <w:p w14:paraId="5EF073F3" w14:textId="77777777" w:rsidR="00E01CC9" w:rsidRDefault="00E01CC9" w:rsidP="00AB2558">
            <w:pPr>
              <w:pStyle w:val="TableSideHeading"/>
              <w:outlineLvl w:val="9"/>
              <w:rPr>
                <w:rtl/>
              </w:rPr>
            </w:pPr>
          </w:p>
        </w:tc>
        <w:tc>
          <w:tcPr>
            <w:tcW w:w="623" w:type="dxa"/>
          </w:tcPr>
          <w:p w14:paraId="499D111C" w14:textId="77777777" w:rsidR="00E01CC9" w:rsidRDefault="00E01CC9" w:rsidP="00AB2558">
            <w:pPr>
              <w:pStyle w:val="TableText"/>
              <w:jc w:val="both"/>
              <w:rPr>
                <w:rtl/>
              </w:rPr>
            </w:pPr>
          </w:p>
        </w:tc>
        <w:tc>
          <w:tcPr>
            <w:tcW w:w="624" w:type="dxa"/>
          </w:tcPr>
          <w:p w14:paraId="29A6453A" w14:textId="77777777" w:rsidR="00E01CC9" w:rsidRDefault="00E01CC9" w:rsidP="00AB2558">
            <w:pPr>
              <w:pStyle w:val="TableText"/>
              <w:jc w:val="both"/>
              <w:rPr>
                <w:rtl/>
              </w:rPr>
            </w:pPr>
          </w:p>
        </w:tc>
        <w:tc>
          <w:tcPr>
            <w:tcW w:w="6520" w:type="dxa"/>
            <w:gridSpan w:val="5"/>
          </w:tcPr>
          <w:p w14:paraId="6ABA84AE" w14:textId="4CC56228" w:rsidR="00E01CC9" w:rsidRDefault="00E01CC9" w:rsidP="00572E3D">
            <w:pPr>
              <w:pStyle w:val="TableBlock"/>
              <w:rPr>
                <w:rtl/>
              </w:rPr>
            </w:pPr>
            <w:r>
              <w:rPr>
                <w:rFonts w:hint="cs"/>
                <w:rtl/>
              </w:rPr>
              <w:t>(</w:t>
            </w:r>
            <w:r w:rsidR="00572E3D">
              <w:rPr>
                <w:rFonts w:hint="cs"/>
                <w:rtl/>
              </w:rPr>
              <w:t>א</w:t>
            </w:r>
            <w:r>
              <w:rPr>
                <w:rFonts w:hint="cs"/>
                <w:rtl/>
              </w:rPr>
              <w:t>)</w:t>
            </w:r>
            <w:r>
              <w:rPr>
                <w:rtl/>
              </w:rPr>
              <w:tab/>
            </w:r>
            <w:r>
              <w:rPr>
                <w:rFonts w:hint="cs"/>
                <w:rtl/>
              </w:rPr>
              <w:t xml:space="preserve">בסעיף קטן (א)(1), </w:t>
            </w:r>
            <w:r w:rsidR="00572E3D">
              <w:rPr>
                <w:rFonts w:hint="cs"/>
                <w:rtl/>
              </w:rPr>
              <w:t>אחרי</w:t>
            </w:r>
            <w:r>
              <w:rPr>
                <w:rFonts w:hint="cs"/>
                <w:rtl/>
              </w:rPr>
              <w:t xml:space="preserve"> "1050</w:t>
            </w:r>
            <w:r w:rsidRPr="002C6FDE">
              <w:t xml:space="preserve"> </w:t>
            </w:r>
            <w:r w:rsidRPr="002C6FDE">
              <w:rPr>
                <w:rtl/>
              </w:rPr>
              <w:t>יחידות דיור לפחות</w:t>
            </w:r>
            <w:r w:rsidR="00572E3D">
              <w:rPr>
                <w:rFonts w:hint="cs"/>
                <w:rtl/>
              </w:rPr>
              <w:t>"</w:t>
            </w:r>
            <w:r>
              <w:rPr>
                <w:rFonts w:hint="cs"/>
                <w:rtl/>
              </w:rPr>
              <w:t xml:space="preserve"> יבוא "ובאם מדובר ביי</w:t>
            </w:r>
            <w:r w:rsidR="00572E3D">
              <w:rPr>
                <w:rFonts w:hint="cs"/>
                <w:rtl/>
              </w:rPr>
              <w:t>שוב חדש, 100 יחידות דיור לפחות";</w:t>
            </w:r>
          </w:p>
        </w:tc>
      </w:tr>
      <w:tr w:rsidR="00E01CC9" w14:paraId="57A5E21E" w14:textId="77777777" w:rsidTr="00361BC3">
        <w:tc>
          <w:tcPr>
            <w:tcW w:w="1869" w:type="dxa"/>
          </w:tcPr>
          <w:p w14:paraId="3E06C1B6" w14:textId="77777777" w:rsidR="00E01CC9" w:rsidRDefault="00E01CC9" w:rsidP="00AB2558">
            <w:pPr>
              <w:pStyle w:val="TableSideHeading"/>
              <w:outlineLvl w:val="9"/>
              <w:rPr>
                <w:rtl/>
              </w:rPr>
            </w:pPr>
          </w:p>
        </w:tc>
        <w:tc>
          <w:tcPr>
            <w:tcW w:w="623" w:type="dxa"/>
          </w:tcPr>
          <w:p w14:paraId="2442304C" w14:textId="77777777" w:rsidR="00E01CC9" w:rsidRDefault="00E01CC9" w:rsidP="00AB2558">
            <w:pPr>
              <w:pStyle w:val="TableText"/>
              <w:rPr>
                <w:rtl/>
              </w:rPr>
            </w:pPr>
          </w:p>
        </w:tc>
        <w:tc>
          <w:tcPr>
            <w:tcW w:w="624" w:type="dxa"/>
          </w:tcPr>
          <w:p w14:paraId="1A438A89" w14:textId="77777777" w:rsidR="00E01CC9" w:rsidRDefault="00E01CC9" w:rsidP="00AB2558">
            <w:pPr>
              <w:pStyle w:val="TableText"/>
              <w:jc w:val="both"/>
              <w:rPr>
                <w:rtl/>
              </w:rPr>
            </w:pPr>
          </w:p>
        </w:tc>
        <w:tc>
          <w:tcPr>
            <w:tcW w:w="6520" w:type="dxa"/>
            <w:gridSpan w:val="5"/>
          </w:tcPr>
          <w:p w14:paraId="2C2662B7" w14:textId="6C0223D9" w:rsidR="00E01CC9" w:rsidRDefault="00E01CC9" w:rsidP="00572E3D">
            <w:pPr>
              <w:pStyle w:val="TableBlock"/>
              <w:rPr>
                <w:rtl/>
              </w:rPr>
            </w:pPr>
            <w:r>
              <w:rPr>
                <w:rFonts w:hint="cs"/>
                <w:rtl/>
              </w:rPr>
              <w:t>(</w:t>
            </w:r>
            <w:r w:rsidR="00572E3D">
              <w:rPr>
                <w:rFonts w:hint="cs"/>
                <w:rtl/>
              </w:rPr>
              <w:t>ב</w:t>
            </w:r>
            <w:r>
              <w:rPr>
                <w:rFonts w:hint="cs"/>
                <w:rtl/>
              </w:rPr>
              <w:t>)</w:t>
            </w:r>
            <w:r>
              <w:rPr>
                <w:rtl/>
              </w:rPr>
              <w:tab/>
            </w:r>
            <w:r>
              <w:rPr>
                <w:rFonts w:hint="cs"/>
                <w:rtl/>
              </w:rPr>
              <w:t xml:space="preserve">בסעיף קטן (ב)(1), </w:t>
            </w:r>
            <w:r w:rsidR="00572E3D">
              <w:rPr>
                <w:rFonts w:hint="cs"/>
                <w:rtl/>
              </w:rPr>
              <w:t>אחרי</w:t>
            </w:r>
            <w:r>
              <w:rPr>
                <w:rFonts w:hint="cs"/>
                <w:rtl/>
              </w:rPr>
              <w:t xml:space="preserve"> "</w:t>
            </w:r>
            <w:r w:rsidRPr="009372B0">
              <w:rPr>
                <w:rtl/>
              </w:rPr>
              <w:t>לטווח ארוך במחיר מופחת</w:t>
            </w:r>
            <w:r>
              <w:rPr>
                <w:rFonts w:hint="cs"/>
                <w:rtl/>
              </w:rPr>
              <w:t>" יבוא "הור</w:t>
            </w:r>
            <w:r w:rsidR="00572E3D">
              <w:rPr>
                <w:rFonts w:hint="cs"/>
                <w:rtl/>
              </w:rPr>
              <w:t>אה זו לא תחול לעניין יישוב חדש";</w:t>
            </w:r>
          </w:p>
        </w:tc>
      </w:tr>
      <w:tr w:rsidR="00E01CC9" w14:paraId="6E55A07F" w14:textId="77777777" w:rsidTr="00361BC3">
        <w:tc>
          <w:tcPr>
            <w:tcW w:w="1869" w:type="dxa"/>
          </w:tcPr>
          <w:p w14:paraId="11E0785C" w14:textId="77777777" w:rsidR="00E01CC9" w:rsidRDefault="00E01CC9" w:rsidP="00AB2558">
            <w:pPr>
              <w:pStyle w:val="TableSideHeading"/>
              <w:outlineLvl w:val="9"/>
              <w:rPr>
                <w:rtl/>
              </w:rPr>
            </w:pPr>
          </w:p>
        </w:tc>
        <w:tc>
          <w:tcPr>
            <w:tcW w:w="623" w:type="dxa"/>
          </w:tcPr>
          <w:p w14:paraId="6B7624A1" w14:textId="77777777" w:rsidR="00E01CC9" w:rsidRDefault="00E01CC9" w:rsidP="00AB2558">
            <w:pPr>
              <w:pStyle w:val="TableText"/>
              <w:rPr>
                <w:rtl/>
              </w:rPr>
            </w:pPr>
          </w:p>
        </w:tc>
        <w:tc>
          <w:tcPr>
            <w:tcW w:w="7144" w:type="dxa"/>
            <w:gridSpan w:val="6"/>
          </w:tcPr>
          <w:p w14:paraId="2E683212" w14:textId="63E1D322" w:rsidR="00E01CC9" w:rsidRDefault="00E01CC9" w:rsidP="00572E3D">
            <w:pPr>
              <w:pStyle w:val="TableBlock"/>
              <w:rPr>
                <w:rtl/>
              </w:rPr>
            </w:pPr>
            <w:r>
              <w:rPr>
                <w:rFonts w:hint="cs"/>
                <w:rtl/>
              </w:rPr>
              <w:t>(</w:t>
            </w:r>
            <w:r w:rsidR="00572E3D">
              <w:rPr>
                <w:rFonts w:hint="cs"/>
                <w:rtl/>
              </w:rPr>
              <w:t>3</w:t>
            </w:r>
            <w:r>
              <w:rPr>
                <w:rFonts w:hint="cs"/>
                <w:rtl/>
              </w:rPr>
              <w:t>)</w:t>
            </w:r>
            <w:r>
              <w:rPr>
                <w:rtl/>
              </w:rPr>
              <w:tab/>
            </w:r>
            <w:r w:rsidR="00572E3D">
              <w:rPr>
                <w:rFonts w:hint="cs"/>
                <w:rtl/>
              </w:rPr>
              <w:t xml:space="preserve">בסעיף 9, אחרי סעיף קטן </w:t>
            </w:r>
            <w:r>
              <w:rPr>
                <w:rFonts w:hint="cs"/>
                <w:rtl/>
              </w:rPr>
              <w:t>(ב1) יבוא:</w:t>
            </w:r>
          </w:p>
        </w:tc>
      </w:tr>
      <w:tr w:rsidR="00E01CC9" w14:paraId="7D8D1845" w14:textId="77777777" w:rsidTr="00361BC3">
        <w:tc>
          <w:tcPr>
            <w:tcW w:w="1869" w:type="dxa"/>
          </w:tcPr>
          <w:p w14:paraId="65FB1EAC" w14:textId="77777777" w:rsidR="00E01CC9" w:rsidRDefault="00E01CC9" w:rsidP="00AB2558">
            <w:pPr>
              <w:pStyle w:val="TableSideHeading"/>
              <w:outlineLvl w:val="9"/>
              <w:rPr>
                <w:rtl/>
              </w:rPr>
            </w:pPr>
          </w:p>
        </w:tc>
        <w:tc>
          <w:tcPr>
            <w:tcW w:w="623" w:type="dxa"/>
          </w:tcPr>
          <w:p w14:paraId="6DD4941C" w14:textId="77777777" w:rsidR="00E01CC9" w:rsidRDefault="00E01CC9" w:rsidP="00AB2558">
            <w:pPr>
              <w:pStyle w:val="TableText"/>
              <w:jc w:val="both"/>
              <w:rPr>
                <w:rtl/>
              </w:rPr>
            </w:pPr>
          </w:p>
        </w:tc>
        <w:tc>
          <w:tcPr>
            <w:tcW w:w="624" w:type="dxa"/>
          </w:tcPr>
          <w:p w14:paraId="0F42D808" w14:textId="77777777" w:rsidR="00E01CC9" w:rsidRDefault="00E01CC9" w:rsidP="00AB2558">
            <w:pPr>
              <w:pStyle w:val="TableText"/>
              <w:jc w:val="both"/>
              <w:rPr>
                <w:rtl/>
              </w:rPr>
            </w:pPr>
          </w:p>
        </w:tc>
        <w:tc>
          <w:tcPr>
            <w:tcW w:w="6520" w:type="dxa"/>
            <w:gridSpan w:val="5"/>
          </w:tcPr>
          <w:p w14:paraId="12666714" w14:textId="405138F4" w:rsidR="00E01CC9" w:rsidRDefault="00E01CC9" w:rsidP="00572E3D">
            <w:pPr>
              <w:pStyle w:val="TableBlock"/>
              <w:rPr>
                <w:rtl/>
              </w:rPr>
            </w:pPr>
            <w:r>
              <w:rPr>
                <w:rFonts w:hint="cs"/>
                <w:rtl/>
              </w:rPr>
              <w:t>"(ב2)</w:t>
            </w:r>
            <w:r w:rsidR="00572E3D">
              <w:rPr>
                <w:rtl/>
              </w:rPr>
              <w:tab/>
            </w:r>
            <w:r w:rsidRPr="00C12A7E">
              <w:rPr>
                <w:rtl/>
              </w:rPr>
              <w:t xml:space="preserve">על אף האמור בסעיפים קטנים (א) </w:t>
            </w:r>
            <w:r w:rsidR="00572E3D">
              <w:rPr>
                <w:rFonts w:hint="cs"/>
                <w:rtl/>
              </w:rPr>
              <w:t>ו-</w:t>
            </w:r>
            <w:r w:rsidRPr="00C12A7E">
              <w:rPr>
                <w:rtl/>
              </w:rPr>
              <w:t xml:space="preserve">(ב), לא תוגש </w:t>
            </w:r>
            <w:proofErr w:type="spellStart"/>
            <w:r w:rsidRPr="00C12A7E">
              <w:rPr>
                <w:rtl/>
              </w:rPr>
              <w:t>ת</w:t>
            </w:r>
            <w:r w:rsidR="00572E3D">
              <w:rPr>
                <w:rFonts w:hint="cs"/>
                <w:rtl/>
              </w:rPr>
              <w:t>ו</w:t>
            </w:r>
            <w:r w:rsidRPr="00C12A7E">
              <w:rPr>
                <w:rtl/>
              </w:rPr>
              <w:t>כנית</w:t>
            </w:r>
            <w:proofErr w:type="spellEnd"/>
            <w:r w:rsidRPr="00C12A7E">
              <w:rPr>
                <w:rtl/>
              </w:rPr>
              <w:t xml:space="preserve"> מועדפת </w:t>
            </w:r>
            <w:r>
              <w:rPr>
                <w:rFonts w:hint="cs"/>
                <w:rtl/>
              </w:rPr>
              <w:t>העוסקת ביישוב חדש</w:t>
            </w:r>
            <w:r w:rsidRPr="00C12A7E">
              <w:rPr>
                <w:rtl/>
              </w:rPr>
              <w:t xml:space="preserve"> אלא אם כן הרשות המקומית שבתחומה נכלל שטח הת</w:t>
            </w:r>
            <w:r w:rsidR="00572E3D">
              <w:rPr>
                <w:rFonts w:hint="cs"/>
                <w:rtl/>
              </w:rPr>
              <w:t>ו</w:t>
            </w:r>
            <w:r w:rsidRPr="00C12A7E">
              <w:rPr>
                <w:rtl/>
              </w:rPr>
              <w:t>כנית נתנה את הסכמתה להגשת הת</w:t>
            </w:r>
            <w:r w:rsidR="00572E3D">
              <w:rPr>
                <w:rFonts w:hint="cs"/>
                <w:rtl/>
              </w:rPr>
              <w:t>ו</w:t>
            </w:r>
            <w:r w:rsidRPr="00C12A7E">
              <w:rPr>
                <w:rtl/>
              </w:rPr>
              <w:t>כני</w:t>
            </w:r>
            <w:r>
              <w:rPr>
                <w:rFonts w:hint="cs"/>
                <w:rtl/>
              </w:rPr>
              <w:t>ת."</w:t>
            </w:r>
            <w:r w:rsidR="00572E3D">
              <w:rPr>
                <w:rFonts w:hint="cs"/>
                <w:rtl/>
              </w:rPr>
              <w:t>;</w:t>
            </w:r>
          </w:p>
        </w:tc>
      </w:tr>
      <w:tr w:rsidR="00E01CC9" w14:paraId="58AA08C5" w14:textId="77777777" w:rsidTr="00361BC3">
        <w:tc>
          <w:tcPr>
            <w:tcW w:w="1869" w:type="dxa"/>
          </w:tcPr>
          <w:p w14:paraId="28E8FD23" w14:textId="77777777" w:rsidR="00E01CC9" w:rsidRDefault="00E01CC9" w:rsidP="00AB2558">
            <w:pPr>
              <w:pStyle w:val="TableSideHeading"/>
              <w:outlineLvl w:val="9"/>
              <w:rPr>
                <w:rtl/>
              </w:rPr>
            </w:pPr>
          </w:p>
        </w:tc>
        <w:tc>
          <w:tcPr>
            <w:tcW w:w="623" w:type="dxa"/>
          </w:tcPr>
          <w:p w14:paraId="0D43FB1D" w14:textId="77777777" w:rsidR="00E01CC9" w:rsidRDefault="00E01CC9" w:rsidP="00AB2558">
            <w:pPr>
              <w:pStyle w:val="TableText"/>
              <w:jc w:val="both"/>
              <w:rPr>
                <w:rtl/>
              </w:rPr>
            </w:pPr>
          </w:p>
        </w:tc>
        <w:tc>
          <w:tcPr>
            <w:tcW w:w="7144" w:type="dxa"/>
            <w:gridSpan w:val="6"/>
          </w:tcPr>
          <w:p w14:paraId="04054162" w14:textId="5BBFFCB0" w:rsidR="00E01CC9" w:rsidRDefault="00E01CC9" w:rsidP="00572E3D">
            <w:pPr>
              <w:pStyle w:val="TableBlock"/>
              <w:rPr>
                <w:rtl/>
              </w:rPr>
            </w:pPr>
            <w:r>
              <w:rPr>
                <w:rFonts w:hint="cs"/>
                <w:rtl/>
              </w:rPr>
              <w:t>(</w:t>
            </w:r>
            <w:r w:rsidR="00572E3D">
              <w:rPr>
                <w:rFonts w:hint="cs"/>
                <w:rtl/>
              </w:rPr>
              <w:t>4</w:t>
            </w:r>
            <w:r>
              <w:rPr>
                <w:rFonts w:hint="cs"/>
                <w:rtl/>
              </w:rPr>
              <w:t>)</w:t>
            </w:r>
            <w:r>
              <w:rPr>
                <w:rtl/>
              </w:rPr>
              <w:tab/>
            </w:r>
            <w:r w:rsidR="00572E3D">
              <w:rPr>
                <w:rFonts w:hint="cs"/>
                <w:rtl/>
              </w:rPr>
              <w:t>בסעיף 13א, אחרי</w:t>
            </w:r>
            <w:r w:rsidRPr="00C12A7E">
              <w:rPr>
                <w:rFonts w:hint="cs"/>
                <w:rtl/>
              </w:rPr>
              <w:t xml:space="preserve"> סעיף</w:t>
            </w:r>
            <w:r w:rsidR="00572E3D">
              <w:rPr>
                <w:rFonts w:hint="cs"/>
                <w:rtl/>
              </w:rPr>
              <w:t xml:space="preserve"> קטן</w:t>
            </w:r>
            <w:r w:rsidRPr="00C12A7E">
              <w:rPr>
                <w:rFonts w:hint="cs"/>
                <w:rtl/>
              </w:rPr>
              <w:t xml:space="preserve"> </w:t>
            </w:r>
            <w:r>
              <w:rPr>
                <w:rFonts w:hint="cs"/>
                <w:rtl/>
              </w:rPr>
              <w:t>(ד)</w:t>
            </w:r>
            <w:r w:rsidRPr="00C12A7E">
              <w:rPr>
                <w:rFonts w:hint="cs"/>
                <w:rtl/>
              </w:rPr>
              <w:t xml:space="preserve"> יבוא:</w:t>
            </w:r>
          </w:p>
        </w:tc>
      </w:tr>
      <w:tr w:rsidR="00E01CC9" w14:paraId="3ABB08AB" w14:textId="77777777" w:rsidTr="00361BC3">
        <w:tc>
          <w:tcPr>
            <w:tcW w:w="1869" w:type="dxa"/>
          </w:tcPr>
          <w:p w14:paraId="0E1F41F0" w14:textId="77777777" w:rsidR="00E01CC9" w:rsidRDefault="00E01CC9" w:rsidP="00AB2558">
            <w:pPr>
              <w:pStyle w:val="TableSideHeading"/>
              <w:outlineLvl w:val="9"/>
              <w:rPr>
                <w:rtl/>
              </w:rPr>
            </w:pPr>
          </w:p>
        </w:tc>
        <w:tc>
          <w:tcPr>
            <w:tcW w:w="623" w:type="dxa"/>
          </w:tcPr>
          <w:p w14:paraId="60315BE4" w14:textId="77777777" w:rsidR="00E01CC9" w:rsidRDefault="00E01CC9" w:rsidP="00AB2558">
            <w:pPr>
              <w:pStyle w:val="TableText"/>
              <w:jc w:val="both"/>
              <w:rPr>
                <w:rtl/>
              </w:rPr>
            </w:pPr>
          </w:p>
        </w:tc>
        <w:tc>
          <w:tcPr>
            <w:tcW w:w="624" w:type="dxa"/>
          </w:tcPr>
          <w:p w14:paraId="609F3383" w14:textId="77777777" w:rsidR="00E01CC9" w:rsidRDefault="00E01CC9" w:rsidP="00AB2558">
            <w:pPr>
              <w:pStyle w:val="TableText"/>
              <w:jc w:val="both"/>
              <w:rPr>
                <w:rtl/>
              </w:rPr>
            </w:pPr>
          </w:p>
        </w:tc>
        <w:tc>
          <w:tcPr>
            <w:tcW w:w="6520" w:type="dxa"/>
            <w:gridSpan w:val="5"/>
          </w:tcPr>
          <w:p w14:paraId="568801D4" w14:textId="25CBEFA4" w:rsidR="00E01CC9" w:rsidRDefault="00E01CC9" w:rsidP="00572E3D">
            <w:pPr>
              <w:pStyle w:val="TableBlock"/>
              <w:rPr>
                <w:rtl/>
              </w:rPr>
            </w:pPr>
            <w:r>
              <w:rPr>
                <w:rFonts w:hint="cs"/>
                <w:rtl/>
              </w:rPr>
              <w:t>"(ה)</w:t>
            </w:r>
            <w:r>
              <w:rPr>
                <w:rtl/>
              </w:rPr>
              <w:tab/>
            </w:r>
            <w:r>
              <w:rPr>
                <w:rFonts w:hint="cs"/>
                <w:rtl/>
              </w:rPr>
              <w:t>הוראות סעיף זה לא יחולו לעניין הקמת יישוב חדש."</w:t>
            </w:r>
            <w:r w:rsidR="00572E3D">
              <w:rPr>
                <w:rFonts w:hint="cs"/>
                <w:rtl/>
              </w:rPr>
              <w:t>;</w:t>
            </w:r>
          </w:p>
        </w:tc>
      </w:tr>
      <w:tr w:rsidR="00E01CC9" w14:paraId="2CA0E597" w14:textId="77777777" w:rsidTr="00361BC3">
        <w:tc>
          <w:tcPr>
            <w:tcW w:w="1869" w:type="dxa"/>
          </w:tcPr>
          <w:p w14:paraId="34485C1E" w14:textId="77777777" w:rsidR="00E01CC9" w:rsidRDefault="00E01CC9" w:rsidP="00AB2558">
            <w:pPr>
              <w:pStyle w:val="TableSideHeading"/>
              <w:outlineLvl w:val="9"/>
              <w:rPr>
                <w:rtl/>
              </w:rPr>
            </w:pPr>
          </w:p>
        </w:tc>
        <w:tc>
          <w:tcPr>
            <w:tcW w:w="623" w:type="dxa"/>
          </w:tcPr>
          <w:p w14:paraId="5702B620" w14:textId="77777777" w:rsidR="00E01CC9" w:rsidRDefault="00E01CC9" w:rsidP="00AB2558">
            <w:pPr>
              <w:pStyle w:val="TableText"/>
              <w:jc w:val="both"/>
              <w:rPr>
                <w:rtl/>
              </w:rPr>
            </w:pPr>
          </w:p>
        </w:tc>
        <w:tc>
          <w:tcPr>
            <w:tcW w:w="7144" w:type="dxa"/>
            <w:gridSpan w:val="6"/>
          </w:tcPr>
          <w:p w14:paraId="1E11D18E" w14:textId="12D25C72" w:rsidR="00E01CC9" w:rsidRDefault="00E01CC9" w:rsidP="00572E3D">
            <w:pPr>
              <w:pStyle w:val="TableBlock"/>
              <w:rPr>
                <w:rtl/>
              </w:rPr>
            </w:pPr>
            <w:r>
              <w:rPr>
                <w:rFonts w:hint="cs"/>
                <w:rtl/>
              </w:rPr>
              <w:t>(</w:t>
            </w:r>
            <w:r w:rsidR="00572E3D">
              <w:rPr>
                <w:rFonts w:hint="cs"/>
                <w:rtl/>
              </w:rPr>
              <w:t>5</w:t>
            </w:r>
            <w:r>
              <w:rPr>
                <w:rFonts w:hint="cs"/>
                <w:rtl/>
              </w:rPr>
              <w:t>)</w:t>
            </w:r>
            <w:r>
              <w:rPr>
                <w:rtl/>
              </w:rPr>
              <w:tab/>
            </w:r>
            <w:r>
              <w:rPr>
                <w:rFonts w:hint="cs"/>
                <w:rtl/>
              </w:rPr>
              <w:t xml:space="preserve">בסעיף 30, </w:t>
            </w:r>
            <w:r w:rsidR="00572E3D">
              <w:rPr>
                <w:rFonts w:hint="cs"/>
                <w:rtl/>
              </w:rPr>
              <w:t>אחרי</w:t>
            </w:r>
            <w:r>
              <w:rPr>
                <w:rFonts w:hint="cs"/>
                <w:rtl/>
              </w:rPr>
              <w:t xml:space="preserve"> "</w:t>
            </w:r>
            <w:r w:rsidRPr="00C04E59">
              <w:rPr>
                <w:rtl/>
              </w:rPr>
              <w:t>ביצוע סעיף זה</w:t>
            </w:r>
            <w:r>
              <w:rPr>
                <w:rFonts w:hint="cs"/>
                <w:rtl/>
              </w:rPr>
              <w:t>" יבוא "הוראה זו לא תחול לעניין יישוב חדש".</w:t>
            </w:r>
          </w:p>
        </w:tc>
      </w:tr>
    </w:tbl>
    <w:p w14:paraId="7F6961AE" w14:textId="77777777" w:rsidR="00E13C27" w:rsidRPr="00E01CC9" w:rsidRDefault="00E13C27" w:rsidP="00142EA8">
      <w:pPr>
        <w:pStyle w:val="HeadDivreiHesber"/>
        <w:spacing w:before="0" w:after="0"/>
        <w:jc w:val="both"/>
        <w:rPr>
          <w:rtl/>
        </w:rPr>
      </w:pPr>
    </w:p>
    <w:p w14:paraId="7D71741D" w14:textId="66B475B3" w:rsidR="00BE4AA1" w:rsidRPr="00B46092" w:rsidRDefault="00BE4AA1" w:rsidP="00BE4AA1">
      <w:pPr>
        <w:pStyle w:val="HeadDivreiHesber"/>
        <w:rPr>
          <w:rtl/>
        </w:rPr>
      </w:pPr>
      <w:r w:rsidRPr="00516386">
        <w:rPr>
          <w:rFonts w:hint="cs"/>
          <w:rtl/>
        </w:rPr>
        <w:t xml:space="preserve">דברי הסבר </w:t>
      </w:r>
    </w:p>
    <w:p w14:paraId="4F77D968" w14:textId="54FEE4D0" w:rsidR="00BE4AA1" w:rsidRPr="00E01CC9" w:rsidRDefault="00E01CC9" w:rsidP="00E01CC9">
      <w:pPr>
        <w:pStyle w:val="Hesber"/>
        <w:rPr>
          <w:rtl/>
        </w:rPr>
      </w:pPr>
      <w:r>
        <w:rPr>
          <w:rFonts w:hint="cs"/>
          <w:rtl/>
        </w:rPr>
        <w:t>ההתיישבות בארץ ישראל</w:t>
      </w:r>
      <w:r w:rsidR="00AB2007">
        <w:rPr>
          <w:rFonts w:hint="cs"/>
          <w:rtl/>
        </w:rPr>
        <w:t xml:space="preserve"> הינה אבן יסוד בבניינה של מדינת ישראל ובערכיה של התנועה הציונית, כפי </w:t>
      </w:r>
      <w:r w:rsidR="00AB2007" w:rsidRPr="00E01CC9">
        <w:rPr>
          <w:rFonts w:hint="cs"/>
          <w:rtl/>
        </w:rPr>
        <w:t xml:space="preserve">שהגדיר ראש הממשלה הראשון דוד בן גוריון. </w:t>
      </w:r>
      <w:r w:rsidR="00BE4AA1" w:rsidRPr="00E01CC9">
        <w:rPr>
          <w:rtl/>
        </w:rPr>
        <w:t>למדינ</w:t>
      </w:r>
      <w:r w:rsidR="00AB2007" w:rsidRPr="00E01CC9">
        <w:rPr>
          <w:rFonts w:hint="cs"/>
          <w:rtl/>
        </w:rPr>
        <w:t>ה</w:t>
      </w:r>
      <w:r w:rsidR="00BE4AA1" w:rsidRPr="00E01CC9">
        <w:rPr>
          <w:rtl/>
        </w:rPr>
        <w:t xml:space="preserve"> אינטרס לאומי, ביטחוני וכלכלי ראשון במעלה בחיזוק וביסוס הפריסה המרחבית של ההתיישבות בכלל </w:t>
      </w:r>
      <w:r w:rsidR="00AB2007" w:rsidRPr="00E01CC9">
        <w:rPr>
          <w:rtl/>
        </w:rPr>
        <w:t xml:space="preserve">אזורי המדינה. </w:t>
      </w:r>
      <w:r w:rsidR="00AB2007" w:rsidRPr="00E01CC9">
        <w:rPr>
          <w:rFonts w:hint="cs"/>
          <w:rtl/>
        </w:rPr>
        <w:t>קידום ההתיישבות ב</w:t>
      </w:r>
      <w:r w:rsidR="00AB2007" w:rsidRPr="00E01CC9">
        <w:rPr>
          <w:rtl/>
        </w:rPr>
        <w:t xml:space="preserve">פריסה </w:t>
      </w:r>
      <w:r w:rsidR="00AB2007" w:rsidRPr="00E01CC9">
        <w:rPr>
          <w:rFonts w:hint="cs"/>
          <w:rtl/>
        </w:rPr>
        <w:t xml:space="preserve">ארצית </w:t>
      </w:r>
      <w:r w:rsidR="00AB2007" w:rsidRPr="00E01CC9">
        <w:rPr>
          <w:rtl/>
        </w:rPr>
        <w:t>חיונית</w:t>
      </w:r>
      <w:r w:rsidR="00BE4AA1" w:rsidRPr="00E01CC9">
        <w:rPr>
          <w:rtl/>
        </w:rPr>
        <w:t xml:space="preserve"> לשם ביצור ריבונותה </w:t>
      </w:r>
      <w:r w:rsidR="00AB2007" w:rsidRPr="00E01CC9">
        <w:rPr>
          <w:rFonts w:hint="cs"/>
          <w:rtl/>
        </w:rPr>
        <w:t xml:space="preserve">המלא </w:t>
      </w:r>
      <w:r w:rsidR="00BE4AA1" w:rsidRPr="00E01CC9">
        <w:rPr>
          <w:rtl/>
        </w:rPr>
        <w:t xml:space="preserve">של </w:t>
      </w:r>
      <w:r w:rsidR="00AB2007" w:rsidRPr="00E01CC9">
        <w:rPr>
          <w:rFonts w:hint="cs"/>
          <w:rtl/>
        </w:rPr>
        <w:t>ישראל כמדינה יהודית,</w:t>
      </w:r>
      <w:r w:rsidR="00AB2007" w:rsidRPr="00E01CC9">
        <w:rPr>
          <w:rtl/>
        </w:rPr>
        <w:t xml:space="preserve"> </w:t>
      </w:r>
      <w:r w:rsidR="00AB2007" w:rsidRPr="00E01CC9">
        <w:rPr>
          <w:rFonts w:hint="cs"/>
          <w:rtl/>
        </w:rPr>
        <w:t xml:space="preserve">לשם </w:t>
      </w:r>
      <w:r w:rsidR="00AB2007" w:rsidRPr="00E01CC9">
        <w:rPr>
          <w:rtl/>
        </w:rPr>
        <w:t>הבטחת שליט</w:t>
      </w:r>
      <w:r w:rsidR="00AB2007" w:rsidRPr="00E01CC9">
        <w:rPr>
          <w:rFonts w:hint="cs"/>
          <w:rtl/>
        </w:rPr>
        <w:t>ה בפועל</w:t>
      </w:r>
      <w:r w:rsidR="00BE4AA1" w:rsidRPr="00E01CC9">
        <w:rPr>
          <w:rtl/>
        </w:rPr>
        <w:t xml:space="preserve"> בשטחים בעלי חשיבות אסטרטגית</w:t>
      </w:r>
      <w:r w:rsidR="00AB2007" w:rsidRPr="00E01CC9">
        <w:rPr>
          <w:rFonts w:hint="cs"/>
          <w:rtl/>
        </w:rPr>
        <w:t xml:space="preserve"> ו</w:t>
      </w:r>
      <w:r w:rsidR="00BE4AA1" w:rsidRPr="00E01CC9">
        <w:rPr>
          <w:rtl/>
        </w:rPr>
        <w:t xml:space="preserve">לשם הצמיחה </w:t>
      </w:r>
      <w:r w:rsidR="00AB2007" w:rsidRPr="00E01CC9">
        <w:rPr>
          <w:rFonts w:hint="cs"/>
          <w:rtl/>
        </w:rPr>
        <w:t>ו</w:t>
      </w:r>
      <w:r w:rsidR="00BE4AA1" w:rsidRPr="00E01CC9">
        <w:rPr>
          <w:rtl/>
        </w:rPr>
        <w:t>הכלכלה בפריפריה</w:t>
      </w:r>
      <w:r w:rsidR="00AB2007" w:rsidRPr="00E01CC9">
        <w:rPr>
          <w:rFonts w:hint="cs"/>
          <w:rtl/>
        </w:rPr>
        <w:t xml:space="preserve"> הגיאוגרפית והחברתית</w:t>
      </w:r>
      <w:r w:rsidR="00BE4AA1" w:rsidRPr="00E01CC9">
        <w:rPr>
          <w:rtl/>
        </w:rPr>
        <w:t>.</w:t>
      </w:r>
    </w:p>
    <w:p w14:paraId="72E58914" w14:textId="348B492E" w:rsidR="00BE4AA1" w:rsidRPr="00E01CC9" w:rsidRDefault="00BE4AA1" w:rsidP="00E01CC9">
      <w:pPr>
        <w:pStyle w:val="Hesber"/>
        <w:rPr>
          <w:rtl/>
        </w:rPr>
      </w:pPr>
      <w:r w:rsidRPr="00E01CC9">
        <w:rPr>
          <w:rtl/>
        </w:rPr>
        <w:t xml:space="preserve">הליכי הקמת יישובים חדשים </w:t>
      </w:r>
      <w:r w:rsidR="00AB2007" w:rsidRPr="00E01CC9">
        <w:rPr>
          <w:rFonts w:hint="cs"/>
          <w:rtl/>
        </w:rPr>
        <w:t>סובלים מ</w:t>
      </w:r>
      <w:r w:rsidRPr="00E01CC9">
        <w:rPr>
          <w:rtl/>
        </w:rPr>
        <w:t xml:space="preserve">עיכובים משמעותיים </w:t>
      </w:r>
      <w:r w:rsidR="00AB2007" w:rsidRPr="00E01CC9">
        <w:rPr>
          <w:rFonts w:hint="cs"/>
          <w:rtl/>
        </w:rPr>
        <w:t>מאוד וא</w:t>
      </w:r>
      <w:r w:rsidR="00E01CC9" w:rsidRPr="00E01CC9">
        <w:rPr>
          <w:rFonts w:hint="cs"/>
          <w:rtl/>
        </w:rPr>
        <w:t>ו</w:t>
      </w:r>
      <w:r w:rsidR="00AB2007" w:rsidRPr="00E01CC9">
        <w:rPr>
          <w:rFonts w:hint="cs"/>
          <w:rtl/>
        </w:rPr>
        <w:t xml:space="preserve">רכים שנים רבות, זאת בין היתר נוכח </w:t>
      </w:r>
      <w:r w:rsidRPr="00E01CC9">
        <w:rPr>
          <w:rtl/>
        </w:rPr>
        <w:t xml:space="preserve">הדרישות של הליכי התכנון והבנייה הקבועים בפרק ה' לחוק התכנון והבנייה, </w:t>
      </w:r>
      <w:proofErr w:type="spellStart"/>
      <w:r w:rsidRPr="00E01CC9">
        <w:rPr>
          <w:rtl/>
        </w:rPr>
        <w:t>התשכ"ה</w:t>
      </w:r>
      <w:proofErr w:type="spellEnd"/>
      <w:r w:rsidRPr="00E01CC9">
        <w:rPr>
          <w:rtl/>
        </w:rPr>
        <w:t>–1965</w:t>
      </w:r>
      <w:r w:rsidRPr="00E01CC9">
        <w:rPr>
          <w:rFonts w:hint="cs"/>
          <w:rtl/>
        </w:rPr>
        <w:t>.</w:t>
      </w:r>
      <w:r w:rsidRPr="00E01CC9">
        <w:rPr>
          <w:rtl/>
        </w:rPr>
        <w:t xml:space="preserve"> עיכובים אלו יוצרים חסם ממשי בפני קידום יוזמות התיישבות חדשות, גם כאשר הצורך בהקמתן הוא דחוף וקריטי.</w:t>
      </w:r>
    </w:p>
    <w:p w14:paraId="3311E22C" w14:textId="1F41B775" w:rsidR="00BE4AA1" w:rsidRPr="00E01CC9" w:rsidRDefault="00BE4AA1" w:rsidP="00E01CC9">
      <w:pPr>
        <w:pStyle w:val="Hesber"/>
        <w:rPr>
          <w:rtl/>
        </w:rPr>
      </w:pPr>
      <w:r w:rsidRPr="00E01CC9">
        <w:rPr>
          <w:rtl/>
        </w:rPr>
        <w:t>מטרת</w:t>
      </w:r>
      <w:r w:rsidR="00AB2007" w:rsidRPr="00E01CC9">
        <w:rPr>
          <w:rFonts w:hint="cs"/>
          <w:rtl/>
        </w:rPr>
        <w:t xml:space="preserve"> </w:t>
      </w:r>
      <w:r w:rsidRPr="00E01CC9">
        <w:rPr>
          <w:rtl/>
        </w:rPr>
        <w:t xml:space="preserve">הצעת החוק היא לקצר באופן משמעותי את פרק הזמן הדרוש להקמת יישובים חדשים במקרים בהם קיים צורך לאומי </w:t>
      </w:r>
      <w:r w:rsidR="00AB2007" w:rsidRPr="00E01CC9">
        <w:rPr>
          <w:rFonts w:hint="cs"/>
          <w:rtl/>
        </w:rPr>
        <w:t xml:space="preserve">ואסטרטגי. זאת </w:t>
      </w:r>
      <w:r w:rsidRPr="00E01CC9">
        <w:rPr>
          <w:rtl/>
        </w:rPr>
        <w:t xml:space="preserve">באמצעות מתן סמכות לממשלה להורות על פטור מהליכי היתר בנייה ותכנון </w:t>
      </w:r>
      <w:r w:rsidRPr="00E01CC9">
        <w:rPr>
          <w:rFonts w:hint="cs"/>
          <w:rtl/>
        </w:rPr>
        <w:t>רגילים</w:t>
      </w:r>
      <w:r w:rsidRPr="00E01CC9">
        <w:rPr>
          <w:rtl/>
        </w:rPr>
        <w:t xml:space="preserve"> במקרים המתאימים. סמכות זו תינתן בכפוף לשורה של תנאים שיבטיחו שהעבודות יבוצעו למטרות מוגד</w:t>
      </w:r>
      <w:r w:rsidR="00AB2007" w:rsidRPr="00E01CC9">
        <w:rPr>
          <w:rtl/>
        </w:rPr>
        <w:t>רות בלבד, על ידי גורמים מוסמכים</w:t>
      </w:r>
      <w:r w:rsidR="00E01CC9" w:rsidRPr="00E01CC9">
        <w:rPr>
          <w:rFonts w:hint="cs"/>
          <w:rtl/>
        </w:rPr>
        <w:t>.</w:t>
      </w:r>
    </w:p>
    <w:p w14:paraId="3D6B8065" w14:textId="1272C52C" w:rsidR="00BE4AA1" w:rsidRPr="00E01CC9" w:rsidRDefault="00BE4AA1" w:rsidP="00177D36">
      <w:pPr>
        <w:pStyle w:val="Hesber"/>
        <w:rPr>
          <w:rtl/>
        </w:rPr>
      </w:pPr>
      <w:r w:rsidRPr="00E01CC9">
        <w:rPr>
          <w:rFonts w:hint="cs"/>
          <w:rtl/>
        </w:rPr>
        <w:t>בין היתר</w:t>
      </w:r>
      <w:r w:rsidR="00E01CC9" w:rsidRPr="00E01CC9">
        <w:rPr>
          <w:rFonts w:hint="cs"/>
          <w:rtl/>
        </w:rPr>
        <w:t>,</w:t>
      </w:r>
      <w:r w:rsidRPr="00E01CC9">
        <w:rPr>
          <w:rFonts w:hint="cs"/>
          <w:rtl/>
        </w:rPr>
        <w:t xml:space="preserve"> מוצע לקבוע כי </w:t>
      </w:r>
      <w:r w:rsidRPr="00E01CC9">
        <w:rPr>
          <w:rtl/>
        </w:rPr>
        <w:t>הצו יינתן למטרות מגורים ושימושים נלווים בלבד</w:t>
      </w:r>
      <w:r w:rsidRPr="00E01CC9">
        <w:rPr>
          <w:rFonts w:hint="cs"/>
          <w:rtl/>
        </w:rPr>
        <w:t>,</w:t>
      </w:r>
      <w:r w:rsidRPr="00E01CC9">
        <w:rPr>
          <w:rtl/>
        </w:rPr>
        <w:t xml:space="preserve"> י</w:t>
      </w:r>
      <w:r w:rsidR="00AB2007" w:rsidRPr="00E01CC9">
        <w:rPr>
          <w:rFonts w:hint="cs"/>
          <w:rtl/>
        </w:rPr>
        <w:t>י</w:t>
      </w:r>
      <w:r w:rsidRPr="00E01CC9">
        <w:rPr>
          <w:rtl/>
        </w:rPr>
        <w:t>קבע</w:t>
      </w:r>
      <w:r w:rsidR="00AB2007" w:rsidRPr="00E01CC9">
        <w:rPr>
          <w:rFonts w:hint="cs"/>
          <w:rtl/>
        </w:rPr>
        <w:t>ו</w:t>
      </w:r>
      <w:r w:rsidRPr="00E01CC9">
        <w:rPr>
          <w:rtl/>
        </w:rPr>
        <w:t xml:space="preserve"> תנאים מדויקים לביצוע העבודות והש</w:t>
      </w:r>
      <w:r w:rsidR="00177D36">
        <w:rPr>
          <w:rtl/>
        </w:rPr>
        <w:t>ימושים, כולל מיקום, תקופת ביצוע</w:t>
      </w:r>
      <w:r w:rsidRPr="00E01CC9">
        <w:rPr>
          <w:rtl/>
        </w:rPr>
        <w:t xml:space="preserve"> ותקופת תוקף הצו.</w:t>
      </w:r>
      <w:r w:rsidRPr="00E01CC9">
        <w:rPr>
          <w:rFonts w:hint="cs"/>
          <w:rtl/>
        </w:rPr>
        <w:t xml:space="preserve"> עוד מוצע לקבוע כי </w:t>
      </w:r>
      <w:r w:rsidRPr="00E01CC9">
        <w:rPr>
          <w:rtl/>
        </w:rPr>
        <w:t xml:space="preserve">השטח נשוא הצו יהיה במקרקעי ישראל או </w:t>
      </w:r>
      <w:r w:rsidR="00177D36">
        <w:rPr>
          <w:rFonts w:hint="cs"/>
          <w:rtl/>
        </w:rPr>
        <w:t>ב</w:t>
      </w:r>
      <w:r w:rsidRPr="00E01CC9">
        <w:rPr>
          <w:rtl/>
        </w:rPr>
        <w:t xml:space="preserve">מקרקעי רשות מקומית, או </w:t>
      </w:r>
      <w:r w:rsidR="00177D36">
        <w:rPr>
          <w:rFonts w:hint="cs"/>
          <w:rtl/>
        </w:rPr>
        <w:t>שניתנה</w:t>
      </w:r>
      <w:r w:rsidRPr="00E01CC9">
        <w:rPr>
          <w:rtl/>
        </w:rPr>
        <w:t xml:space="preserve"> </w:t>
      </w:r>
      <w:r w:rsidR="00177D36">
        <w:rPr>
          <w:rFonts w:hint="cs"/>
          <w:rtl/>
        </w:rPr>
        <w:t>לגביו</w:t>
      </w:r>
      <w:r w:rsidRPr="00E01CC9">
        <w:rPr>
          <w:rtl/>
        </w:rPr>
        <w:t xml:space="preserve"> מראש הסכמת בעל הזכויות במקרקעין.</w:t>
      </w:r>
      <w:r w:rsidRPr="00E01CC9">
        <w:rPr>
          <w:rFonts w:hint="cs"/>
          <w:rtl/>
        </w:rPr>
        <w:t xml:space="preserve"> בנוסף, מוצע כי </w:t>
      </w:r>
      <w:r w:rsidRPr="00E01CC9">
        <w:rPr>
          <w:rtl/>
        </w:rPr>
        <w:t>הצו יחול בכפוף לסייגים סביבתיים, כגון אי-פגיעה בשמורו</w:t>
      </w:r>
      <w:r w:rsidR="00177D36">
        <w:rPr>
          <w:rtl/>
        </w:rPr>
        <w:t>ת טבע, גנים לאומיים ואתרי הנצחה</w:t>
      </w:r>
      <w:r w:rsidRPr="00E01CC9">
        <w:rPr>
          <w:rtl/>
        </w:rPr>
        <w:t xml:space="preserve"> וכן הגבלת שימוש בשטחים המיועדים ליער</w:t>
      </w:r>
      <w:r w:rsidRPr="00E01CC9">
        <w:rPr>
          <w:rFonts w:hint="cs"/>
          <w:rtl/>
        </w:rPr>
        <w:t>.</w:t>
      </w:r>
    </w:p>
    <w:p w14:paraId="339273F5" w14:textId="5802E7C6" w:rsidR="00BE4AA1" w:rsidRPr="00E01CC9" w:rsidRDefault="00E01CC9" w:rsidP="00E01CC9">
      <w:pPr>
        <w:pStyle w:val="Hesber"/>
        <w:rPr>
          <w:rtl/>
        </w:rPr>
      </w:pPr>
      <w:r w:rsidRPr="00E01CC9">
        <w:rPr>
          <w:rFonts w:hint="cs"/>
          <w:rtl/>
        </w:rPr>
        <w:lastRenderedPageBreak/>
        <w:t>יתרה מכך</w:t>
      </w:r>
      <w:r w:rsidR="00BE4AA1" w:rsidRPr="00E01CC9">
        <w:rPr>
          <w:rFonts w:hint="cs"/>
          <w:rtl/>
        </w:rPr>
        <w:t xml:space="preserve">, מוצעות </w:t>
      </w:r>
      <w:r w:rsidR="00BE4AA1" w:rsidRPr="00E01CC9">
        <w:rPr>
          <w:rtl/>
        </w:rPr>
        <w:t xml:space="preserve">הוראות לפקיעת הצו במידה ולא מוגשת </w:t>
      </w:r>
      <w:proofErr w:type="spellStart"/>
      <w:r w:rsidR="00BE4AA1" w:rsidRPr="00E01CC9">
        <w:rPr>
          <w:rtl/>
        </w:rPr>
        <w:t>ת</w:t>
      </w:r>
      <w:r w:rsidR="00177D36">
        <w:rPr>
          <w:rFonts w:hint="cs"/>
          <w:rtl/>
        </w:rPr>
        <w:t>ו</w:t>
      </w:r>
      <w:r w:rsidR="00BE4AA1" w:rsidRPr="00E01CC9">
        <w:rPr>
          <w:rtl/>
        </w:rPr>
        <w:t>כנית</w:t>
      </w:r>
      <w:proofErr w:type="spellEnd"/>
      <w:r w:rsidR="00BE4AA1" w:rsidRPr="00E01CC9">
        <w:rPr>
          <w:rtl/>
        </w:rPr>
        <w:t xml:space="preserve"> להסדרת העבודות בתוך חמש שנים, או שלא אושרה או לא נכנסה לתוקף בזמן </w:t>
      </w:r>
      <w:r w:rsidR="00AB2007" w:rsidRPr="00E01CC9">
        <w:rPr>
          <w:rtl/>
        </w:rPr>
        <w:t>שנקבע (עד ש</w:t>
      </w:r>
      <w:r w:rsidR="00AB2007" w:rsidRPr="00E01CC9">
        <w:rPr>
          <w:rFonts w:hint="cs"/>
          <w:rtl/>
        </w:rPr>
        <w:t>בע</w:t>
      </w:r>
      <w:r w:rsidR="00AB2007" w:rsidRPr="00E01CC9">
        <w:rPr>
          <w:rtl/>
        </w:rPr>
        <w:t xml:space="preserve"> שנים</w:t>
      </w:r>
      <w:r w:rsidR="00AB2007" w:rsidRPr="00E01CC9">
        <w:rPr>
          <w:rFonts w:hint="cs"/>
          <w:rtl/>
        </w:rPr>
        <w:t xml:space="preserve"> בשל </w:t>
      </w:r>
      <w:r w:rsidR="00BE4AA1" w:rsidRPr="00E01CC9">
        <w:rPr>
          <w:rtl/>
        </w:rPr>
        <w:t>אפשרויות הארכה באישור שר הפנים והממשלה).</w:t>
      </w:r>
      <w:r w:rsidR="00BE4AA1" w:rsidRPr="00E01CC9">
        <w:rPr>
          <w:rFonts w:hint="cs"/>
          <w:rtl/>
        </w:rPr>
        <w:t xml:space="preserve"> </w:t>
      </w:r>
      <w:r w:rsidR="00BE4AA1" w:rsidRPr="00E01CC9">
        <w:rPr>
          <w:rtl/>
        </w:rPr>
        <w:t>במקרה של פקיעת הצו ללא השלמת התוכנית הנדרשת, נקבעה חובה להשבת המצב לקדמותו על ידי מבצעי העבודות או גורם אחר שייקבע לכך בצו.</w:t>
      </w:r>
    </w:p>
    <w:p w14:paraId="3CB70ADA" w14:textId="3E3E449D" w:rsidR="00BE4AA1" w:rsidRPr="00E01CC9" w:rsidRDefault="00BE4AA1" w:rsidP="00177D36">
      <w:pPr>
        <w:pStyle w:val="Hesber"/>
        <w:rPr>
          <w:rtl/>
        </w:rPr>
      </w:pPr>
      <w:r w:rsidRPr="00E01CC9">
        <w:rPr>
          <w:rFonts w:hint="cs"/>
          <w:rtl/>
        </w:rPr>
        <w:t>בעניינה השני</w:t>
      </w:r>
      <w:r w:rsidRPr="00E01CC9">
        <w:rPr>
          <w:rtl/>
        </w:rPr>
        <w:t xml:space="preserve">, </w:t>
      </w:r>
      <w:r w:rsidR="00177D36">
        <w:rPr>
          <w:rFonts w:hint="cs"/>
          <w:rtl/>
        </w:rPr>
        <w:t>מוצע</w:t>
      </w:r>
      <w:r w:rsidRPr="00E01CC9">
        <w:rPr>
          <w:rtl/>
        </w:rPr>
        <w:t xml:space="preserve"> </w:t>
      </w:r>
      <w:r w:rsidR="00177D36">
        <w:rPr>
          <w:rFonts w:hint="cs"/>
          <w:rtl/>
        </w:rPr>
        <w:t>ב</w:t>
      </w:r>
      <w:r w:rsidRPr="00E01CC9">
        <w:rPr>
          <w:rtl/>
        </w:rPr>
        <w:t>הצע</w:t>
      </w:r>
      <w:r w:rsidR="00177D36">
        <w:rPr>
          <w:rFonts w:hint="cs"/>
          <w:rtl/>
        </w:rPr>
        <w:t>ת החוק</w:t>
      </w:r>
      <w:r w:rsidRPr="00E01CC9">
        <w:rPr>
          <w:rtl/>
        </w:rPr>
        <w:t xml:space="preserve"> לתקן את </w:t>
      </w:r>
      <w:r w:rsidR="00E01CC9" w:rsidRPr="00E01CC9">
        <w:rPr>
          <w:rFonts w:hint="cs"/>
          <w:rtl/>
        </w:rPr>
        <w:t>ה</w:t>
      </w:r>
      <w:r w:rsidRPr="00E01CC9">
        <w:rPr>
          <w:rtl/>
        </w:rPr>
        <w:t xml:space="preserve">חוק </w:t>
      </w:r>
      <w:r w:rsidR="00E01CC9" w:rsidRPr="00E01CC9">
        <w:rPr>
          <w:rtl/>
        </w:rPr>
        <w:t xml:space="preserve">לקידום הבנייה במתחמים מועדפים (הוראת שעה), </w:t>
      </w:r>
      <w:proofErr w:type="spellStart"/>
      <w:r w:rsidR="00E01CC9" w:rsidRPr="00E01CC9">
        <w:rPr>
          <w:rFonts w:hint="cs"/>
          <w:rtl/>
        </w:rPr>
        <w:t>ה</w:t>
      </w:r>
      <w:r w:rsidR="00E01CC9" w:rsidRPr="00E01CC9">
        <w:rPr>
          <w:rtl/>
        </w:rPr>
        <w:t>תשע"ד</w:t>
      </w:r>
      <w:proofErr w:type="spellEnd"/>
      <w:r w:rsidR="00E01CC9" w:rsidRPr="00E01CC9">
        <w:rPr>
          <w:rFonts w:hint="cs"/>
          <w:rtl/>
        </w:rPr>
        <w:t>–</w:t>
      </w:r>
      <w:r w:rsidR="00E01CC9" w:rsidRPr="00E01CC9">
        <w:rPr>
          <w:rtl/>
        </w:rPr>
        <w:t>2014</w:t>
      </w:r>
      <w:r w:rsidR="00E01CC9" w:rsidRPr="00E01CC9">
        <w:rPr>
          <w:rFonts w:hint="cs"/>
          <w:rtl/>
        </w:rPr>
        <w:t xml:space="preserve">, </w:t>
      </w:r>
      <w:r w:rsidRPr="00E01CC9">
        <w:rPr>
          <w:rtl/>
        </w:rPr>
        <w:t xml:space="preserve">כך שיאפשר את הקמתם של יישובים חדשים גם במסגרת </w:t>
      </w:r>
      <w:proofErr w:type="spellStart"/>
      <w:r w:rsidRPr="00E01CC9">
        <w:rPr>
          <w:rtl/>
        </w:rPr>
        <w:t>ת</w:t>
      </w:r>
      <w:r w:rsidR="00177D36">
        <w:rPr>
          <w:rFonts w:hint="cs"/>
          <w:rtl/>
        </w:rPr>
        <w:t>ו</w:t>
      </w:r>
      <w:r w:rsidRPr="00E01CC9">
        <w:rPr>
          <w:rtl/>
        </w:rPr>
        <w:t>כניות</w:t>
      </w:r>
      <w:proofErr w:type="spellEnd"/>
      <w:r w:rsidRPr="00E01CC9">
        <w:rPr>
          <w:rtl/>
        </w:rPr>
        <w:t xml:space="preserve"> </w:t>
      </w:r>
      <w:r w:rsidR="00E01CC9" w:rsidRPr="00E01CC9">
        <w:rPr>
          <w:rFonts w:hint="cs"/>
          <w:rtl/>
        </w:rPr>
        <w:t xml:space="preserve">של </w:t>
      </w:r>
      <w:r w:rsidR="00E01CC9" w:rsidRPr="00E01CC9">
        <w:rPr>
          <w:rtl/>
        </w:rPr>
        <w:t>הוועדה למתחמים מועדפים לדיור</w:t>
      </w:r>
      <w:r w:rsidRPr="00E01CC9">
        <w:rPr>
          <w:rtl/>
        </w:rPr>
        <w:t>, תוך הקלה בדרישות הקיימות כיום בנוגע למספר יחידות הדיור הנדרשות להקמת יישוב חדש</w:t>
      </w:r>
      <w:r w:rsidR="00E01CC9" w:rsidRPr="00E01CC9">
        <w:rPr>
          <w:rFonts w:hint="cs"/>
          <w:rtl/>
        </w:rPr>
        <w:t xml:space="preserve">. </w:t>
      </w:r>
      <w:r w:rsidRPr="00E01CC9">
        <w:rPr>
          <w:rFonts w:hint="cs"/>
          <w:rtl/>
        </w:rPr>
        <w:t>בנוסף, מתוקנות הוראות הנוגעות לחובת דיור המושכר לטווח ארוך שאינן נוגעות ליישוב חדש.</w:t>
      </w:r>
    </w:p>
    <w:p w14:paraId="7F6961CB" w14:textId="71E4C81C" w:rsidR="00E13C27" w:rsidRDefault="00BE4AA1" w:rsidP="00177D36">
      <w:pPr>
        <w:pStyle w:val="Hesber"/>
        <w:rPr>
          <w:rtl/>
        </w:rPr>
      </w:pPr>
      <w:r w:rsidRPr="00E01CC9">
        <w:rPr>
          <w:rtl/>
        </w:rPr>
        <w:t xml:space="preserve">הצעת חוק זו נועדה לאזן בין הצורך החיוני בקידום מהיר של </w:t>
      </w:r>
      <w:r w:rsidR="00AB2007" w:rsidRPr="00E01CC9">
        <w:rPr>
          <w:rFonts w:hint="cs"/>
          <w:rtl/>
        </w:rPr>
        <w:t xml:space="preserve">הקמת </w:t>
      </w:r>
      <w:r w:rsidRPr="00E01CC9">
        <w:rPr>
          <w:rFonts w:hint="cs"/>
          <w:rtl/>
        </w:rPr>
        <w:t>יישובים</w:t>
      </w:r>
      <w:r w:rsidRPr="00E01CC9">
        <w:rPr>
          <w:rtl/>
        </w:rPr>
        <w:t xml:space="preserve"> </w:t>
      </w:r>
      <w:r w:rsidR="00AB2007" w:rsidRPr="00E01CC9">
        <w:rPr>
          <w:rtl/>
        </w:rPr>
        <w:t>–</w:t>
      </w:r>
      <w:r w:rsidR="00AB2007" w:rsidRPr="00E01CC9">
        <w:rPr>
          <w:rFonts w:hint="cs"/>
          <w:rtl/>
        </w:rPr>
        <w:t xml:space="preserve"> ערך </w:t>
      </w:r>
      <w:r w:rsidR="00816892" w:rsidRPr="00E01CC9">
        <w:rPr>
          <w:rFonts w:hint="cs"/>
          <w:rtl/>
        </w:rPr>
        <w:t xml:space="preserve">ציוני שגם בשנתה ה-77 של ישראל עדיין לא מומש כדרוש </w:t>
      </w:r>
      <w:r w:rsidR="00177D36">
        <w:rPr>
          <w:rFonts w:hint="eastAsia"/>
          <w:rtl/>
        </w:rPr>
        <w:t>–</w:t>
      </w:r>
      <w:r w:rsidR="00816892" w:rsidRPr="00E01CC9">
        <w:rPr>
          <w:rFonts w:hint="cs"/>
          <w:rtl/>
        </w:rPr>
        <w:t xml:space="preserve"> </w:t>
      </w:r>
      <w:r w:rsidRPr="00E01CC9">
        <w:rPr>
          <w:rtl/>
        </w:rPr>
        <w:t xml:space="preserve">לבין השמירה על </w:t>
      </w:r>
      <w:r w:rsidRPr="00E01CC9">
        <w:rPr>
          <w:rFonts w:hint="cs"/>
          <w:rtl/>
        </w:rPr>
        <w:t>עקרונות תכנוניים חשובים</w:t>
      </w:r>
      <w:r w:rsidR="00816892" w:rsidRPr="00E01CC9">
        <w:rPr>
          <w:rFonts w:hint="cs"/>
          <w:rtl/>
        </w:rPr>
        <w:t>. זאת</w:t>
      </w:r>
      <w:r w:rsidRPr="00E01CC9">
        <w:rPr>
          <w:rtl/>
        </w:rPr>
        <w:t xml:space="preserve"> על מנת לאפשר למדינה להגשים את יעדיה</w:t>
      </w:r>
      <w:r w:rsidR="00816892" w:rsidRPr="00E01CC9">
        <w:rPr>
          <w:rFonts w:hint="cs"/>
          <w:rtl/>
        </w:rPr>
        <w:t xml:space="preserve"> הלאומיים</w:t>
      </w:r>
      <w:r w:rsidRPr="00E01CC9">
        <w:rPr>
          <w:rtl/>
        </w:rPr>
        <w:t xml:space="preserve"> </w:t>
      </w:r>
      <w:r w:rsidR="00816892" w:rsidRPr="00E01CC9">
        <w:rPr>
          <w:rFonts w:hint="cs"/>
          <w:rtl/>
        </w:rPr>
        <w:t>ו</w:t>
      </w:r>
      <w:r w:rsidRPr="00E01CC9">
        <w:rPr>
          <w:rtl/>
        </w:rPr>
        <w:t>האסטרטגיים ביעילות ובאופן</w:t>
      </w:r>
      <w:r w:rsidRPr="00B46092">
        <w:rPr>
          <w:rtl/>
        </w:rPr>
        <w:t xml:space="preserve"> אחראי.</w:t>
      </w:r>
      <w:r>
        <w:rPr>
          <w:rtl/>
        </w:rPr>
        <w:t xml:space="preserve"> </w:t>
      </w:r>
    </w:p>
    <w:p w14:paraId="70DDD2BB" w14:textId="77777777" w:rsidR="00177D36" w:rsidRDefault="00177D36">
      <w:pPr>
        <w:spacing w:line="276" w:lineRule="auto"/>
        <w:jc w:val="left"/>
        <w:rPr>
          <w:rFonts w:eastAsia="David"/>
          <w:sz w:val="26"/>
          <w:szCs w:val="26"/>
          <w:rtl/>
        </w:rPr>
      </w:pPr>
      <w:bookmarkStart w:id="7" w:name="selectedDocDateB"/>
      <w:bookmarkEnd w:id="7"/>
    </w:p>
    <w:p w14:paraId="0E29DA9B" w14:textId="77777777" w:rsidR="00A2645D" w:rsidRDefault="00177D36">
      <w:pPr>
        <w:spacing w:line="276" w:lineRule="auto"/>
        <w:jc w:val="left"/>
      </w:pPr>
      <w:bookmarkStart w:id="8" w:name="_GoBack"/>
      <w:bookmarkEnd w:id="8"/>
      <w:r>
        <w:rPr>
          <w:rFonts w:eastAsia="David" w:hint="cs"/>
          <w:sz w:val="26"/>
          <w:szCs w:val="26"/>
          <w:rtl/>
        </w:rPr>
        <w:t>--------------------------------</w:t>
      </w:r>
    </w:p>
    <w:p w14:paraId="76B434B0" w14:textId="77777777" w:rsidR="00A2645D" w:rsidRDefault="00177D36">
      <w:pPr>
        <w:jc w:val="left"/>
      </w:pPr>
      <w:r>
        <w:rPr>
          <w:rFonts w:eastAsia="David" w:hint="cs"/>
          <w:sz w:val="26"/>
          <w:szCs w:val="26"/>
          <w:rtl/>
        </w:rPr>
        <w:t>הוגשה ליו"ר הכנסת והסגנים</w:t>
      </w:r>
    </w:p>
    <w:p w14:paraId="7A562F9B" w14:textId="77777777" w:rsidR="00A2645D" w:rsidRDefault="00177D36">
      <w:pPr>
        <w:jc w:val="left"/>
      </w:pPr>
      <w:r>
        <w:rPr>
          <w:rFonts w:eastAsia="David" w:hint="cs"/>
          <w:sz w:val="26"/>
          <w:szCs w:val="26"/>
          <w:rtl/>
        </w:rPr>
        <w:t>והונחה על שולחן הכנסת ביום</w:t>
      </w:r>
    </w:p>
    <w:p w14:paraId="576D4E42" w14:textId="77777777" w:rsidR="00A2645D" w:rsidRDefault="00177D36">
      <w:pPr>
        <w:jc w:val="left"/>
      </w:pPr>
      <w:r>
        <w:rPr>
          <w:rFonts w:eastAsia="David" w:hint="cs"/>
          <w:sz w:val="26"/>
          <w:szCs w:val="26"/>
          <w:rtl/>
        </w:rPr>
        <w:t xml:space="preserve">כ"ז בתמוז </w:t>
      </w:r>
      <w:proofErr w:type="spellStart"/>
      <w:r>
        <w:rPr>
          <w:rFonts w:eastAsia="David" w:hint="cs"/>
          <w:sz w:val="26"/>
          <w:szCs w:val="26"/>
          <w:rtl/>
        </w:rPr>
        <w:t>התשפ"ה</w:t>
      </w:r>
      <w:proofErr w:type="spellEnd"/>
      <w:r>
        <w:rPr>
          <w:rFonts w:eastAsia="David" w:hint="cs"/>
          <w:sz w:val="26"/>
          <w:szCs w:val="26"/>
          <w:rtl/>
        </w:rPr>
        <w:t xml:space="preserve"> (23.07.2025) </w:t>
      </w:r>
    </w:p>
    <w:p w14:paraId="17602B0C" w14:textId="77777777" w:rsidR="00A2645D" w:rsidRDefault="00A2645D"/>
    <w:sectPr w:rsidR="00A2645D" w:rsidSect="00142EA8">
      <w:footerReference w:type="even" r:id="rId11"/>
      <w:footerReference w:type="default" r:id="rId12"/>
      <w:pgSz w:w="11907" w:h="16840" w:code="9"/>
      <w:pgMar w:top="1701" w:right="1134" w:bottom="1417"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2C3041" w:rsidRDefault="002C304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24E9BD52" w:rsidR="002C3041" w:rsidRDefault="002C3041"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177D36">
      <w:rPr>
        <w:rStyle w:val="aa"/>
        <w:noProof/>
        <w:rtl/>
      </w:rPr>
      <w:t>6</w:t>
    </w:r>
    <w:r>
      <w:rPr>
        <w:rStyle w:val="aa"/>
        <w:rtl/>
      </w:rPr>
      <w:fldChar w:fldCharType="end"/>
    </w:r>
  </w:p>
  <w:p w14:paraId="7F6961D8" w14:textId="77777777" w:rsidR="002C3041" w:rsidRDefault="002C304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142EA8">
      <w:pPr>
        <w:ind w:left="0"/>
      </w:pPr>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25E5DDBD" w14:textId="1F2C92AA" w:rsidR="00E01CC9" w:rsidRDefault="00E01CC9" w:rsidP="00E01CC9">
      <w:pPr>
        <w:pStyle w:val="a4"/>
      </w:pPr>
      <w:r>
        <w:rPr>
          <w:rStyle w:val="a5"/>
        </w:rPr>
        <w:footnoteRef/>
      </w:r>
      <w:r>
        <w:rPr>
          <w:rtl/>
        </w:rPr>
        <w:t xml:space="preserve"> </w:t>
      </w:r>
      <w:r w:rsidR="00361BC3">
        <w:rPr>
          <w:rFonts w:hint="cs"/>
          <w:rtl/>
        </w:rPr>
        <w:t xml:space="preserve">ס"ח </w:t>
      </w:r>
      <w:proofErr w:type="spellStart"/>
      <w:r w:rsidR="00361BC3">
        <w:rPr>
          <w:rFonts w:hint="cs"/>
          <w:rtl/>
        </w:rPr>
        <w:t>התשכ"ה</w:t>
      </w:r>
      <w:proofErr w:type="spellEnd"/>
      <w:r w:rsidR="00361BC3">
        <w:rPr>
          <w:rFonts w:hint="cs"/>
          <w:rtl/>
        </w:rPr>
        <w:t>, עמ' 307.</w:t>
      </w:r>
    </w:p>
  </w:footnote>
  <w:footnote w:id="3">
    <w:p w14:paraId="7E785D12" w14:textId="21A2AEA2" w:rsidR="00E01CC9" w:rsidRDefault="00E01CC9" w:rsidP="00E01CC9">
      <w:pPr>
        <w:pStyle w:val="a4"/>
        <w:rPr>
          <w:rtl/>
        </w:rPr>
      </w:pPr>
      <w:r>
        <w:rPr>
          <w:rStyle w:val="a5"/>
        </w:rPr>
        <w:footnoteRef/>
      </w:r>
      <w:r>
        <w:rPr>
          <w:rtl/>
        </w:rPr>
        <w:t xml:space="preserve"> </w:t>
      </w:r>
      <w:r w:rsidR="00572E3D">
        <w:rPr>
          <w:rFonts w:hint="cs"/>
          <w:rtl/>
        </w:rPr>
        <w:t xml:space="preserve">ס"ח </w:t>
      </w:r>
      <w:proofErr w:type="spellStart"/>
      <w:r w:rsidR="00572E3D">
        <w:rPr>
          <w:rFonts w:hint="cs"/>
          <w:rtl/>
        </w:rPr>
        <w:t>התשע"ד</w:t>
      </w:r>
      <w:proofErr w:type="spellEnd"/>
      <w:r w:rsidR="00572E3D">
        <w:rPr>
          <w:rFonts w:hint="cs"/>
          <w:rtl/>
        </w:rPr>
        <w:t>, עמ' 750.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61458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DA1B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9078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21283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AEAC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60E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033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5460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303D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5A77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A0675B"/>
    <w:multiLevelType w:val="hybridMultilevel"/>
    <w:tmpl w:val="68E8E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11"/>
  </w:num>
  <w:num w:numId="14">
    <w:abstractNumId w:val="16"/>
  </w:num>
  <w:num w:numId="15">
    <w:abstractNumId w:val="13"/>
  </w:num>
  <w:num w:numId="16">
    <w:abstractNumId w:val="14"/>
  </w:num>
  <w:num w:numId="17">
    <w:abstractNumId w:val="14"/>
    <w:lvlOverride w:ilvl="0">
      <w:startOverride w:val="1"/>
    </w:lvlOverride>
  </w:num>
  <w:num w:numId="18">
    <w:abstractNumId w:val="10"/>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0F2C26"/>
    <w:rsid w:val="00102B6B"/>
    <w:rsid w:val="001052D4"/>
    <w:rsid w:val="0010644B"/>
    <w:rsid w:val="001207F8"/>
    <w:rsid w:val="00121924"/>
    <w:rsid w:val="001279A8"/>
    <w:rsid w:val="0014195F"/>
    <w:rsid w:val="00142EA8"/>
    <w:rsid w:val="00152609"/>
    <w:rsid w:val="00153E1B"/>
    <w:rsid w:val="00177D36"/>
    <w:rsid w:val="001A0623"/>
    <w:rsid w:val="001C23B0"/>
    <w:rsid w:val="001D7AAF"/>
    <w:rsid w:val="001F0C8A"/>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1BC3"/>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72E3D"/>
    <w:rsid w:val="0059257C"/>
    <w:rsid w:val="005B064E"/>
    <w:rsid w:val="005D51AE"/>
    <w:rsid w:val="0062674B"/>
    <w:rsid w:val="006363B2"/>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35EC"/>
    <w:rsid w:val="00814D92"/>
    <w:rsid w:val="00816892"/>
    <w:rsid w:val="0083181D"/>
    <w:rsid w:val="008319EF"/>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37851"/>
    <w:rsid w:val="00943386"/>
    <w:rsid w:val="009456B6"/>
    <w:rsid w:val="00957589"/>
    <w:rsid w:val="00966D06"/>
    <w:rsid w:val="00982412"/>
    <w:rsid w:val="00983A8D"/>
    <w:rsid w:val="009A0DB8"/>
    <w:rsid w:val="009A7257"/>
    <w:rsid w:val="009D6E0A"/>
    <w:rsid w:val="009E1E33"/>
    <w:rsid w:val="00A14672"/>
    <w:rsid w:val="00A2645D"/>
    <w:rsid w:val="00A26BD6"/>
    <w:rsid w:val="00A443CF"/>
    <w:rsid w:val="00A6611D"/>
    <w:rsid w:val="00A82CB7"/>
    <w:rsid w:val="00A942C1"/>
    <w:rsid w:val="00AA2326"/>
    <w:rsid w:val="00AA2F03"/>
    <w:rsid w:val="00AB2007"/>
    <w:rsid w:val="00AC36F7"/>
    <w:rsid w:val="00AC63A4"/>
    <w:rsid w:val="00AD239E"/>
    <w:rsid w:val="00B10265"/>
    <w:rsid w:val="00B16A99"/>
    <w:rsid w:val="00B21211"/>
    <w:rsid w:val="00B35784"/>
    <w:rsid w:val="00B733A7"/>
    <w:rsid w:val="00B75C91"/>
    <w:rsid w:val="00B975AD"/>
    <w:rsid w:val="00BC45FB"/>
    <w:rsid w:val="00BE4AA1"/>
    <w:rsid w:val="00BF148D"/>
    <w:rsid w:val="00C23B1A"/>
    <w:rsid w:val="00C310EB"/>
    <w:rsid w:val="00C9176A"/>
    <w:rsid w:val="00CF1AA2"/>
    <w:rsid w:val="00D142D3"/>
    <w:rsid w:val="00D17774"/>
    <w:rsid w:val="00D63620"/>
    <w:rsid w:val="00D8410D"/>
    <w:rsid w:val="00D867D7"/>
    <w:rsid w:val="00DB7060"/>
    <w:rsid w:val="00DC283F"/>
    <w:rsid w:val="00DE3153"/>
    <w:rsid w:val="00E01CC9"/>
    <w:rsid w:val="00E06736"/>
    <w:rsid w:val="00E13C27"/>
    <w:rsid w:val="00E33BBD"/>
    <w:rsid w:val="00E374F2"/>
    <w:rsid w:val="00E45103"/>
    <w:rsid w:val="00E55A60"/>
    <w:rsid w:val="00E62778"/>
    <w:rsid w:val="00E635A2"/>
    <w:rsid w:val="00E63D38"/>
    <w:rsid w:val="00E665B9"/>
    <w:rsid w:val="00EA01E6"/>
    <w:rsid w:val="00EA3DE8"/>
    <w:rsid w:val="00EA758F"/>
    <w:rsid w:val="00EB540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502A5A10-D663-46A5-ABD7-1F8396B4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EA8"/>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142EA8"/>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142EA8"/>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142EA8"/>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142EA8"/>
    <w:pPr>
      <w:numPr>
        <w:numId w:val="19"/>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142EA8"/>
    <w:pPr>
      <w:spacing w:line="259" w:lineRule="auto"/>
      <w:outlineLvl w:val="4"/>
    </w:pPr>
    <w:rPr>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142EA8"/>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142EA8"/>
    <w:rPr>
      <w:sz w:val="36"/>
      <w:szCs w:val="52"/>
    </w:rPr>
  </w:style>
  <w:style w:type="paragraph" w:customStyle="1" w:styleId="Cover3-Haknesset">
    <w:name w:val="Cover 3-Haknesset"/>
    <w:basedOn w:val="Cover1-Reshumot"/>
    <w:rsid w:val="00142EA8"/>
    <w:rPr>
      <w:b/>
      <w:bCs/>
      <w:spacing w:val="60"/>
    </w:rPr>
  </w:style>
  <w:style w:type="paragraph" w:customStyle="1" w:styleId="Cover4-Date">
    <w:name w:val="Cover 4-Date"/>
    <w:basedOn w:val="a"/>
    <w:rsid w:val="00142EA8"/>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142EA8"/>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142EA8"/>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142EA8"/>
    <w:pPr>
      <w:spacing w:before="120" w:after="120"/>
    </w:pPr>
    <w:rPr>
      <w:color w:val="FF0000"/>
      <w:w w:val="80"/>
    </w:rPr>
  </w:style>
  <w:style w:type="paragraph" w:styleId="a3">
    <w:name w:val="endnote text"/>
    <w:basedOn w:val="a"/>
    <w:semiHidden/>
    <w:rsid w:val="00142EA8"/>
    <w:pPr>
      <w:ind w:left="227" w:hanging="227"/>
    </w:pPr>
    <w:rPr>
      <w:sz w:val="14"/>
      <w:szCs w:val="22"/>
    </w:rPr>
  </w:style>
  <w:style w:type="paragraph" w:customStyle="1" w:styleId="TableText">
    <w:name w:val="Table Text"/>
    <w:basedOn w:val="a"/>
    <w:rsid w:val="00142EA8"/>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SideHeading">
    <w:name w:val="Table SideHeading"/>
    <w:basedOn w:val="TableText"/>
    <w:rsid w:val="00142EA8"/>
    <w:pPr>
      <w:outlineLvl w:val="2"/>
    </w:pPr>
  </w:style>
  <w:style w:type="paragraph" w:customStyle="1" w:styleId="TableBlock">
    <w:name w:val="Table Block"/>
    <w:basedOn w:val="TableText"/>
    <w:rsid w:val="00142EA8"/>
    <w:pPr>
      <w:jc w:val="both"/>
    </w:pPr>
  </w:style>
  <w:style w:type="paragraph" w:customStyle="1" w:styleId="TableHead">
    <w:name w:val="Table Head"/>
    <w:basedOn w:val="TableText"/>
    <w:rsid w:val="00142EA8"/>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142EA8"/>
    <w:pPr>
      <w:outlineLvl w:val="9"/>
    </w:pPr>
  </w:style>
  <w:style w:type="paragraph" w:customStyle="1" w:styleId="Hesber">
    <w:name w:val="Hesber"/>
    <w:basedOn w:val="a"/>
    <w:rsid w:val="00142EA8"/>
    <w:pPr>
      <w:snapToGrid w:val="0"/>
      <w:ind w:left="0" w:firstLine="340"/>
    </w:pPr>
    <w:rPr>
      <w:rFonts w:ascii="Arial" w:eastAsia="Arial Unicode MS" w:hAnsi="Arial"/>
      <w:snapToGrid w:val="0"/>
      <w:sz w:val="20"/>
      <w:szCs w:val="26"/>
    </w:rPr>
  </w:style>
  <w:style w:type="paragraph" w:styleId="a4">
    <w:name w:val="footnote text"/>
    <w:basedOn w:val="a"/>
    <w:autoRedefine/>
    <w:semiHidden/>
    <w:rsid w:val="00142EA8"/>
    <w:pPr>
      <w:snapToGrid w:val="0"/>
      <w:spacing w:line="240" w:lineRule="auto"/>
      <w:ind w:left="0"/>
      <w:jc w:val="left"/>
    </w:pPr>
    <w:rPr>
      <w:rFonts w:ascii="Arial" w:eastAsia="Arial Unicode MS" w:hAnsi="Arial"/>
      <w:snapToGrid w:val="0"/>
      <w:sz w:val="14"/>
      <w:szCs w:val="20"/>
    </w:rPr>
  </w:style>
  <w:style w:type="character" w:styleId="a5">
    <w:name w:val="footnote reference"/>
    <w:aliases w:val="Footnote Reference"/>
    <w:basedOn w:val="a0"/>
    <w:semiHidden/>
    <w:rsid w:val="00142EA8"/>
    <w:rPr>
      <w:vertAlign w:val="superscript"/>
    </w:rPr>
  </w:style>
  <w:style w:type="paragraph" w:customStyle="1" w:styleId="HesberHeading">
    <w:name w:val="Hesber Heading"/>
    <w:basedOn w:val="Hesber"/>
    <w:rsid w:val="00142EA8"/>
    <w:pPr>
      <w:tabs>
        <w:tab w:val="left" w:pos="624"/>
        <w:tab w:val="left" w:pos="1247"/>
      </w:tabs>
    </w:pPr>
    <w:rPr>
      <w:b/>
      <w:bCs/>
    </w:rPr>
  </w:style>
  <w:style w:type="paragraph" w:customStyle="1" w:styleId="HesberWriters">
    <w:name w:val="Hesber Writers"/>
    <w:basedOn w:val="Hesber"/>
    <w:rsid w:val="00142EA8"/>
    <w:pPr>
      <w:spacing w:before="120" w:after="120"/>
      <w:ind w:left="1418"/>
      <w:jc w:val="right"/>
    </w:pPr>
    <w:rPr>
      <w:b/>
      <w:bCs/>
    </w:rPr>
  </w:style>
  <w:style w:type="paragraph" w:customStyle="1" w:styleId="Hesber1st">
    <w:name w:val="Hesber 1st"/>
    <w:basedOn w:val="Hesber"/>
    <w:rsid w:val="00142EA8"/>
    <w:pPr>
      <w:tabs>
        <w:tab w:val="left" w:pos="680"/>
        <w:tab w:val="left" w:pos="1020"/>
      </w:tabs>
      <w:ind w:firstLine="0"/>
    </w:pPr>
  </w:style>
  <w:style w:type="character" w:styleId="a6">
    <w:name w:val="endnote reference"/>
    <w:basedOn w:val="a0"/>
    <w:semiHidden/>
    <w:rsid w:val="00142EA8"/>
    <w:rPr>
      <w:vertAlign w:val="superscript"/>
    </w:rPr>
  </w:style>
  <w:style w:type="paragraph" w:customStyle="1" w:styleId="TableBlockOutdent">
    <w:name w:val="Table BlockOutdent"/>
    <w:basedOn w:val="TableBlock"/>
    <w:rsid w:val="00142EA8"/>
    <w:pPr>
      <w:ind w:left="624" w:hanging="624"/>
    </w:pPr>
  </w:style>
  <w:style w:type="paragraph" w:styleId="a7">
    <w:name w:val="header"/>
    <w:basedOn w:val="a"/>
    <w:rsid w:val="00142EA8"/>
    <w:pPr>
      <w:tabs>
        <w:tab w:val="center" w:pos="4153"/>
        <w:tab w:val="right" w:pos="8306"/>
      </w:tabs>
    </w:pPr>
  </w:style>
  <w:style w:type="paragraph" w:styleId="a8">
    <w:name w:val="footer"/>
    <w:basedOn w:val="a"/>
    <w:rsid w:val="00142EA8"/>
    <w:pPr>
      <w:tabs>
        <w:tab w:val="center" w:pos="4153"/>
        <w:tab w:val="right" w:pos="8306"/>
      </w:tabs>
    </w:pPr>
  </w:style>
  <w:style w:type="paragraph" w:customStyle="1" w:styleId="HeadDivreiHesber">
    <w:name w:val="Head DivreiHesber"/>
    <w:basedOn w:val="a"/>
    <w:rsid w:val="00142EA8"/>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142EA8"/>
    <w:pPr>
      <w:snapToGrid w:val="0"/>
      <w:jc w:val="left"/>
    </w:pPr>
    <w:rPr>
      <w:rFonts w:ascii="Arial" w:eastAsia="Arial Unicode MS" w:hAnsi="Arial"/>
      <w:snapToGrid w:val="0"/>
      <w:sz w:val="20"/>
      <w:szCs w:val="26"/>
    </w:rPr>
  </w:style>
  <w:style w:type="paragraph" w:styleId="a9">
    <w:name w:val="Title"/>
    <w:basedOn w:val="a"/>
    <w:qFormat/>
    <w:rsid w:val="00943386"/>
    <w:pPr>
      <w:jc w:val="center"/>
    </w:pPr>
    <w:rPr>
      <w:b/>
      <w:bCs/>
      <w:sz w:val="28"/>
      <w:szCs w:val="28"/>
      <w:u w:val="single"/>
    </w:rPr>
  </w:style>
  <w:style w:type="character" w:styleId="aa">
    <w:name w:val="page number"/>
    <w:basedOn w:val="a0"/>
    <w:rsid w:val="00142EA8"/>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b">
    <w:name w:val="Balloon Text"/>
    <w:basedOn w:val="a"/>
    <w:link w:val="ac"/>
    <w:semiHidden/>
    <w:unhideWhenUsed/>
    <w:rsid w:val="00325C14"/>
    <w:pPr>
      <w:spacing w:line="240" w:lineRule="auto"/>
    </w:pPr>
    <w:rPr>
      <w:rFonts w:ascii="Tahoma" w:hAnsi="Tahoma" w:cs="Tahoma"/>
      <w:sz w:val="16"/>
      <w:szCs w:val="16"/>
    </w:rPr>
  </w:style>
  <w:style w:type="character" w:customStyle="1" w:styleId="ac">
    <w:name w:val="טקסט בלונים תו"/>
    <w:basedOn w:val="a0"/>
    <w:link w:val="ab"/>
    <w:semiHidden/>
    <w:rsid w:val="00325C14"/>
    <w:rPr>
      <w:rFonts w:ascii="Tahoma" w:hAnsi="Tahoma" w:cs="Tahoma"/>
      <w:color w:val="000000"/>
      <w:spacing w:val="1"/>
      <w:sz w:val="16"/>
      <w:szCs w:val="16"/>
      <w:lang w:eastAsia="ja-JP"/>
    </w:rPr>
  </w:style>
  <w:style w:type="character" w:customStyle="1" w:styleId="10">
    <w:name w:val="כותרת 1 תו"/>
    <w:basedOn w:val="a0"/>
    <w:link w:val="1"/>
    <w:uiPriority w:val="9"/>
    <w:rsid w:val="00142EA8"/>
    <w:rPr>
      <w:rFonts w:asciiTheme="majorHAnsi" w:eastAsiaTheme="majorEastAsia" w:hAnsiTheme="majorHAnsi" w:cs="David"/>
      <w:bCs/>
      <w:sz w:val="32"/>
      <w:szCs w:val="36"/>
    </w:rPr>
  </w:style>
  <w:style w:type="character" w:customStyle="1" w:styleId="20">
    <w:name w:val="כותרת 2 תו"/>
    <w:basedOn w:val="a0"/>
    <w:link w:val="2"/>
    <w:rsid w:val="00142EA8"/>
    <w:rPr>
      <w:rFonts w:asciiTheme="majorHAnsi" w:eastAsiaTheme="majorEastAsia" w:hAnsiTheme="majorHAnsi" w:cs="David"/>
      <w:bCs/>
      <w:sz w:val="26"/>
      <w:szCs w:val="36"/>
      <w:u w:val="single"/>
    </w:rPr>
  </w:style>
  <w:style w:type="character" w:customStyle="1" w:styleId="30">
    <w:name w:val="כותרת 3 תו"/>
    <w:basedOn w:val="a0"/>
    <w:link w:val="3"/>
    <w:rsid w:val="00142EA8"/>
    <w:rPr>
      <w:rFonts w:asciiTheme="majorHAnsi" w:eastAsiaTheme="majorEastAsia" w:hAnsiTheme="majorHAnsi" w:cs="David"/>
      <w:sz w:val="24"/>
      <w:szCs w:val="28"/>
      <w:u w:val="double"/>
    </w:rPr>
  </w:style>
  <w:style w:type="character" w:customStyle="1" w:styleId="40">
    <w:name w:val="כותרת 4 תו"/>
    <w:basedOn w:val="a0"/>
    <w:link w:val="4"/>
    <w:uiPriority w:val="9"/>
    <w:rsid w:val="00142EA8"/>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142EA8"/>
    <w:rPr>
      <w:rFonts w:ascii="David" w:eastAsiaTheme="minorHAnsi" w:hAnsi="David" w:cs="David"/>
      <w:color w:val="000000" w:themeColor="text1"/>
      <w:sz w:val="24"/>
      <w:szCs w:val="24"/>
    </w:rPr>
  </w:style>
  <w:style w:type="paragraph" w:styleId="ad">
    <w:name w:val="TOC Heading"/>
    <w:basedOn w:val="1"/>
    <w:next w:val="a"/>
    <w:uiPriority w:val="39"/>
    <w:unhideWhenUsed/>
    <w:qFormat/>
    <w:rsid w:val="00142EA8"/>
    <w:pPr>
      <w:widowControl/>
      <w:spacing w:before="120" w:after="120"/>
      <w:outlineLvl w:val="9"/>
    </w:pPr>
    <w:rPr>
      <w:rtl/>
      <w:cs/>
    </w:rPr>
  </w:style>
  <w:style w:type="paragraph" w:styleId="TOC1">
    <w:name w:val="toc 1"/>
    <w:basedOn w:val="a"/>
    <w:next w:val="a"/>
    <w:autoRedefine/>
    <w:uiPriority w:val="39"/>
    <w:unhideWhenUsed/>
    <w:rsid w:val="00142EA8"/>
    <w:pPr>
      <w:tabs>
        <w:tab w:val="right" w:leader="dot" w:pos="9629"/>
      </w:tabs>
      <w:spacing w:after="100"/>
    </w:pPr>
    <w:rPr>
      <w:bCs/>
      <w:szCs w:val="22"/>
    </w:rPr>
  </w:style>
  <w:style w:type="paragraph" w:styleId="TOC2">
    <w:name w:val="toc 2"/>
    <w:basedOn w:val="a"/>
    <w:next w:val="a"/>
    <w:uiPriority w:val="39"/>
    <w:unhideWhenUsed/>
    <w:rsid w:val="00142EA8"/>
    <w:pPr>
      <w:tabs>
        <w:tab w:val="right" w:leader="dot" w:pos="9628"/>
      </w:tabs>
      <w:spacing w:after="100"/>
    </w:pPr>
    <w:rPr>
      <w:szCs w:val="22"/>
    </w:rPr>
  </w:style>
  <w:style w:type="character" w:styleId="Hyperlink">
    <w:name w:val="Hyperlink"/>
    <w:basedOn w:val="a0"/>
    <w:uiPriority w:val="99"/>
    <w:unhideWhenUsed/>
    <w:rsid w:val="00142EA8"/>
    <w:rPr>
      <w:color w:val="0000FF" w:themeColor="hyperlink"/>
      <w:u w:val="single"/>
    </w:rPr>
  </w:style>
  <w:style w:type="paragraph" w:styleId="TOC3">
    <w:name w:val="toc 3"/>
    <w:basedOn w:val="a"/>
    <w:next w:val="a"/>
    <w:uiPriority w:val="39"/>
    <w:unhideWhenUsed/>
    <w:rsid w:val="00142EA8"/>
    <w:pPr>
      <w:tabs>
        <w:tab w:val="right" w:leader="dot" w:pos="9629"/>
      </w:tabs>
      <w:spacing w:after="100"/>
      <w:ind w:left="567"/>
    </w:pPr>
    <w:rPr>
      <w:szCs w:val="22"/>
    </w:rPr>
  </w:style>
  <w:style w:type="paragraph" w:styleId="TOC4">
    <w:name w:val="toc 4"/>
    <w:basedOn w:val="a"/>
    <w:next w:val="a"/>
    <w:autoRedefine/>
    <w:unhideWhenUsed/>
    <w:qFormat/>
    <w:rsid w:val="00142EA8"/>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142EA8"/>
    <w:pPr>
      <w:tabs>
        <w:tab w:val="right" w:leader="dot" w:pos="9628"/>
      </w:tabs>
      <w:spacing w:after="100"/>
      <w:ind w:left="567"/>
    </w:pPr>
    <w:rPr>
      <w:szCs w:val="22"/>
    </w:rPr>
  </w:style>
  <w:style w:type="paragraph" w:styleId="TOC6">
    <w:name w:val="toc 6"/>
    <w:basedOn w:val="a"/>
    <w:next w:val="a"/>
    <w:autoRedefine/>
    <w:semiHidden/>
    <w:unhideWhenUsed/>
    <w:rsid w:val="00142EA8"/>
    <w:pPr>
      <w:spacing w:after="100"/>
      <w:ind w:left="850"/>
    </w:pPr>
  </w:style>
  <w:style w:type="paragraph" w:styleId="TOC7">
    <w:name w:val="toc 7"/>
    <w:basedOn w:val="a"/>
    <w:next w:val="a"/>
    <w:autoRedefine/>
    <w:semiHidden/>
    <w:unhideWhenUsed/>
    <w:rsid w:val="00142EA8"/>
    <w:pPr>
      <w:spacing w:after="100"/>
      <w:ind w:left="1020"/>
    </w:pPr>
  </w:style>
  <w:style w:type="paragraph" w:styleId="TOC8">
    <w:name w:val="toc 8"/>
    <w:basedOn w:val="a"/>
    <w:next w:val="a"/>
    <w:autoRedefine/>
    <w:semiHidden/>
    <w:unhideWhenUsed/>
    <w:rsid w:val="00142EA8"/>
    <w:pPr>
      <w:spacing w:after="100"/>
      <w:ind w:left="1190"/>
    </w:pPr>
  </w:style>
  <w:style w:type="paragraph" w:styleId="TOC9">
    <w:name w:val="toc 9"/>
    <w:basedOn w:val="a"/>
    <w:next w:val="a"/>
    <w:autoRedefine/>
    <w:semiHidden/>
    <w:unhideWhenUsed/>
    <w:rsid w:val="00142EA8"/>
    <w:pPr>
      <w:spacing w:after="100"/>
      <w:ind w:left="1360"/>
    </w:pPr>
  </w:style>
  <w:style w:type="paragraph" w:customStyle="1" w:styleId="TableHead2">
    <w:name w:val="Table Head2"/>
    <w:basedOn w:val="TableHead"/>
    <w:qFormat/>
    <w:rsid w:val="00142EA8"/>
    <w:pPr>
      <w:outlineLvl w:val="9"/>
    </w:pPr>
  </w:style>
  <w:style w:type="paragraph" w:customStyle="1" w:styleId="TableSideHeading2">
    <w:name w:val="Table SideHeading2"/>
    <w:basedOn w:val="TableSideHeading"/>
    <w:autoRedefine/>
    <w:qFormat/>
    <w:rsid w:val="00142EA8"/>
    <w:pPr>
      <w:keepLines w:val="0"/>
      <w:outlineLvl w:val="9"/>
    </w:pPr>
  </w:style>
  <w:style w:type="paragraph" w:customStyle="1" w:styleId="0">
    <w:name w:val="סגנון שורה ראשונה:  0  ס''מ"/>
    <w:basedOn w:val="2"/>
    <w:rsid w:val="00142EA8"/>
    <w:rPr>
      <w:rFonts w:eastAsia="Times New Roman"/>
    </w:rPr>
  </w:style>
  <w:style w:type="paragraph" w:styleId="ae">
    <w:name w:val="List Paragraph"/>
    <w:basedOn w:val="a"/>
    <w:uiPriority w:val="34"/>
    <w:qFormat/>
    <w:rsid w:val="00142EA8"/>
    <w:pPr>
      <w:widowControl/>
      <w:spacing w:line="259" w:lineRule="auto"/>
    </w:pPr>
    <w:rPr>
      <w:rFonts w:asciiTheme="minorHAnsi" w:hAnsiTheme="minorHAnsi"/>
      <w:sz w:val="22"/>
    </w:rPr>
  </w:style>
  <w:style w:type="table" w:styleId="af">
    <w:name w:val="Table Grid"/>
    <w:basedOn w:val="a1"/>
    <w:rsid w:val="00142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142EA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142EA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0">
    <w:name w:val="טבלת חקיקה"/>
    <w:basedOn w:val="a1"/>
    <w:uiPriority w:val="99"/>
    <w:rsid w:val="00142EA8"/>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142EA8"/>
    <w:tblPr/>
    <w:tblStylePr w:type="firstCol">
      <w:pPr>
        <w:keepNext w:val="0"/>
        <w:keepLines/>
        <w:pageBreakBefore w:val="0"/>
        <w:widowControl w:val="0"/>
        <w:suppressLineNumbers w:val="0"/>
        <w:suppressAutoHyphens w:val="0"/>
        <w:wordWrap/>
      </w:pPr>
    </w:tblStylePr>
  </w:style>
  <w:style w:type="character" w:styleId="af1">
    <w:name w:val="annotation reference"/>
    <w:basedOn w:val="a0"/>
    <w:semiHidden/>
    <w:unhideWhenUsed/>
    <w:rsid w:val="00E01CC9"/>
    <w:rPr>
      <w:sz w:val="16"/>
      <w:szCs w:val="16"/>
    </w:rPr>
  </w:style>
  <w:style w:type="paragraph" w:styleId="af2">
    <w:name w:val="annotation text"/>
    <w:basedOn w:val="a"/>
    <w:link w:val="af3"/>
    <w:semiHidden/>
    <w:unhideWhenUsed/>
    <w:rsid w:val="00E01CC9"/>
    <w:pPr>
      <w:spacing w:line="240" w:lineRule="auto"/>
    </w:pPr>
    <w:rPr>
      <w:sz w:val="20"/>
      <w:szCs w:val="20"/>
    </w:rPr>
  </w:style>
  <w:style w:type="character" w:customStyle="1" w:styleId="af3">
    <w:name w:val="טקסט הערה תו"/>
    <w:basedOn w:val="a0"/>
    <w:link w:val="af2"/>
    <w:semiHidden/>
    <w:rsid w:val="00E01CC9"/>
    <w:rPr>
      <w:rFonts w:ascii="David" w:eastAsiaTheme="minorHAnsi" w:hAnsi="David" w:cs="Dav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54E21C28B32ECF49ADBB6A5BBBCCB3CD" ma:contentTypeVersion="" ma:contentTypeDescription="צור מסמך חדש." ma:contentTypeScope="" ma:versionID="f81d89568b860eeaa06327f0f2d2f14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schemas.microsoft.com/office/infopath/2007/PartnerControls"/>
    <ds:schemaRef ds:uri="290d5b49-c690-4c6f-bbb9-1e50dab33eee"/>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BA504BA1-B1B6-4550-B403-06FDE3381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7C7149-7D59-4DF4-A5FB-14B55A47E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7</Pages>
  <Words>1264</Words>
  <Characters>7208</Characters>
  <Application>Microsoft Office Word</Application>
  <DocSecurity>0</DocSecurity>
  <Lines>60</Lines>
  <Paragraphs>16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8456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ווייס עמר</cp:lastModifiedBy>
  <cp:revision>15</cp:revision>
  <cp:lastPrinted>2013-07-04T08:25:00Z</cp:lastPrinted>
  <dcterms:created xsi:type="dcterms:W3CDTF">2015-04-20T09:58:00Z</dcterms:created>
  <dcterms:modified xsi:type="dcterms:W3CDTF">2025-07-21T16:09:00Z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0x01010054E21C28B32ECF49ADBB6A5BBBCCB3CD</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2233741</vt:r8>
  </property>
</Properties>
</file>