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2234009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גלעד קריב</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פ/6121/25</w:t>
      </w:r>
      <w:bookmarkEnd w:id="6"/>
    </w:p>
    <w:p w14:paraId="7F6961AC" w14:textId="77777777" w:rsidR="00E13C27" w:rsidRDefault="00E13C27" w:rsidP="00E13C27">
      <w:pPr>
        <w:spacing w:before="0" w:line="360" w:lineRule="auto"/>
        <w:ind w:left="2880" w:firstLine="720"/>
        <w:rPr>
          <w:rFonts w:cs="David"/>
          <w:sz w:val="26"/>
          <w:szCs w:val="26"/>
          <w:rtl/>
        </w:rPr>
      </w:pPr>
    </w:p>
    <w:p w14:paraId="7F6961AE" w14:textId="3D4C3512" w:rsidR="00E13C27" w:rsidRDefault="00A443CF" w:rsidP="0015185A">
      <w:pPr>
        <w:pStyle w:val="HeadHatzaotHok"/>
        <w:rPr>
          <w:rtl/>
        </w:rPr>
      </w:pPr>
      <w:bookmarkStart w:id="7" w:name="LGS_Subject"/>
      <w:r>
        <w:rPr>
          <w:rFonts w:hint="cs"/>
          <w:rtl/>
        </w:rPr>
        <w:t xml:space="preserve">הצעת חוק לתיקון פקודת המשטרה (הסדרת הפעלת מכת"זית ותיעוד חזותי של ההפעלה), </w:t>
      </w:r>
      <w:r w:rsidR="0015185A">
        <w:rPr>
          <w:rtl/>
        </w:rPr>
        <w:br/>
      </w:r>
      <w:r>
        <w:rPr>
          <w:rFonts w:hint="cs"/>
          <w:rtl/>
        </w:rPr>
        <w:t>התשפ"ה–2025</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50"/>
      </w:tblGrid>
      <w:tr w:rsidR="000275D0" w:rsidRPr="00D41B97" w14:paraId="346A78B4" w14:textId="77777777" w:rsidTr="005B2306">
        <w:trPr>
          <w:cantSplit/>
        </w:trPr>
        <w:tc>
          <w:tcPr>
            <w:tcW w:w="1871" w:type="dxa"/>
          </w:tcPr>
          <w:p w14:paraId="2065157F" w14:textId="77777777" w:rsidR="000275D0" w:rsidRPr="00F212B2" w:rsidRDefault="000275D0" w:rsidP="0057739C">
            <w:pPr>
              <w:pStyle w:val="TableSideHeading"/>
              <w:keepLines w:val="0"/>
            </w:pPr>
            <w:r w:rsidRPr="00562AB4">
              <w:rPr>
                <w:sz w:val="26"/>
                <w:rtl/>
              </w:rPr>
              <w:t xml:space="preserve">הוספת סעיף </w:t>
            </w:r>
            <w:r w:rsidRPr="00562AB4">
              <w:rPr>
                <w:rFonts w:hint="cs"/>
                <w:sz w:val="26"/>
                <w:rtl/>
              </w:rPr>
              <w:t>89א</w:t>
            </w:r>
          </w:p>
        </w:tc>
        <w:tc>
          <w:tcPr>
            <w:tcW w:w="624" w:type="dxa"/>
          </w:tcPr>
          <w:p w14:paraId="60F67437" w14:textId="77777777" w:rsidR="000275D0" w:rsidRDefault="000275D0" w:rsidP="0057739C">
            <w:pPr>
              <w:pStyle w:val="TableText"/>
              <w:keepLines w:val="0"/>
            </w:pPr>
            <w:r>
              <w:rPr>
                <w:rFonts w:hint="cs"/>
                <w:rtl/>
              </w:rPr>
              <w:t>1.</w:t>
            </w:r>
          </w:p>
        </w:tc>
        <w:tc>
          <w:tcPr>
            <w:tcW w:w="7146" w:type="dxa"/>
            <w:gridSpan w:val="5"/>
          </w:tcPr>
          <w:p w14:paraId="69D53BF8" w14:textId="77777777" w:rsidR="000275D0" w:rsidRPr="00D41B97" w:rsidRDefault="000275D0" w:rsidP="0057739C">
            <w:pPr>
              <w:pStyle w:val="TableBlock"/>
            </w:pPr>
            <w:r w:rsidRPr="00D41B97">
              <w:rPr>
                <w:rFonts w:hint="cs"/>
                <w:rtl/>
              </w:rPr>
              <w:t>ב</w:t>
            </w:r>
            <w:r w:rsidRPr="00D41B97">
              <w:rPr>
                <w:rtl/>
              </w:rPr>
              <w:t xml:space="preserve">פקודת המשטרה [נוסח חדש], </w:t>
            </w:r>
            <w:r w:rsidRPr="00D41B97">
              <w:rPr>
                <w:rFonts w:hint="eastAsia"/>
                <w:rtl/>
              </w:rPr>
              <w:t>ה</w:t>
            </w:r>
            <w:r w:rsidRPr="00D41B97">
              <w:rPr>
                <w:rtl/>
              </w:rPr>
              <w:t>תשל"א</w:t>
            </w:r>
            <w:r w:rsidRPr="00D41B97">
              <w:rPr>
                <w:rFonts w:hint="eastAsia"/>
                <w:rtl/>
              </w:rPr>
              <w:t>–</w:t>
            </w:r>
            <w:r w:rsidRPr="00D41B97">
              <w:rPr>
                <w:rtl/>
              </w:rPr>
              <w:t>1971</w:t>
            </w:r>
            <w:r w:rsidRPr="00075A78">
              <w:rPr>
                <w:rFonts w:ascii="David" w:hAnsi="David"/>
                <w:sz w:val="26"/>
                <w:vertAlign w:val="superscript"/>
                <w:rtl/>
              </w:rPr>
              <w:footnoteReference w:id="2"/>
            </w:r>
            <w:r w:rsidRPr="00D41B97">
              <w:rPr>
                <w:rFonts w:hint="cs"/>
                <w:rtl/>
              </w:rPr>
              <w:t>,</w:t>
            </w:r>
            <w:r w:rsidRPr="00D41B97">
              <w:rPr>
                <w:rtl/>
              </w:rPr>
              <w:t xml:space="preserve"> אחרי</w:t>
            </w:r>
            <w:r w:rsidRPr="00D41B97">
              <w:rPr>
                <w:rFonts w:hint="cs"/>
                <w:rtl/>
              </w:rPr>
              <w:t xml:space="preserve"> </w:t>
            </w:r>
            <w:r w:rsidRPr="00D41B97">
              <w:rPr>
                <w:rtl/>
              </w:rPr>
              <w:t xml:space="preserve">סעיף </w:t>
            </w:r>
            <w:r w:rsidRPr="00D41B97">
              <w:rPr>
                <w:rFonts w:hint="cs"/>
                <w:rtl/>
              </w:rPr>
              <w:t>89</w:t>
            </w:r>
            <w:r w:rsidRPr="00D41B97">
              <w:rPr>
                <w:rtl/>
              </w:rPr>
              <w:t xml:space="preserve"> יבוא:</w:t>
            </w:r>
          </w:p>
        </w:tc>
      </w:tr>
      <w:tr w:rsidR="000275D0" w14:paraId="7DA19DB2" w14:textId="77777777" w:rsidTr="005B2306">
        <w:trPr>
          <w:cantSplit/>
        </w:trPr>
        <w:tc>
          <w:tcPr>
            <w:tcW w:w="1871" w:type="dxa"/>
          </w:tcPr>
          <w:p w14:paraId="73A56289" w14:textId="77777777" w:rsidR="000275D0" w:rsidRDefault="000275D0" w:rsidP="0057739C">
            <w:pPr>
              <w:pStyle w:val="TableSideHeading"/>
              <w:keepLines w:val="0"/>
            </w:pPr>
          </w:p>
        </w:tc>
        <w:tc>
          <w:tcPr>
            <w:tcW w:w="624" w:type="dxa"/>
          </w:tcPr>
          <w:p w14:paraId="2AC2171C" w14:textId="77777777" w:rsidR="000275D0" w:rsidRDefault="000275D0" w:rsidP="0057739C">
            <w:pPr>
              <w:pStyle w:val="TableText"/>
              <w:keepLines w:val="0"/>
            </w:pPr>
          </w:p>
        </w:tc>
        <w:tc>
          <w:tcPr>
            <w:tcW w:w="1872" w:type="dxa"/>
            <w:gridSpan w:val="3"/>
          </w:tcPr>
          <w:p w14:paraId="72FD5207" w14:textId="77777777" w:rsidR="000275D0" w:rsidRDefault="000275D0" w:rsidP="0057739C">
            <w:pPr>
              <w:pStyle w:val="TableInnerSideHeading"/>
            </w:pPr>
            <w:r>
              <w:rPr>
                <w:rFonts w:hint="cs"/>
                <w:rtl/>
              </w:rPr>
              <w:t>"תיעוד חזותי של שימוש במכונית להתזת מים לפיזור הפגנה</w:t>
            </w:r>
          </w:p>
        </w:tc>
        <w:tc>
          <w:tcPr>
            <w:tcW w:w="624" w:type="dxa"/>
          </w:tcPr>
          <w:p w14:paraId="7B40D3F8" w14:textId="77777777" w:rsidR="000275D0" w:rsidRDefault="000275D0" w:rsidP="0057739C">
            <w:pPr>
              <w:pStyle w:val="TableText"/>
            </w:pPr>
            <w:r w:rsidRPr="00562AB4">
              <w:rPr>
                <w:rFonts w:hint="cs"/>
                <w:sz w:val="26"/>
                <w:rtl/>
              </w:rPr>
              <w:t>89א</w:t>
            </w:r>
            <w:r>
              <w:rPr>
                <w:rFonts w:hint="cs"/>
                <w:rtl/>
              </w:rPr>
              <w:t>.</w:t>
            </w:r>
          </w:p>
        </w:tc>
        <w:tc>
          <w:tcPr>
            <w:tcW w:w="4650" w:type="dxa"/>
          </w:tcPr>
          <w:p w14:paraId="0110D3FF" w14:textId="77777777" w:rsidR="000275D0" w:rsidRDefault="000275D0" w:rsidP="0057739C">
            <w:pPr>
              <w:pStyle w:val="TableBlock"/>
            </w:pPr>
            <w:r w:rsidRPr="00562AB4">
              <w:rPr>
                <w:rFonts w:hint="cs"/>
                <w:sz w:val="26"/>
                <w:rtl/>
              </w:rPr>
              <w:t>(</w:t>
            </w:r>
            <w:r w:rsidRPr="00562AB4">
              <w:rPr>
                <w:sz w:val="26"/>
                <w:rtl/>
              </w:rPr>
              <w:t>א</w:t>
            </w:r>
            <w:r w:rsidRPr="00562AB4">
              <w:rPr>
                <w:rFonts w:hint="cs"/>
                <w:sz w:val="26"/>
                <w:rtl/>
              </w:rPr>
              <w:t>)</w:t>
            </w:r>
            <w:r w:rsidRPr="00562AB4">
              <w:rPr>
                <w:sz w:val="26"/>
                <w:rtl/>
              </w:rPr>
              <w:tab/>
            </w:r>
            <w:r w:rsidRPr="00562AB4">
              <w:rPr>
                <w:rFonts w:hint="cs"/>
                <w:sz w:val="26"/>
                <w:rtl/>
              </w:rPr>
              <w:t xml:space="preserve">שימוש במכונית להתזת מים לפיזור הפגנות (בסעיף זה </w:t>
            </w:r>
            <w:r w:rsidRPr="00562AB4">
              <w:rPr>
                <w:rFonts w:hint="eastAsia"/>
                <w:sz w:val="26"/>
                <w:rtl/>
              </w:rPr>
              <w:t>–</w:t>
            </w:r>
            <w:r w:rsidRPr="00562AB4">
              <w:rPr>
                <w:rFonts w:hint="cs"/>
                <w:sz w:val="26"/>
                <w:rtl/>
              </w:rPr>
              <w:t xml:space="preserve"> מכת"זית)</w:t>
            </w:r>
            <w:r w:rsidRPr="00562AB4" w:rsidDel="00C33D6F">
              <w:rPr>
                <w:rFonts w:hint="cs"/>
                <w:sz w:val="26"/>
                <w:rtl/>
              </w:rPr>
              <w:t xml:space="preserve"> </w:t>
            </w:r>
            <w:r w:rsidRPr="00562AB4">
              <w:rPr>
                <w:rFonts w:hint="cs"/>
                <w:sz w:val="26"/>
                <w:rtl/>
              </w:rPr>
              <w:t xml:space="preserve">לשם פיזור הפגנה, </w:t>
            </w:r>
            <w:r>
              <w:rPr>
                <w:rFonts w:hint="cs"/>
                <w:rtl/>
              </w:rPr>
              <w:t>ייעשה באמצעות מים נקיים בלבד ללא תוספת חומר, ובכלל זה תוספת של צבע או ריח.</w:t>
            </w:r>
          </w:p>
        </w:tc>
      </w:tr>
      <w:tr w:rsidR="000275D0" w14:paraId="4DE09439" w14:textId="77777777" w:rsidTr="005B2306">
        <w:trPr>
          <w:cantSplit/>
        </w:trPr>
        <w:tc>
          <w:tcPr>
            <w:tcW w:w="1871" w:type="dxa"/>
          </w:tcPr>
          <w:p w14:paraId="3C2BC17B" w14:textId="77777777" w:rsidR="000275D0" w:rsidRDefault="000275D0" w:rsidP="0057739C">
            <w:pPr>
              <w:pStyle w:val="TableSideHeading"/>
              <w:rPr>
                <w:rtl/>
              </w:rPr>
            </w:pPr>
          </w:p>
        </w:tc>
        <w:tc>
          <w:tcPr>
            <w:tcW w:w="624" w:type="dxa"/>
          </w:tcPr>
          <w:p w14:paraId="75AA6ED0" w14:textId="77777777" w:rsidR="000275D0" w:rsidRDefault="000275D0" w:rsidP="0057739C">
            <w:pPr>
              <w:pStyle w:val="TableText"/>
              <w:jc w:val="both"/>
            </w:pPr>
          </w:p>
        </w:tc>
        <w:tc>
          <w:tcPr>
            <w:tcW w:w="624" w:type="dxa"/>
          </w:tcPr>
          <w:p w14:paraId="266A0751" w14:textId="77777777" w:rsidR="000275D0" w:rsidRDefault="000275D0" w:rsidP="0057739C">
            <w:pPr>
              <w:pStyle w:val="TableText"/>
              <w:jc w:val="both"/>
            </w:pPr>
          </w:p>
        </w:tc>
        <w:tc>
          <w:tcPr>
            <w:tcW w:w="624" w:type="dxa"/>
          </w:tcPr>
          <w:p w14:paraId="4CA77BAD" w14:textId="77777777" w:rsidR="000275D0" w:rsidRDefault="000275D0" w:rsidP="0057739C">
            <w:pPr>
              <w:pStyle w:val="TableText"/>
              <w:jc w:val="both"/>
            </w:pPr>
          </w:p>
        </w:tc>
        <w:tc>
          <w:tcPr>
            <w:tcW w:w="624" w:type="dxa"/>
          </w:tcPr>
          <w:p w14:paraId="5040801A" w14:textId="77777777" w:rsidR="000275D0" w:rsidRDefault="000275D0" w:rsidP="0057739C">
            <w:pPr>
              <w:pStyle w:val="TableText"/>
              <w:jc w:val="both"/>
              <w:rPr>
                <w:rtl/>
              </w:rPr>
            </w:pPr>
          </w:p>
        </w:tc>
        <w:tc>
          <w:tcPr>
            <w:tcW w:w="624" w:type="dxa"/>
          </w:tcPr>
          <w:p w14:paraId="557F40A2" w14:textId="77777777" w:rsidR="000275D0" w:rsidRDefault="000275D0" w:rsidP="0057739C">
            <w:pPr>
              <w:pStyle w:val="TableText"/>
              <w:jc w:val="both"/>
              <w:rPr>
                <w:rtl/>
              </w:rPr>
            </w:pPr>
          </w:p>
        </w:tc>
        <w:tc>
          <w:tcPr>
            <w:tcW w:w="4650" w:type="dxa"/>
          </w:tcPr>
          <w:p w14:paraId="0DDF62DE" w14:textId="77777777" w:rsidR="000275D0" w:rsidRDefault="000275D0" w:rsidP="0057739C">
            <w:pPr>
              <w:pStyle w:val="TableBlock"/>
              <w:rPr>
                <w:rtl/>
              </w:rPr>
            </w:pPr>
            <w:r>
              <w:rPr>
                <w:rFonts w:hint="cs"/>
                <w:sz w:val="26"/>
                <w:rtl/>
              </w:rPr>
              <w:t>(ב)</w:t>
            </w:r>
            <w:r>
              <w:rPr>
                <w:sz w:val="26"/>
                <w:rtl/>
              </w:rPr>
              <w:tab/>
            </w:r>
            <w:r>
              <w:rPr>
                <w:rFonts w:hint="cs"/>
                <w:sz w:val="26"/>
                <w:rtl/>
              </w:rPr>
              <w:t xml:space="preserve">שימוש במכת"זית כאמור בסעיף (א), </w:t>
            </w:r>
            <w:r w:rsidRPr="00562AB4">
              <w:rPr>
                <w:rFonts w:hint="cs"/>
                <w:sz w:val="26"/>
                <w:rtl/>
              </w:rPr>
              <w:t xml:space="preserve">יתועד בתיעוד חזותי, כך שתתאפשר צפייה, ברזולוציה הולמת, ברגע </w:t>
            </w:r>
            <w:r>
              <w:rPr>
                <w:rFonts w:hint="cs"/>
                <w:sz w:val="26"/>
                <w:rtl/>
              </w:rPr>
              <w:t xml:space="preserve">הפעלת האמצעי; בסעיף זה, </w:t>
            </w:r>
            <w:r w:rsidRPr="00562AB4">
              <w:rPr>
                <w:rFonts w:hint="cs"/>
                <w:sz w:val="26"/>
                <w:rtl/>
              </w:rPr>
              <w:t xml:space="preserve">"תיעוד חזותי" </w:t>
            </w:r>
            <w:r w:rsidRPr="00562AB4">
              <w:rPr>
                <w:rFonts w:hint="eastAsia"/>
                <w:sz w:val="26"/>
                <w:rtl/>
              </w:rPr>
              <w:t>–</w:t>
            </w:r>
            <w:r w:rsidRPr="00562AB4">
              <w:rPr>
                <w:rFonts w:hint="cs"/>
                <w:sz w:val="26"/>
                <w:rtl/>
              </w:rPr>
              <w:t xml:space="preserve"> תיעוד בהקלטת תמונה וקול, בשילוב</w:t>
            </w:r>
            <w:r>
              <w:rPr>
                <w:rFonts w:hint="cs"/>
                <w:sz w:val="26"/>
                <w:rtl/>
              </w:rPr>
              <w:t>.</w:t>
            </w:r>
          </w:p>
        </w:tc>
      </w:tr>
      <w:tr w:rsidR="000275D0" w14:paraId="3ADACCE4" w14:textId="77777777" w:rsidTr="005B2306">
        <w:trPr>
          <w:cantSplit/>
        </w:trPr>
        <w:tc>
          <w:tcPr>
            <w:tcW w:w="1871" w:type="dxa"/>
          </w:tcPr>
          <w:p w14:paraId="3BA323AD" w14:textId="77777777" w:rsidR="000275D0" w:rsidRDefault="000275D0" w:rsidP="0057739C">
            <w:pPr>
              <w:pStyle w:val="TableSideHeading"/>
              <w:rPr>
                <w:rtl/>
              </w:rPr>
            </w:pPr>
          </w:p>
        </w:tc>
        <w:tc>
          <w:tcPr>
            <w:tcW w:w="624" w:type="dxa"/>
          </w:tcPr>
          <w:p w14:paraId="7C9C7CEF" w14:textId="77777777" w:rsidR="000275D0" w:rsidRDefault="000275D0" w:rsidP="0057739C">
            <w:pPr>
              <w:pStyle w:val="TableText"/>
              <w:jc w:val="both"/>
            </w:pPr>
          </w:p>
        </w:tc>
        <w:tc>
          <w:tcPr>
            <w:tcW w:w="624" w:type="dxa"/>
          </w:tcPr>
          <w:p w14:paraId="1A71DBE8" w14:textId="77777777" w:rsidR="000275D0" w:rsidRDefault="000275D0" w:rsidP="0057739C">
            <w:pPr>
              <w:pStyle w:val="TableText"/>
              <w:jc w:val="both"/>
            </w:pPr>
          </w:p>
        </w:tc>
        <w:tc>
          <w:tcPr>
            <w:tcW w:w="624" w:type="dxa"/>
          </w:tcPr>
          <w:p w14:paraId="1D0E0928" w14:textId="77777777" w:rsidR="000275D0" w:rsidRDefault="000275D0" w:rsidP="0057739C">
            <w:pPr>
              <w:pStyle w:val="TableText"/>
              <w:jc w:val="both"/>
            </w:pPr>
          </w:p>
        </w:tc>
        <w:tc>
          <w:tcPr>
            <w:tcW w:w="624" w:type="dxa"/>
          </w:tcPr>
          <w:p w14:paraId="3E820E03" w14:textId="77777777" w:rsidR="000275D0" w:rsidRDefault="000275D0" w:rsidP="0057739C">
            <w:pPr>
              <w:pStyle w:val="TableText"/>
              <w:jc w:val="both"/>
              <w:rPr>
                <w:rtl/>
              </w:rPr>
            </w:pPr>
          </w:p>
        </w:tc>
        <w:tc>
          <w:tcPr>
            <w:tcW w:w="624" w:type="dxa"/>
          </w:tcPr>
          <w:p w14:paraId="1E6051B3" w14:textId="77777777" w:rsidR="000275D0" w:rsidRDefault="000275D0" w:rsidP="0057739C">
            <w:pPr>
              <w:pStyle w:val="TableText"/>
              <w:jc w:val="both"/>
              <w:rPr>
                <w:rtl/>
              </w:rPr>
            </w:pPr>
          </w:p>
        </w:tc>
        <w:tc>
          <w:tcPr>
            <w:tcW w:w="4650" w:type="dxa"/>
          </w:tcPr>
          <w:p w14:paraId="702AF3E0" w14:textId="77777777" w:rsidR="000275D0" w:rsidRDefault="000275D0" w:rsidP="0057739C">
            <w:pPr>
              <w:pStyle w:val="TableBlock"/>
              <w:rPr>
                <w:rtl/>
              </w:rPr>
            </w:pPr>
            <w:r w:rsidRPr="00562AB4">
              <w:rPr>
                <w:rFonts w:hint="cs"/>
                <w:sz w:val="26"/>
                <w:rtl/>
              </w:rPr>
              <w:t>(</w:t>
            </w:r>
            <w:r>
              <w:rPr>
                <w:rFonts w:hint="cs"/>
                <w:sz w:val="26"/>
                <w:rtl/>
              </w:rPr>
              <w:t>ג</w:t>
            </w:r>
            <w:r w:rsidRPr="00562AB4">
              <w:rPr>
                <w:rFonts w:hint="cs"/>
                <w:sz w:val="26"/>
                <w:rtl/>
              </w:rPr>
              <w:t>)</w:t>
            </w:r>
            <w:r w:rsidRPr="00562AB4">
              <w:rPr>
                <w:sz w:val="26"/>
                <w:rtl/>
              </w:rPr>
              <w:tab/>
            </w:r>
            <w:r w:rsidRPr="00562AB4">
              <w:rPr>
                <w:rFonts w:hint="cs"/>
                <w:sz w:val="26"/>
                <w:rtl/>
              </w:rPr>
              <w:t>אדם הטוען כי נפגע או ניזוק מפעולת מכת"זית בהפגנה, רשאי לפנות למשטרה ולקבל ממנה את התיעוד החזותי.</w:t>
            </w:r>
          </w:p>
        </w:tc>
      </w:tr>
      <w:tr w:rsidR="000275D0" w14:paraId="41646DAB" w14:textId="77777777" w:rsidTr="005B2306">
        <w:trPr>
          <w:cantSplit/>
        </w:trPr>
        <w:tc>
          <w:tcPr>
            <w:tcW w:w="1871" w:type="dxa"/>
          </w:tcPr>
          <w:p w14:paraId="76F30BAF" w14:textId="77777777" w:rsidR="000275D0" w:rsidRDefault="000275D0" w:rsidP="0057739C">
            <w:pPr>
              <w:pStyle w:val="TableSideHeading"/>
              <w:rPr>
                <w:rtl/>
              </w:rPr>
            </w:pPr>
          </w:p>
        </w:tc>
        <w:tc>
          <w:tcPr>
            <w:tcW w:w="624" w:type="dxa"/>
          </w:tcPr>
          <w:p w14:paraId="65143601" w14:textId="77777777" w:rsidR="000275D0" w:rsidRDefault="000275D0" w:rsidP="0057739C">
            <w:pPr>
              <w:pStyle w:val="TableText"/>
              <w:jc w:val="both"/>
            </w:pPr>
          </w:p>
        </w:tc>
        <w:tc>
          <w:tcPr>
            <w:tcW w:w="624" w:type="dxa"/>
          </w:tcPr>
          <w:p w14:paraId="5368A0E6" w14:textId="77777777" w:rsidR="000275D0" w:rsidRDefault="000275D0" w:rsidP="0057739C">
            <w:pPr>
              <w:pStyle w:val="TableText"/>
              <w:jc w:val="both"/>
            </w:pPr>
          </w:p>
        </w:tc>
        <w:tc>
          <w:tcPr>
            <w:tcW w:w="624" w:type="dxa"/>
          </w:tcPr>
          <w:p w14:paraId="6FF17DE7" w14:textId="77777777" w:rsidR="000275D0" w:rsidRDefault="000275D0" w:rsidP="0057739C">
            <w:pPr>
              <w:pStyle w:val="TableText"/>
              <w:jc w:val="both"/>
            </w:pPr>
          </w:p>
        </w:tc>
        <w:tc>
          <w:tcPr>
            <w:tcW w:w="624" w:type="dxa"/>
          </w:tcPr>
          <w:p w14:paraId="1E780BC5" w14:textId="77777777" w:rsidR="000275D0" w:rsidRDefault="000275D0" w:rsidP="0057739C">
            <w:pPr>
              <w:pStyle w:val="TableText"/>
              <w:jc w:val="both"/>
              <w:rPr>
                <w:rtl/>
              </w:rPr>
            </w:pPr>
          </w:p>
        </w:tc>
        <w:tc>
          <w:tcPr>
            <w:tcW w:w="624" w:type="dxa"/>
          </w:tcPr>
          <w:p w14:paraId="7E6839FD" w14:textId="77777777" w:rsidR="000275D0" w:rsidRDefault="000275D0" w:rsidP="0057739C">
            <w:pPr>
              <w:pStyle w:val="TableText"/>
              <w:jc w:val="both"/>
              <w:rPr>
                <w:rtl/>
              </w:rPr>
            </w:pPr>
          </w:p>
        </w:tc>
        <w:tc>
          <w:tcPr>
            <w:tcW w:w="4650" w:type="dxa"/>
          </w:tcPr>
          <w:p w14:paraId="7F858C4D" w14:textId="77777777" w:rsidR="000275D0" w:rsidRDefault="000275D0" w:rsidP="0057739C">
            <w:pPr>
              <w:pStyle w:val="TableBlock"/>
              <w:rPr>
                <w:rtl/>
              </w:rPr>
            </w:pPr>
            <w:r w:rsidRPr="00562AB4">
              <w:rPr>
                <w:rFonts w:hint="cs"/>
                <w:sz w:val="26"/>
                <w:rtl/>
              </w:rPr>
              <w:t>(</w:t>
            </w:r>
            <w:r>
              <w:rPr>
                <w:rFonts w:hint="cs"/>
                <w:sz w:val="26"/>
                <w:rtl/>
              </w:rPr>
              <w:t>ד</w:t>
            </w:r>
            <w:r w:rsidRPr="00562AB4">
              <w:rPr>
                <w:rFonts w:hint="cs"/>
                <w:sz w:val="26"/>
                <w:rtl/>
              </w:rPr>
              <w:t>)</w:t>
            </w:r>
            <w:r w:rsidRPr="00562AB4">
              <w:rPr>
                <w:sz w:val="26"/>
                <w:rtl/>
              </w:rPr>
              <w:tab/>
            </w:r>
            <w:r w:rsidRPr="00562AB4">
              <w:rPr>
                <w:rFonts w:hint="cs"/>
                <w:sz w:val="26"/>
                <w:rtl/>
              </w:rPr>
              <w:t>התיעוד החזותי יועבר לפונה כאמור בסעיף (</w:t>
            </w:r>
            <w:r>
              <w:rPr>
                <w:rFonts w:hint="cs"/>
                <w:sz w:val="26"/>
                <w:rtl/>
              </w:rPr>
              <w:t>ג</w:t>
            </w:r>
            <w:r w:rsidRPr="00562AB4">
              <w:rPr>
                <w:rFonts w:hint="cs"/>
                <w:sz w:val="26"/>
                <w:rtl/>
              </w:rPr>
              <w:t>) בתוך שבוע מיום הפנייה</w:t>
            </w:r>
            <w:r w:rsidRPr="00562AB4">
              <w:rPr>
                <w:sz w:val="26"/>
                <w:rtl/>
              </w:rPr>
              <w:t>.</w:t>
            </w:r>
          </w:p>
        </w:tc>
      </w:tr>
      <w:tr w:rsidR="000275D0" w14:paraId="130446CE" w14:textId="77777777" w:rsidTr="005B2306">
        <w:trPr>
          <w:cantSplit/>
        </w:trPr>
        <w:tc>
          <w:tcPr>
            <w:tcW w:w="1871" w:type="dxa"/>
          </w:tcPr>
          <w:p w14:paraId="44D01129" w14:textId="77777777" w:rsidR="000275D0" w:rsidRDefault="000275D0" w:rsidP="0057739C">
            <w:pPr>
              <w:pStyle w:val="TableSideHeading"/>
              <w:rPr>
                <w:rtl/>
              </w:rPr>
            </w:pPr>
          </w:p>
        </w:tc>
        <w:tc>
          <w:tcPr>
            <w:tcW w:w="624" w:type="dxa"/>
          </w:tcPr>
          <w:p w14:paraId="7D2F3C24" w14:textId="77777777" w:rsidR="000275D0" w:rsidRDefault="000275D0" w:rsidP="0057739C">
            <w:pPr>
              <w:pStyle w:val="TableText"/>
              <w:jc w:val="both"/>
            </w:pPr>
          </w:p>
        </w:tc>
        <w:tc>
          <w:tcPr>
            <w:tcW w:w="624" w:type="dxa"/>
          </w:tcPr>
          <w:p w14:paraId="182320A6" w14:textId="77777777" w:rsidR="000275D0" w:rsidRDefault="000275D0" w:rsidP="0057739C">
            <w:pPr>
              <w:pStyle w:val="TableText"/>
              <w:jc w:val="both"/>
            </w:pPr>
          </w:p>
        </w:tc>
        <w:tc>
          <w:tcPr>
            <w:tcW w:w="624" w:type="dxa"/>
          </w:tcPr>
          <w:p w14:paraId="16A8459E" w14:textId="77777777" w:rsidR="000275D0" w:rsidRDefault="000275D0" w:rsidP="0057739C">
            <w:pPr>
              <w:pStyle w:val="TableText"/>
              <w:jc w:val="both"/>
            </w:pPr>
          </w:p>
        </w:tc>
        <w:tc>
          <w:tcPr>
            <w:tcW w:w="624" w:type="dxa"/>
          </w:tcPr>
          <w:p w14:paraId="5083728C" w14:textId="77777777" w:rsidR="000275D0" w:rsidRDefault="000275D0" w:rsidP="0057739C">
            <w:pPr>
              <w:pStyle w:val="TableText"/>
              <w:jc w:val="both"/>
              <w:rPr>
                <w:rtl/>
              </w:rPr>
            </w:pPr>
          </w:p>
        </w:tc>
        <w:tc>
          <w:tcPr>
            <w:tcW w:w="624" w:type="dxa"/>
          </w:tcPr>
          <w:p w14:paraId="5DCE4EE2" w14:textId="77777777" w:rsidR="000275D0" w:rsidRDefault="000275D0" w:rsidP="0057739C">
            <w:pPr>
              <w:pStyle w:val="TableText"/>
              <w:jc w:val="both"/>
              <w:rPr>
                <w:rtl/>
              </w:rPr>
            </w:pPr>
          </w:p>
        </w:tc>
        <w:tc>
          <w:tcPr>
            <w:tcW w:w="4650" w:type="dxa"/>
          </w:tcPr>
          <w:p w14:paraId="4EB50EC4" w14:textId="77777777" w:rsidR="000275D0" w:rsidRDefault="000275D0" w:rsidP="0057739C">
            <w:pPr>
              <w:pStyle w:val="TableBlock"/>
              <w:rPr>
                <w:rtl/>
              </w:rPr>
            </w:pPr>
            <w:r w:rsidRPr="00562AB4">
              <w:rPr>
                <w:rFonts w:hint="cs"/>
                <w:sz w:val="26"/>
                <w:rtl/>
              </w:rPr>
              <w:t>(</w:t>
            </w:r>
            <w:r>
              <w:rPr>
                <w:rFonts w:hint="cs"/>
                <w:sz w:val="26"/>
                <w:rtl/>
              </w:rPr>
              <w:t>ה</w:t>
            </w:r>
            <w:r w:rsidRPr="00562AB4">
              <w:rPr>
                <w:rFonts w:hint="cs"/>
                <w:sz w:val="26"/>
                <w:rtl/>
              </w:rPr>
              <w:t>)</w:t>
            </w:r>
            <w:r w:rsidRPr="00562AB4">
              <w:rPr>
                <w:sz w:val="26"/>
                <w:rtl/>
              </w:rPr>
              <w:tab/>
            </w:r>
            <w:r w:rsidRPr="00562AB4">
              <w:rPr>
                <w:rFonts w:hint="cs"/>
                <w:sz w:val="26"/>
                <w:rtl/>
              </w:rPr>
              <w:t>על אף האמור בסעיף (</w:t>
            </w:r>
            <w:r>
              <w:rPr>
                <w:rFonts w:hint="cs"/>
                <w:sz w:val="26"/>
                <w:rtl/>
              </w:rPr>
              <w:t>ד</w:t>
            </w:r>
            <w:r w:rsidRPr="00562AB4">
              <w:rPr>
                <w:rFonts w:hint="cs"/>
                <w:sz w:val="26"/>
                <w:rtl/>
              </w:rPr>
              <w:t>), ראתה המשטרה שהעברת התיעוד החזותי עלולה לפגוע בחקירה, בביטחון המדינה או בשלום הציבור, רשאית המשטרה לפנות לבית המשפט לשם עיכוב העברת התיעוד עד להסרת המניעה.</w:t>
            </w:r>
          </w:p>
        </w:tc>
      </w:tr>
      <w:tr w:rsidR="000275D0" w14:paraId="5E5A04BB" w14:textId="77777777" w:rsidTr="005B2306">
        <w:trPr>
          <w:cantSplit/>
        </w:trPr>
        <w:tc>
          <w:tcPr>
            <w:tcW w:w="1871" w:type="dxa"/>
          </w:tcPr>
          <w:p w14:paraId="261CF8E5" w14:textId="77777777" w:rsidR="000275D0" w:rsidRDefault="000275D0" w:rsidP="0057739C">
            <w:pPr>
              <w:pStyle w:val="TableSideHeading"/>
              <w:rPr>
                <w:rtl/>
              </w:rPr>
            </w:pPr>
          </w:p>
        </w:tc>
        <w:tc>
          <w:tcPr>
            <w:tcW w:w="624" w:type="dxa"/>
          </w:tcPr>
          <w:p w14:paraId="40853B8A" w14:textId="77777777" w:rsidR="000275D0" w:rsidRDefault="000275D0" w:rsidP="0057739C">
            <w:pPr>
              <w:pStyle w:val="TableText"/>
              <w:jc w:val="both"/>
            </w:pPr>
          </w:p>
        </w:tc>
        <w:tc>
          <w:tcPr>
            <w:tcW w:w="624" w:type="dxa"/>
          </w:tcPr>
          <w:p w14:paraId="5249E883" w14:textId="77777777" w:rsidR="000275D0" w:rsidRDefault="000275D0" w:rsidP="0057739C">
            <w:pPr>
              <w:pStyle w:val="TableText"/>
              <w:jc w:val="both"/>
            </w:pPr>
          </w:p>
        </w:tc>
        <w:tc>
          <w:tcPr>
            <w:tcW w:w="624" w:type="dxa"/>
          </w:tcPr>
          <w:p w14:paraId="7869B916" w14:textId="77777777" w:rsidR="000275D0" w:rsidRDefault="000275D0" w:rsidP="0057739C">
            <w:pPr>
              <w:pStyle w:val="TableText"/>
              <w:jc w:val="both"/>
            </w:pPr>
          </w:p>
        </w:tc>
        <w:tc>
          <w:tcPr>
            <w:tcW w:w="624" w:type="dxa"/>
          </w:tcPr>
          <w:p w14:paraId="0AEE767C" w14:textId="77777777" w:rsidR="000275D0" w:rsidRDefault="000275D0" w:rsidP="0057739C">
            <w:pPr>
              <w:pStyle w:val="TableText"/>
              <w:jc w:val="both"/>
              <w:rPr>
                <w:rtl/>
              </w:rPr>
            </w:pPr>
          </w:p>
        </w:tc>
        <w:tc>
          <w:tcPr>
            <w:tcW w:w="624" w:type="dxa"/>
          </w:tcPr>
          <w:p w14:paraId="79441F54" w14:textId="77777777" w:rsidR="000275D0" w:rsidRDefault="000275D0" w:rsidP="0057739C">
            <w:pPr>
              <w:pStyle w:val="TableText"/>
              <w:jc w:val="both"/>
              <w:rPr>
                <w:rtl/>
              </w:rPr>
            </w:pPr>
          </w:p>
        </w:tc>
        <w:tc>
          <w:tcPr>
            <w:tcW w:w="4650" w:type="dxa"/>
          </w:tcPr>
          <w:p w14:paraId="4572C0C4" w14:textId="6E82179E" w:rsidR="000275D0" w:rsidRDefault="000275D0" w:rsidP="0015185A">
            <w:pPr>
              <w:pStyle w:val="TableBlock"/>
              <w:rPr>
                <w:rtl/>
              </w:rPr>
            </w:pPr>
            <w:r w:rsidRPr="00562AB4">
              <w:rPr>
                <w:rFonts w:hint="cs"/>
                <w:sz w:val="26"/>
                <w:rtl/>
              </w:rPr>
              <w:t>(</w:t>
            </w:r>
            <w:r>
              <w:rPr>
                <w:rFonts w:hint="cs"/>
                <w:sz w:val="26"/>
                <w:rtl/>
              </w:rPr>
              <w:t>ו</w:t>
            </w:r>
            <w:r w:rsidRPr="00562AB4">
              <w:rPr>
                <w:rFonts w:hint="cs"/>
                <w:sz w:val="26"/>
                <w:rtl/>
              </w:rPr>
              <w:t>)</w:t>
            </w:r>
            <w:r w:rsidRPr="00562AB4">
              <w:rPr>
                <w:sz w:val="26"/>
                <w:rtl/>
              </w:rPr>
              <w:tab/>
            </w:r>
            <w:r w:rsidRPr="00562AB4">
              <w:rPr>
                <w:rFonts w:hint="cs"/>
                <w:sz w:val="26"/>
                <w:rtl/>
              </w:rPr>
              <w:t>תיעוד חזותי כאמור בסעיף (</w:t>
            </w:r>
            <w:r>
              <w:rPr>
                <w:rFonts w:hint="cs"/>
                <w:sz w:val="26"/>
                <w:rtl/>
              </w:rPr>
              <w:t>ב</w:t>
            </w:r>
            <w:r w:rsidRPr="00562AB4">
              <w:rPr>
                <w:rFonts w:hint="cs"/>
                <w:sz w:val="26"/>
                <w:rtl/>
              </w:rPr>
              <w:t xml:space="preserve">) יישמר במשך </w:t>
            </w:r>
            <w:r w:rsidR="0015185A">
              <w:rPr>
                <w:rFonts w:hint="cs"/>
                <w:sz w:val="26"/>
                <w:rtl/>
              </w:rPr>
              <w:t>שלוש</w:t>
            </w:r>
            <w:r w:rsidRPr="00562AB4">
              <w:rPr>
                <w:rFonts w:hint="cs"/>
                <w:sz w:val="26"/>
                <w:rtl/>
              </w:rPr>
              <w:t xml:space="preserve"> שנים.</w:t>
            </w:r>
            <w:r>
              <w:rPr>
                <w:rFonts w:hint="cs"/>
                <w:sz w:val="26"/>
                <w:rtl/>
              </w:rPr>
              <w:t>"</w:t>
            </w:r>
          </w:p>
        </w:tc>
      </w:tr>
      <w:tr w:rsidR="002F1D80" w14:paraId="3D9B61D1" w14:textId="77777777" w:rsidTr="000275D0">
        <w:trPr>
          <w:cantSplit/>
          <w:trHeight w:val="60"/>
        </w:trPr>
        <w:tc>
          <w:tcPr>
            <w:tcW w:w="1871" w:type="dxa"/>
          </w:tcPr>
          <w:p w14:paraId="6C0CB9D8" w14:textId="77777777" w:rsidR="002F1D80" w:rsidRDefault="002F1D80" w:rsidP="002C3041">
            <w:pPr>
              <w:pStyle w:val="TableSideHeading"/>
              <w:keepLines w:val="0"/>
            </w:pPr>
          </w:p>
        </w:tc>
        <w:tc>
          <w:tcPr>
            <w:tcW w:w="624" w:type="dxa"/>
          </w:tcPr>
          <w:p w14:paraId="3F4286A2" w14:textId="77777777" w:rsidR="002F1D80" w:rsidRDefault="002F1D80" w:rsidP="002C3041">
            <w:pPr>
              <w:pStyle w:val="TableText"/>
              <w:keepLines w:val="0"/>
            </w:pPr>
          </w:p>
        </w:tc>
        <w:tc>
          <w:tcPr>
            <w:tcW w:w="7146" w:type="dxa"/>
            <w:gridSpan w:val="5"/>
          </w:tcPr>
          <w:p w14:paraId="7633D5BB" w14:textId="77777777" w:rsidR="002F1D80" w:rsidRPr="00C34DE2" w:rsidRDefault="002F1D80" w:rsidP="002C3041">
            <w:pPr>
              <w:pStyle w:val="TableBlock"/>
              <w:keepLines w:val="0"/>
            </w:pPr>
          </w:p>
        </w:tc>
      </w:tr>
    </w:tbl>
    <w:p w14:paraId="7F6961CA" w14:textId="77777777" w:rsidR="002D1EE3" w:rsidRDefault="002D1EE3" w:rsidP="002D1EE3">
      <w:pPr>
        <w:pStyle w:val="HeadDivreiHesber"/>
        <w:rPr>
          <w:rtl/>
        </w:rPr>
      </w:pPr>
      <w:r w:rsidRPr="0027450A">
        <w:rPr>
          <w:rFonts w:hint="cs"/>
          <w:rtl/>
        </w:rPr>
        <w:lastRenderedPageBreak/>
        <w:t>דברי הסבר</w:t>
      </w:r>
    </w:p>
    <w:p w14:paraId="6932984C" w14:textId="77777777" w:rsidR="000275D0" w:rsidRPr="000B2A63" w:rsidRDefault="000275D0" w:rsidP="000275D0">
      <w:pPr>
        <w:pStyle w:val="Hesber1st"/>
        <w:tabs>
          <w:tab w:val="clear" w:pos="680"/>
          <w:tab w:val="clear" w:pos="1020"/>
        </w:tabs>
        <w:ind w:firstLine="340"/>
        <w:rPr>
          <w:rtl/>
        </w:rPr>
      </w:pPr>
      <w:r w:rsidRPr="00075A78">
        <w:rPr>
          <w:rtl/>
        </w:rPr>
        <w:t xml:space="preserve">בשנים האחרונות משטרת ישראל משתמשת </w:t>
      </w:r>
      <w:r w:rsidRPr="00075A78">
        <w:rPr>
          <w:rFonts w:hint="eastAsia"/>
          <w:rtl/>
        </w:rPr>
        <w:t>ב</w:t>
      </w:r>
      <w:r w:rsidRPr="00075A78">
        <w:rPr>
          <w:rtl/>
        </w:rPr>
        <w:t xml:space="preserve">מכונית להתזת מים לפיזור הפגנות (להלן </w:t>
      </w:r>
      <w:r w:rsidRPr="00075A78">
        <w:rPr>
          <w:rFonts w:hint="eastAsia"/>
          <w:rtl/>
        </w:rPr>
        <w:t>–</w:t>
      </w:r>
      <w:r w:rsidRPr="00075A78">
        <w:rPr>
          <w:rtl/>
        </w:rPr>
        <w:t xml:space="preserve"> מכת"זית) בתדירות גבוהה</w:t>
      </w:r>
      <w:r w:rsidRPr="000B2A63">
        <w:rPr>
          <w:rtl/>
        </w:rPr>
        <w:t>.</w:t>
      </w:r>
    </w:p>
    <w:p w14:paraId="55098508" w14:textId="77777777" w:rsidR="000275D0" w:rsidRPr="00D41B97" w:rsidRDefault="000275D0" w:rsidP="000275D0">
      <w:pPr>
        <w:pStyle w:val="Hesber"/>
        <w:rPr>
          <w:rtl/>
        </w:rPr>
      </w:pPr>
      <w:r w:rsidRPr="00D41B97">
        <w:rPr>
          <w:rtl/>
        </w:rPr>
        <w:t>למרות שנהלי המשטרה מסדירים את הפעלת המכת"זית</w:t>
      </w:r>
      <w:r>
        <w:rPr>
          <w:rFonts w:hint="cs"/>
          <w:rtl/>
        </w:rPr>
        <w:t>, לרבות השימוש</w:t>
      </w:r>
      <w:r w:rsidRPr="00D41B97">
        <w:rPr>
          <w:rtl/>
        </w:rPr>
        <w:t xml:space="preserve"> באופן מידתי כדי לא לפגוע בחפים מפשע, </w:t>
      </w:r>
      <w:r w:rsidRPr="00D41B97">
        <w:rPr>
          <w:rFonts w:hint="eastAsia"/>
          <w:rtl/>
        </w:rPr>
        <w:t>מתיעודים</w:t>
      </w:r>
      <w:r w:rsidRPr="00D41B97">
        <w:rPr>
          <w:rtl/>
        </w:rPr>
        <w:t xml:space="preserve"> רבים </w:t>
      </w:r>
      <w:r w:rsidRPr="00D41B97">
        <w:rPr>
          <w:rFonts w:hint="eastAsia"/>
          <w:rtl/>
        </w:rPr>
        <w:t>עולה</w:t>
      </w:r>
      <w:r w:rsidRPr="00D41B97">
        <w:rPr>
          <w:rtl/>
        </w:rPr>
        <w:t xml:space="preserve"> כי לעיתים קרובות השוטרים לא פועלים בהתאם לנהלים ופוגעים פגיעה קשה ובלתי מידתית במפגינים ובעוברי אורח בלתי מעורבים שעברו לתומם ברחוב </w:t>
      </w:r>
      <w:r>
        <w:rPr>
          <w:rFonts w:hint="cs"/>
          <w:rtl/>
        </w:rPr>
        <w:t>ו</w:t>
      </w:r>
      <w:r w:rsidRPr="00D41B97">
        <w:rPr>
          <w:rtl/>
        </w:rPr>
        <w:t>אף בקשישים וילדים.</w:t>
      </w:r>
    </w:p>
    <w:p w14:paraId="6941738C" w14:textId="77777777" w:rsidR="000275D0" w:rsidRPr="00D41B97" w:rsidRDefault="000275D0" w:rsidP="000275D0">
      <w:pPr>
        <w:pStyle w:val="Hesber"/>
        <w:rPr>
          <w:rtl/>
        </w:rPr>
      </w:pPr>
      <w:r w:rsidRPr="00D41B97">
        <w:rPr>
          <w:rtl/>
        </w:rPr>
        <w:t xml:space="preserve">בנוסף, במקרים רבים המשטרה משתמשת בנוזל עם </w:t>
      </w:r>
      <w:r w:rsidRPr="00D41B97">
        <w:rPr>
          <w:rFonts w:hint="eastAsia"/>
          <w:rtl/>
        </w:rPr>
        <w:t>צבע</w:t>
      </w:r>
      <w:r w:rsidRPr="00D41B97">
        <w:rPr>
          <w:rtl/>
        </w:rPr>
        <w:t xml:space="preserve"> </w:t>
      </w:r>
      <w:r w:rsidRPr="00D41B97">
        <w:rPr>
          <w:rFonts w:hint="eastAsia"/>
          <w:rtl/>
        </w:rPr>
        <w:t>ו</w:t>
      </w:r>
      <w:r w:rsidRPr="00D41B97">
        <w:rPr>
          <w:rtl/>
        </w:rPr>
        <w:t>ריח רע, 'בואש', שמותז בניגוד להנחיות גם לעבר בתים וחצרות, כאשר הריח נותר באוויר במשך ימים רבים ופוגע באלפי תושבים חפים מפשע.</w:t>
      </w:r>
    </w:p>
    <w:p w14:paraId="0EFAB46E" w14:textId="08E668CF" w:rsidR="000275D0" w:rsidRPr="00D41B97" w:rsidRDefault="000275D0" w:rsidP="0015185A">
      <w:pPr>
        <w:pStyle w:val="Hesber"/>
        <w:rPr>
          <w:rtl/>
        </w:rPr>
      </w:pPr>
      <w:r w:rsidRPr="00D41B97">
        <w:rPr>
          <w:rtl/>
        </w:rPr>
        <w:t xml:space="preserve">  לאור האמור, מוצע לקבוע בחוק שכל הפעלת מכת"זית תבוצע באמצעות מים נקיים בלבד ללא שום תוספת של חומר כצבע וריח, </w:t>
      </w:r>
      <w:r w:rsidRPr="00D41B97">
        <w:rPr>
          <w:rFonts w:hint="eastAsia"/>
          <w:rtl/>
        </w:rPr>
        <w:t>ובעת</w:t>
      </w:r>
      <w:r w:rsidRPr="00D41B97">
        <w:rPr>
          <w:rtl/>
        </w:rPr>
        <w:t xml:space="preserve"> ההפעלה תופעל באופן אוטומטי מצלמת וידאו שתתעד את פעולת ההתזה. </w:t>
      </w:r>
      <w:r w:rsidRPr="00D41B97">
        <w:rPr>
          <w:rFonts w:hint="eastAsia"/>
          <w:rtl/>
        </w:rPr>
        <w:t>ה</w:t>
      </w:r>
      <w:r w:rsidRPr="00D41B97">
        <w:rPr>
          <w:rtl/>
        </w:rPr>
        <w:t xml:space="preserve">תיעוד יישמר במשטרה במשך </w:t>
      </w:r>
      <w:r w:rsidR="0015185A">
        <w:rPr>
          <w:rFonts w:hint="cs"/>
          <w:rtl/>
        </w:rPr>
        <w:t>שלוש</w:t>
      </w:r>
      <w:r w:rsidRPr="00D41B97">
        <w:rPr>
          <w:rtl/>
        </w:rPr>
        <w:t xml:space="preserve"> שנים מיום האירוע.</w:t>
      </w:r>
    </w:p>
    <w:p w14:paraId="42E88906" w14:textId="77777777" w:rsidR="000275D0" w:rsidRPr="00D41B97" w:rsidRDefault="000275D0" w:rsidP="000275D0">
      <w:pPr>
        <w:pStyle w:val="Hesber"/>
        <w:rPr>
          <w:rtl/>
        </w:rPr>
      </w:pPr>
      <w:r>
        <w:rPr>
          <w:rFonts w:hint="cs"/>
          <w:rtl/>
        </w:rPr>
        <w:t xml:space="preserve">עוד מוצע לקבוע כי </w:t>
      </w:r>
      <w:r w:rsidRPr="00D41B97">
        <w:rPr>
          <w:rtl/>
        </w:rPr>
        <w:t xml:space="preserve">אדם </w:t>
      </w:r>
      <w:r>
        <w:rPr>
          <w:rFonts w:hint="cs"/>
          <w:rtl/>
        </w:rPr>
        <w:t>ה</w:t>
      </w:r>
      <w:r w:rsidRPr="00D41B97">
        <w:rPr>
          <w:rtl/>
        </w:rPr>
        <w:t>טוען שהוא ניזוק מהפעלת המכת"זית, יוכל לדרוש מהמשטרה את צילום הו</w:t>
      </w:r>
      <w:r>
        <w:rPr>
          <w:rFonts w:hint="cs"/>
          <w:rtl/>
        </w:rPr>
        <w:t>ו</w:t>
      </w:r>
      <w:r w:rsidRPr="00D41B97">
        <w:rPr>
          <w:rtl/>
        </w:rPr>
        <w:t>ידאו, כך שבמקרה בו המשטרה לא פעלה כדין, יהיה ניתן להגיש תלונה למח"ש וכן תביעת נזיקין לבית המשפט.</w:t>
      </w:r>
    </w:p>
    <w:p w14:paraId="6DDD7355" w14:textId="77777777" w:rsidR="000275D0" w:rsidRPr="00D41B97" w:rsidRDefault="000275D0" w:rsidP="000275D0">
      <w:pPr>
        <w:pStyle w:val="Hesber"/>
        <w:rPr>
          <w:rtl/>
        </w:rPr>
      </w:pPr>
      <w:r w:rsidRPr="00D41B97">
        <w:rPr>
          <w:rtl/>
        </w:rPr>
        <w:t>עוד מוצע לקבוע שתיעוד הווידאו יועבר למבקש בתוך שבוע, כאשר במקרים חריגים בהם יש חשש לפגיעה בחקירה, בביטחון הציבור או בביטחון המדינה, תוכל המשטרה לבקש מבית המשפט לעכב את העברת התיעוד עד לאחר הסרת החשש.</w:t>
      </w:r>
    </w:p>
    <w:p w14:paraId="639E8102" w14:textId="71812B58" w:rsidR="000275D0" w:rsidRPr="00E83E16" w:rsidRDefault="000275D0" w:rsidP="00C2452E">
      <w:pPr>
        <w:pStyle w:val="Hesber"/>
        <w:rPr>
          <w:rtl/>
        </w:rPr>
      </w:pPr>
      <w:r w:rsidRPr="00E83E16">
        <w:rPr>
          <w:rFonts w:hint="eastAsia"/>
          <w:rtl/>
        </w:rPr>
        <w:t>הצעות</w:t>
      </w:r>
      <w:r w:rsidRPr="00E83E16">
        <w:rPr>
          <w:rtl/>
        </w:rPr>
        <w:t xml:space="preserve"> </w:t>
      </w:r>
      <w:r w:rsidRPr="00E83E16">
        <w:rPr>
          <w:rFonts w:hint="eastAsia"/>
          <w:rtl/>
        </w:rPr>
        <w:t>חוק</w:t>
      </w:r>
      <w:r w:rsidRPr="00E83E16">
        <w:rPr>
          <w:rtl/>
        </w:rPr>
        <w:t xml:space="preserve"> </w:t>
      </w:r>
      <w:r w:rsidRPr="00E83E16">
        <w:rPr>
          <w:rFonts w:hint="eastAsia"/>
          <w:rtl/>
        </w:rPr>
        <w:t>דומות</w:t>
      </w:r>
      <w:r w:rsidRPr="00E83E16">
        <w:rPr>
          <w:rtl/>
        </w:rPr>
        <w:t xml:space="preserve"> </w:t>
      </w:r>
      <w:r w:rsidRPr="00E83E16">
        <w:rPr>
          <w:rFonts w:hint="eastAsia"/>
          <w:rtl/>
        </w:rPr>
        <w:t>בעיקרן</w:t>
      </w:r>
      <w:r w:rsidRPr="00E83E16">
        <w:rPr>
          <w:rtl/>
        </w:rPr>
        <w:t xml:space="preserve"> </w:t>
      </w:r>
      <w:r w:rsidRPr="00E83E16">
        <w:rPr>
          <w:rFonts w:hint="eastAsia"/>
          <w:rtl/>
        </w:rPr>
        <w:t>הונחו</w:t>
      </w:r>
      <w:r w:rsidRPr="00E83E16">
        <w:rPr>
          <w:rtl/>
        </w:rPr>
        <w:t xml:space="preserve"> </w:t>
      </w:r>
      <w:r w:rsidRPr="00E83E16">
        <w:rPr>
          <w:rFonts w:hint="eastAsia"/>
          <w:rtl/>
        </w:rPr>
        <w:t>על</w:t>
      </w:r>
      <w:r w:rsidRPr="00E83E16">
        <w:rPr>
          <w:rtl/>
        </w:rPr>
        <w:t xml:space="preserve"> </w:t>
      </w:r>
      <w:r w:rsidRPr="00E83E16">
        <w:rPr>
          <w:rFonts w:hint="eastAsia"/>
          <w:rtl/>
        </w:rPr>
        <w:t>שולחן</w:t>
      </w:r>
      <w:r w:rsidRPr="00E83E16">
        <w:rPr>
          <w:rtl/>
        </w:rPr>
        <w:t xml:space="preserve"> </w:t>
      </w:r>
      <w:r w:rsidRPr="00E83E16">
        <w:rPr>
          <w:rFonts w:hint="eastAsia"/>
          <w:rtl/>
        </w:rPr>
        <w:t>הכנסת</w:t>
      </w:r>
      <w:r w:rsidRPr="00E83E16">
        <w:rPr>
          <w:rtl/>
        </w:rPr>
        <w:t xml:space="preserve"> </w:t>
      </w:r>
      <w:r w:rsidRPr="00BD666B">
        <w:rPr>
          <w:rFonts w:hint="eastAsia"/>
          <w:rtl/>
        </w:rPr>
        <w:t>העשרים</w:t>
      </w:r>
      <w:r w:rsidRPr="00BD666B">
        <w:rPr>
          <w:rtl/>
        </w:rPr>
        <w:t xml:space="preserve"> וארבע על ידי חבר הכנסת אורי </w:t>
      </w:r>
      <w:r w:rsidRPr="00BD666B">
        <w:rPr>
          <w:rFonts w:hint="eastAsia"/>
          <w:rtl/>
        </w:rPr>
        <w:t>מקלב</w:t>
      </w:r>
      <w:r w:rsidRPr="00BD666B">
        <w:rPr>
          <w:rtl/>
        </w:rPr>
        <w:t xml:space="preserve"> וקבוצת חברי הכנסת (פ/3041/24)</w:t>
      </w:r>
      <w:r w:rsidR="00D45C6E">
        <w:rPr>
          <w:rFonts w:hint="cs"/>
          <w:rtl/>
        </w:rPr>
        <w:t>,</w:t>
      </w:r>
      <w:r w:rsidR="00D45C6E" w:rsidRPr="00D45C6E">
        <w:rPr>
          <w:rtl/>
        </w:rPr>
        <w:t xml:space="preserve"> </w:t>
      </w:r>
      <w:r w:rsidRPr="00BD666B">
        <w:rPr>
          <w:rtl/>
        </w:rPr>
        <w:t xml:space="preserve">ועל שולחן </w:t>
      </w:r>
      <w:r w:rsidRPr="00BD666B">
        <w:rPr>
          <w:rFonts w:hint="eastAsia"/>
          <w:rtl/>
        </w:rPr>
        <w:t>הכנסת</w:t>
      </w:r>
      <w:r w:rsidRPr="00BD666B">
        <w:rPr>
          <w:rtl/>
        </w:rPr>
        <w:t xml:space="preserve"> </w:t>
      </w:r>
      <w:r w:rsidRPr="00E83E16">
        <w:rPr>
          <w:rFonts w:hint="eastAsia"/>
          <w:rtl/>
        </w:rPr>
        <w:t>העשרים</w:t>
      </w:r>
      <w:r w:rsidRPr="00E83E16">
        <w:rPr>
          <w:rtl/>
        </w:rPr>
        <w:t xml:space="preserve"> </w:t>
      </w:r>
      <w:r w:rsidRPr="00E83E16">
        <w:rPr>
          <w:rFonts w:hint="eastAsia"/>
          <w:rtl/>
        </w:rPr>
        <w:t>וחמש</w:t>
      </w:r>
      <w:r w:rsidRPr="00E83E16">
        <w:rPr>
          <w:rtl/>
        </w:rPr>
        <w:t xml:space="preserve"> </w:t>
      </w:r>
      <w:r w:rsidRPr="00E83E16">
        <w:rPr>
          <w:rFonts w:hint="eastAsia"/>
          <w:rtl/>
        </w:rPr>
        <w:t>על</w:t>
      </w:r>
      <w:r w:rsidRPr="00E83E16">
        <w:rPr>
          <w:rtl/>
        </w:rPr>
        <w:t xml:space="preserve"> </w:t>
      </w:r>
      <w:r w:rsidRPr="00E83E16">
        <w:rPr>
          <w:rFonts w:hint="eastAsia"/>
          <w:rtl/>
        </w:rPr>
        <w:t>ידי</w:t>
      </w:r>
      <w:r w:rsidRPr="00E83E16">
        <w:rPr>
          <w:rtl/>
        </w:rPr>
        <w:t xml:space="preserve"> </w:t>
      </w:r>
      <w:r w:rsidRPr="00E83E16">
        <w:rPr>
          <w:rFonts w:hint="eastAsia"/>
          <w:rtl/>
        </w:rPr>
        <w:t>חבר</w:t>
      </w:r>
      <w:r w:rsidRPr="00E83E16">
        <w:rPr>
          <w:rtl/>
        </w:rPr>
        <w:t xml:space="preserve"> </w:t>
      </w:r>
      <w:r w:rsidRPr="00E83E16">
        <w:rPr>
          <w:rFonts w:hint="eastAsia"/>
          <w:rtl/>
        </w:rPr>
        <w:t>הכנסת</w:t>
      </w:r>
      <w:r w:rsidRPr="00E83E16">
        <w:rPr>
          <w:rtl/>
        </w:rPr>
        <w:t xml:space="preserve"> </w:t>
      </w:r>
      <w:r w:rsidRPr="00E83E16">
        <w:rPr>
          <w:rFonts w:hint="eastAsia"/>
          <w:rtl/>
        </w:rPr>
        <w:t>אחמד</w:t>
      </w:r>
      <w:r w:rsidRPr="00E83E16">
        <w:rPr>
          <w:rtl/>
        </w:rPr>
        <w:t xml:space="preserve"> </w:t>
      </w:r>
      <w:r w:rsidRPr="00E83E16">
        <w:rPr>
          <w:rFonts w:hint="eastAsia"/>
          <w:rtl/>
        </w:rPr>
        <w:t>טיבי</w:t>
      </w:r>
      <w:r w:rsidRPr="00E83E16">
        <w:rPr>
          <w:rtl/>
        </w:rPr>
        <w:t xml:space="preserve"> (פ/333/25), </w:t>
      </w:r>
      <w:r w:rsidRPr="00E83E16">
        <w:rPr>
          <w:rFonts w:hint="eastAsia"/>
          <w:rtl/>
        </w:rPr>
        <w:t>על</w:t>
      </w:r>
      <w:r w:rsidRPr="00E83E16">
        <w:rPr>
          <w:rtl/>
        </w:rPr>
        <w:t xml:space="preserve"> </w:t>
      </w:r>
      <w:r w:rsidRPr="00E83E16">
        <w:rPr>
          <w:rFonts w:hint="eastAsia"/>
          <w:rtl/>
        </w:rPr>
        <w:t>ידי</w:t>
      </w:r>
      <w:r w:rsidRPr="00E83E16">
        <w:rPr>
          <w:rtl/>
        </w:rPr>
        <w:t xml:space="preserve"> </w:t>
      </w:r>
      <w:r w:rsidRPr="00E83E16">
        <w:rPr>
          <w:rFonts w:hint="eastAsia"/>
          <w:rtl/>
        </w:rPr>
        <w:t>חבר</w:t>
      </w:r>
      <w:r w:rsidRPr="00E83E16">
        <w:rPr>
          <w:rtl/>
        </w:rPr>
        <w:t xml:space="preserve"> </w:t>
      </w:r>
      <w:r w:rsidRPr="00E83E16">
        <w:rPr>
          <w:rFonts w:hint="eastAsia"/>
          <w:rtl/>
        </w:rPr>
        <w:t>הכנסת</w:t>
      </w:r>
      <w:r w:rsidRPr="00E83E16">
        <w:rPr>
          <w:rtl/>
        </w:rPr>
        <w:t xml:space="preserve"> </w:t>
      </w:r>
      <w:r w:rsidRPr="00BD666B">
        <w:rPr>
          <w:rFonts w:hint="eastAsia"/>
          <w:rtl/>
        </w:rPr>
        <w:t>אורי</w:t>
      </w:r>
      <w:r w:rsidRPr="00BD666B">
        <w:rPr>
          <w:rtl/>
        </w:rPr>
        <w:t xml:space="preserve"> </w:t>
      </w:r>
      <w:r w:rsidRPr="00BD666B">
        <w:rPr>
          <w:rFonts w:hint="eastAsia"/>
          <w:rtl/>
        </w:rPr>
        <w:t>מקלב</w:t>
      </w:r>
      <w:r w:rsidRPr="00E83E16">
        <w:rPr>
          <w:rtl/>
        </w:rPr>
        <w:t xml:space="preserve"> </w:t>
      </w:r>
      <w:r w:rsidRPr="00E83E16">
        <w:rPr>
          <w:rFonts w:hint="eastAsia"/>
          <w:rtl/>
        </w:rPr>
        <w:t>וקבוצת</w:t>
      </w:r>
      <w:r w:rsidRPr="00E83E16">
        <w:rPr>
          <w:rtl/>
        </w:rPr>
        <w:t xml:space="preserve"> </w:t>
      </w:r>
      <w:r w:rsidRPr="00E83E16">
        <w:rPr>
          <w:rFonts w:hint="eastAsia"/>
          <w:rtl/>
        </w:rPr>
        <w:t>חברי</w:t>
      </w:r>
      <w:r w:rsidRPr="00E83E16">
        <w:rPr>
          <w:rtl/>
        </w:rPr>
        <w:t xml:space="preserve"> </w:t>
      </w:r>
      <w:r w:rsidRPr="00E83E16">
        <w:rPr>
          <w:rFonts w:hint="eastAsia"/>
          <w:rtl/>
        </w:rPr>
        <w:t>הכנסת</w:t>
      </w:r>
      <w:r w:rsidRPr="00E83E16">
        <w:rPr>
          <w:rtl/>
        </w:rPr>
        <w:t xml:space="preserve"> (פ/335/25), </w:t>
      </w:r>
      <w:r w:rsidRPr="00E83E16">
        <w:rPr>
          <w:rFonts w:hint="eastAsia"/>
          <w:rtl/>
        </w:rPr>
        <w:t>על</w:t>
      </w:r>
      <w:r w:rsidRPr="00E83E16">
        <w:rPr>
          <w:rtl/>
        </w:rPr>
        <w:t xml:space="preserve"> </w:t>
      </w:r>
      <w:r w:rsidRPr="00E83E16">
        <w:rPr>
          <w:rFonts w:hint="eastAsia"/>
          <w:rtl/>
        </w:rPr>
        <w:t>ידי</w:t>
      </w:r>
      <w:r w:rsidRPr="00E83E16">
        <w:rPr>
          <w:rtl/>
        </w:rPr>
        <w:t xml:space="preserve"> </w:t>
      </w:r>
      <w:r w:rsidRPr="00E83E16">
        <w:rPr>
          <w:rFonts w:hint="eastAsia"/>
          <w:rtl/>
        </w:rPr>
        <w:t>חבר</w:t>
      </w:r>
      <w:r w:rsidRPr="00BD666B">
        <w:rPr>
          <w:rFonts w:hint="eastAsia"/>
          <w:rtl/>
        </w:rPr>
        <w:t>י</w:t>
      </w:r>
      <w:r w:rsidRPr="00E83E16">
        <w:rPr>
          <w:rtl/>
        </w:rPr>
        <w:t xml:space="preserve"> </w:t>
      </w:r>
      <w:r w:rsidRPr="00E83E16">
        <w:rPr>
          <w:rFonts w:hint="eastAsia"/>
          <w:rtl/>
        </w:rPr>
        <w:t>הכנסת</w:t>
      </w:r>
      <w:r w:rsidRPr="00E83E16">
        <w:rPr>
          <w:rtl/>
        </w:rPr>
        <w:t xml:space="preserve"> </w:t>
      </w:r>
      <w:r w:rsidRPr="00E83E16">
        <w:rPr>
          <w:rFonts w:hint="eastAsia"/>
          <w:rtl/>
        </w:rPr>
        <w:t>נעמה</w:t>
      </w:r>
      <w:r w:rsidRPr="00E83E16">
        <w:rPr>
          <w:rtl/>
        </w:rPr>
        <w:t xml:space="preserve"> </w:t>
      </w:r>
      <w:r w:rsidRPr="00E83E16">
        <w:rPr>
          <w:rFonts w:hint="eastAsia"/>
          <w:rtl/>
        </w:rPr>
        <w:t>לזימי</w:t>
      </w:r>
      <w:r w:rsidRPr="00E83E16">
        <w:rPr>
          <w:rtl/>
        </w:rPr>
        <w:t xml:space="preserve"> </w:t>
      </w:r>
      <w:r w:rsidRPr="00BD666B">
        <w:rPr>
          <w:rFonts w:hint="eastAsia"/>
          <w:rtl/>
        </w:rPr>
        <w:t>ואחמד</w:t>
      </w:r>
      <w:r w:rsidRPr="00BD666B">
        <w:rPr>
          <w:rtl/>
        </w:rPr>
        <w:t xml:space="preserve"> </w:t>
      </w:r>
      <w:r w:rsidRPr="00BD666B">
        <w:rPr>
          <w:rFonts w:hint="eastAsia"/>
          <w:rtl/>
        </w:rPr>
        <w:t>טיבי</w:t>
      </w:r>
      <w:r w:rsidRPr="00E83E16">
        <w:rPr>
          <w:rtl/>
        </w:rPr>
        <w:t xml:space="preserve"> (פ/3862/25)</w:t>
      </w:r>
      <w:r w:rsidR="00C2452E">
        <w:rPr>
          <w:rFonts w:hint="cs"/>
          <w:rtl/>
        </w:rPr>
        <w:t xml:space="preserve">, </w:t>
      </w:r>
      <w:r w:rsidRPr="00E83E16">
        <w:rPr>
          <w:rFonts w:hint="eastAsia"/>
          <w:rtl/>
        </w:rPr>
        <w:t>על</w:t>
      </w:r>
      <w:r w:rsidRPr="00E83E16">
        <w:rPr>
          <w:rtl/>
        </w:rPr>
        <w:t xml:space="preserve"> </w:t>
      </w:r>
      <w:r w:rsidRPr="00E83E16">
        <w:rPr>
          <w:rFonts w:hint="eastAsia"/>
          <w:rtl/>
        </w:rPr>
        <w:t>ידי</w:t>
      </w:r>
      <w:r w:rsidRPr="00E83E16">
        <w:rPr>
          <w:rtl/>
        </w:rPr>
        <w:t xml:space="preserve"> </w:t>
      </w:r>
      <w:r w:rsidRPr="00E83E16">
        <w:rPr>
          <w:rFonts w:hint="eastAsia"/>
          <w:rtl/>
        </w:rPr>
        <w:t>חברת</w:t>
      </w:r>
      <w:r w:rsidRPr="00E83E16">
        <w:rPr>
          <w:rtl/>
        </w:rPr>
        <w:t xml:space="preserve"> </w:t>
      </w:r>
      <w:r w:rsidRPr="00E83E16">
        <w:rPr>
          <w:rFonts w:hint="eastAsia"/>
          <w:rtl/>
        </w:rPr>
        <w:t>הכנסת</w:t>
      </w:r>
      <w:r w:rsidRPr="00E83E16">
        <w:rPr>
          <w:rtl/>
        </w:rPr>
        <w:t xml:space="preserve"> </w:t>
      </w:r>
      <w:r w:rsidRPr="00E83E16">
        <w:rPr>
          <w:rFonts w:hint="eastAsia"/>
          <w:rtl/>
        </w:rPr>
        <w:t>מירב</w:t>
      </w:r>
      <w:r w:rsidRPr="00E83E16">
        <w:rPr>
          <w:rtl/>
        </w:rPr>
        <w:t xml:space="preserve"> </w:t>
      </w:r>
      <w:r w:rsidRPr="00E83E16">
        <w:rPr>
          <w:rFonts w:hint="eastAsia"/>
          <w:rtl/>
        </w:rPr>
        <w:t>בן</w:t>
      </w:r>
      <w:r w:rsidRPr="00E83E16">
        <w:rPr>
          <w:rtl/>
        </w:rPr>
        <w:t xml:space="preserve"> </w:t>
      </w:r>
      <w:r w:rsidRPr="00E83E16">
        <w:rPr>
          <w:rFonts w:hint="eastAsia"/>
          <w:rtl/>
        </w:rPr>
        <w:t>ארי</w:t>
      </w:r>
      <w:r w:rsidRPr="00E83E16">
        <w:rPr>
          <w:rtl/>
        </w:rPr>
        <w:t xml:space="preserve"> (פ/4040/25).</w:t>
      </w:r>
    </w:p>
    <w:p w14:paraId="52C810C1" w14:textId="5235C0CB" w:rsidR="000275D0" w:rsidRPr="00D41B97" w:rsidRDefault="000275D0" w:rsidP="00DA233C">
      <w:pPr>
        <w:pStyle w:val="Hesber"/>
        <w:rPr>
          <w:rtl/>
        </w:rPr>
      </w:pPr>
      <w:r>
        <w:rPr>
          <w:rFonts w:hint="cs"/>
          <w:rtl/>
        </w:rPr>
        <w:t>הצע</w:t>
      </w:r>
      <w:r w:rsidR="0015185A">
        <w:rPr>
          <w:rFonts w:hint="cs"/>
          <w:rtl/>
        </w:rPr>
        <w:t>ות חוק זהות</w:t>
      </w:r>
      <w:r>
        <w:rPr>
          <w:rFonts w:hint="cs"/>
          <w:rtl/>
        </w:rPr>
        <w:t xml:space="preserve"> </w:t>
      </w:r>
      <w:r w:rsidR="0015185A">
        <w:rPr>
          <w:rFonts w:hint="cs"/>
          <w:rtl/>
        </w:rPr>
        <w:t>הונחו</w:t>
      </w:r>
      <w:r>
        <w:rPr>
          <w:rFonts w:hint="cs"/>
          <w:rtl/>
        </w:rPr>
        <w:t xml:space="preserve"> על שולחן הכנסת העשרים וחמש על ידי חבר </w:t>
      </w:r>
      <w:r w:rsidRPr="005B2306">
        <w:rPr>
          <w:rFonts w:hint="cs"/>
          <w:rtl/>
        </w:rPr>
        <w:t xml:space="preserve">הכנסת </w:t>
      </w:r>
      <w:r w:rsidR="00C2452E" w:rsidRPr="005B2306">
        <w:rPr>
          <w:rFonts w:hint="cs"/>
          <w:rtl/>
        </w:rPr>
        <w:t>אליהו ברוכי</w:t>
      </w:r>
      <w:r w:rsidRPr="005B2306">
        <w:rPr>
          <w:rFonts w:hint="cs"/>
          <w:rtl/>
        </w:rPr>
        <w:t xml:space="preserve"> וקבוצת</w:t>
      </w:r>
      <w:r>
        <w:rPr>
          <w:rFonts w:hint="cs"/>
          <w:rtl/>
        </w:rPr>
        <w:t xml:space="preserve"> חברי הכנסת (פ/4723/25</w:t>
      </w:r>
      <w:bookmarkStart w:id="8" w:name="_GoBack"/>
      <w:bookmarkEnd w:id="8"/>
      <w:r>
        <w:rPr>
          <w:rFonts w:hint="cs"/>
          <w:rtl/>
        </w:rPr>
        <w:t>)</w:t>
      </w:r>
      <w:r w:rsidR="00C2452E">
        <w:rPr>
          <w:rFonts w:hint="cs"/>
          <w:rtl/>
        </w:rPr>
        <w:t xml:space="preserve"> </w:t>
      </w:r>
      <w:r w:rsidR="00DA233C">
        <w:rPr>
          <w:rFonts w:hint="cs"/>
          <w:rtl/>
        </w:rPr>
        <w:t>ועל ידי חברת הכנסת מירב בן ארי (5665/25).</w:t>
      </w:r>
    </w:p>
    <w:p w14:paraId="60378C96" w14:textId="77777777" w:rsidR="000275D0" w:rsidRPr="00F212B2" w:rsidRDefault="000275D0" w:rsidP="000275D0">
      <w:pPr>
        <w:pStyle w:val="Hesber"/>
        <w:rPr>
          <w:rtl/>
        </w:rPr>
      </w:pPr>
    </w:p>
    <w:p w14:paraId="7F6961CB" w14:textId="77777777" w:rsidR="00E13C27" w:rsidRDefault="00E13C27" w:rsidP="00E13C27">
      <w:pPr>
        <w:pStyle w:val="Hesber"/>
        <w:rPr>
          <w:rtl/>
        </w:rPr>
      </w:pPr>
    </w:p>
    <w:p w14:paraId="28CCB22C" w14:textId="77777777" w:rsidR="000E68B1" w:rsidRDefault="0015185A">
      <w:pPr>
        <w:spacing w:before="0" w:line="276" w:lineRule="auto"/>
        <w:jc w:val="left"/>
      </w:pPr>
      <w:bookmarkStart w:id="9" w:name="selectedDocDateB"/>
      <w:bookmarkEnd w:id="9"/>
      <w:r>
        <w:rPr>
          <w:rFonts w:ascii="David" w:eastAsia="David" w:hAnsi="David" w:cs="David" w:hint="cs"/>
          <w:sz w:val="26"/>
          <w:szCs w:val="26"/>
          <w:rtl/>
        </w:rPr>
        <w:t>--------------------------------</w:t>
      </w:r>
    </w:p>
    <w:p w14:paraId="4FDC0BB7" w14:textId="77777777" w:rsidR="000E68B1" w:rsidRDefault="0015185A">
      <w:pPr>
        <w:spacing w:before="0" w:line="360" w:lineRule="auto"/>
        <w:jc w:val="left"/>
      </w:pPr>
      <w:r>
        <w:rPr>
          <w:rFonts w:ascii="David" w:eastAsia="David" w:hAnsi="David" w:cs="David" w:hint="cs"/>
          <w:sz w:val="26"/>
          <w:szCs w:val="26"/>
          <w:rtl/>
        </w:rPr>
        <w:t>הוגשה ליו"ר הכנסת והסגנים</w:t>
      </w:r>
    </w:p>
    <w:p w14:paraId="47BA3B21" w14:textId="77777777" w:rsidR="000E68B1" w:rsidRDefault="0015185A">
      <w:pPr>
        <w:spacing w:before="0" w:line="360" w:lineRule="auto"/>
        <w:jc w:val="left"/>
      </w:pPr>
      <w:r>
        <w:rPr>
          <w:rFonts w:ascii="David" w:eastAsia="David" w:hAnsi="David" w:cs="David" w:hint="cs"/>
          <w:sz w:val="26"/>
          <w:szCs w:val="26"/>
          <w:rtl/>
        </w:rPr>
        <w:t>והונחה על שולחן הכנסת ביום</w:t>
      </w:r>
    </w:p>
    <w:p w14:paraId="4E7B3E0C" w14:textId="77777777" w:rsidR="000E68B1" w:rsidRDefault="0015185A">
      <w:pPr>
        <w:spacing w:before="0" w:line="360" w:lineRule="auto"/>
        <w:jc w:val="left"/>
      </w:pPr>
      <w:r>
        <w:rPr>
          <w:rFonts w:ascii="David" w:eastAsia="David" w:hAnsi="David" w:cs="David" w:hint="cs"/>
          <w:sz w:val="26"/>
          <w:szCs w:val="26"/>
          <w:rtl/>
        </w:rPr>
        <w:t>כ"ז בתמוז התשפ"ה (23.</w:t>
      </w:r>
      <w:r>
        <w:rPr>
          <w:rFonts w:ascii="David" w:eastAsia="David" w:hAnsi="David" w:cs="David" w:hint="cs"/>
          <w:sz w:val="26"/>
          <w:szCs w:val="26"/>
          <w:rtl/>
        </w:rPr>
        <w:t xml:space="preserve">07.2025) </w:t>
      </w:r>
    </w:p>
    <w:p w14:paraId="69084320" w14:textId="77777777" w:rsidR="000E68B1" w:rsidRDefault="000E68B1"/>
    <w:sectPr w:rsidR="000E68B1"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2A4121A2"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15185A">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3E74587E" w14:textId="77777777" w:rsidR="000275D0" w:rsidRDefault="000275D0" w:rsidP="000275D0">
      <w:pPr>
        <w:pStyle w:val="a4"/>
      </w:pPr>
      <w:r>
        <w:rPr>
          <w:rStyle w:val="a5"/>
        </w:rPr>
        <w:footnoteRef/>
      </w:r>
      <w:r>
        <w:rPr>
          <w:rtl/>
        </w:rPr>
        <w:t xml:space="preserve"> </w:t>
      </w:r>
      <w:r>
        <w:rPr>
          <w:rFonts w:hint="cs"/>
          <w:rtl/>
        </w:rPr>
        <w:t>דיני מדינת ישראל, נוסח חדש 17, עמ' 390.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275D0"/>
    <w:rsid w:val="00063A3E"/>
    <w:rsid w:val="00072CAC"/>
    <w:rsid w:val="0007681A"/>
    <w:rsid w:val="000A542E"/>
    <w:rsid w:val="000E68B1"/>
    <w:rsid w:val="00102B6B"/>
    <w:rsid w:val="001052D4"/>
    <w:rsid w:val="0010644B"/>
    <w:rsid w:val="001207F8"/>
    <w:rsid w:val="00121924"/>
    <w:rsid w:val="001279A8"/>
    <w:rsid w:val="0014195F"/>
    <w:rsid w:val="0015185A"/>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B2306"/>
    <w:rsid w:val="005D51AE"/>
    <w:rsid w:val="0062674B"/>
    <w:rsid w:val="006363B2"/>
    <w:rsid w:val="00644940"/>
    <w:rsid w:val="006818A9"/>
    <w:rsid w:val="006A2D81"/>
    <w:rsid w:val="006C1D0D"/>
    <w:rsid w:val="006E6479"/>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77408"/>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2452E"/>
    <w:rsid w:val="00C310EB"/>
    <w:rsid w:val="00C9176A"/>
    <w:rsid w:val="00CF1AA2"/>
    <w:rsid w:val="00D142D3"/>
    <w:rsid w:val="00D17774"/>
    <w:rsid w:val="00D45C6E"/>
    <w:rsid w:val="00D63620"/>
    <w:rsid w:val="00D8410D"/>
    <w:rsid w:val="00D867D7"/>
    <w:rsid w:val="00DA233C"/>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A15969A-3E7E-49EF-AE2C-11D6D595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paragraph" w:styleId="ad">
    <w:name w:val="Revision"/>
    <w:hidden/>
    <w:uiPriority w:val="99"/>
    <w:semiHidden/>
    <w:rsid w:val="00D45C6E"/>
    <w:rPr>
      <w:rFonts w:ascii="Hadasa Roso SL" w:hAnsi="Hadasa Roso SL" w:cs="Hadasa Roso SL"/>
      <w:color w:val="000000"/>
      <w:spacing w:val="1"/>
      <w:sz w:val="17"/>
      <w:szCs w:val="17"/>
      <w:lang w:eastAsia="ja-JP"/>
    </w:rPr>
  </w:style>
  <w:style w:type="character" w:styleId="ae">
    <w:name w:val="annotation reference"/>
    <w:basedOn w:val="a0"/>
    <w:semiHidden/>
    <w:unhideWhenUsed/>
    <w:rsid w:val="00977408"/>
    <w:rPr>
      <w:sz w:val="16"/>
      <w:szCs w:val="16"/>
    </w:rPr>
  </w:style>
  <w:style w:type="paragraph" w:styleId="af">
    <w:name w:val="annotation text"/>
    <w:basedOn w:val="a"/>
    <w:link w:val="af0"/>
    <w:semiHidden/>
    <w:unhideWhenUsed/>
    <w:rsid w:val="00977408"/>
    <w:pPr>
      <w:spacing w:line="240" w:lineRule="auto"/>
    </w:pPr>
    <w:rPr>
      <w:sz w:val="20"/>
      <w:szCs w:val="20"/>
    </w:rPr>
  </w:style>
  <w:style w:type="character" w:customStyle="1" w:styleId="af0">
    <w:name w:val="טקסט הערה תו"/>
    <w:basedOn w:val="a0"/>
    <w:link w:val="af"/>
    <w:semiHidden/>
    <w:rsid w:val="00977408"/>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977408"/>
    <w:rPr>
      <w:b/>
      <w:bCs/>
    </w:rPr>
  </w:style>
  <w:style w:type="character" w:customStyle="1" w:styleId="af2">
    <w:name w:val="נושא הערה תו"/>
    <w:basedOn w:val="af0"/>
    <w:link w:val="af1"/>
    <w:semiHidden/>
    <w:rsid w:val="00977408"/>
    <w:rPr>
      <w:rFonts w:ascii="Hadasa Roso SL" w:hAnsi="Hadasa Roso SL" w:cs="Hadasa Roso SL"/>
      <w:b/>
      <w:bCs/>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E1183-479B-4A00-91A4-80D4D762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schemas.microsoft.com/office/2006/documentManagement/types"/>
    <ds:schemaRef ds:uri="http://purl.org/dc/terms/"/>
    <ds:schemaRef ds:uri="http://www.w3.org/XML/1998/namespace"/>
    <ds:schemaRef ds:uri="290d5b49-c690-4c6f-bbb9-1e50dab33eee"/>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283D87F-221B-489C-B311-84131F2A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491</Words>
  <Characters>2458</Characters>
  <Application>Microsoft Office Word</Application>
  <DocSecurity>0</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9</cp:revision>
  <cp:lastPrinted>2013-07-04T08:25:00Z</cp:lastPrinted>
  <dcterms:created xsi:type="dcterms:W3CDTF">2015-04-20T09:58:00Z</dcterms:created>
  <dcterms:modified xsi:type="dcterms:W3CDTF">2025-07-21T14:13:00Z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2234009</vt:r8>
  </property>
</Properties>
</file>