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2233791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16476509"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יואב סגלוביץ</w:t>
      </w:r>
      <w:bookmarkEnd w:id="3"/>
      <w:r w:rsidR="005D6601">
        <w:rPr>
          <w:rFonts w:hint="cs"/>
          <w:b/>
          <w:bCs/>
          <w:rtl/>
        </w:rPr>
        <w:t>'</w:t>
      </w:r>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69808BF3" w:rsidR="00E13C27" w:rsidRDefault="00904591" w:rsidP="00505AFA">
      <w:pPr>
        <w:pStyle w:val="David"/>
        <w:spacing w:line="240" w:lineRule="auto"/>
        <w:ind w:left="3544"/>
        <w:rPr>
          <w:rtl/>
        </w:rPr>
      </w:pPr>
      <w:r>
        <w:t xml:space="preserve">                                            </w:t>
      </w:r>
      <w:r w:rsidR="008F1308">
        <w:t xml:space="preserve"> </w:t>
      </w:r>
      <w:bookmarkStart w:id="6" w:name="Private_Number"/>
      <w:r w:rsidR="00FC02D3">
        <w:rPr>
          <w:rtl/>
        </w:rPr>
        <w:tab/>
      </w:r>
      <w:r>
        <w:rPr>
          <w:rFonts w:hint="cs"/>
          <w:rtl/>
        </w:rPr>
        <w:t>פ/6039/25</w:t>
      </w:r>
      <w:bookmarkEnd w:id="6"/>
    </w:p>
    <w:p w14:paraId="738C0E47" w14:textId="662F2642" w:rsidR="00B7491E" w:rsidRPr="00B7491E" w:rsidRDefault="00A443CF" w:rsidP="00966EC4">
      <w:pPr>
        <w:pStyle w:val="HeadHatzaotHok"/>
        <w:rPr>
          <w:rtl/>
        </w:rPr>
      </w:pPr>
      <w:bookmarkStart w:id="7" w:name="LGS_Subject"/>
      <w:r>
        <w:rPr>
          <w:rFonts w:hint="cs"/>
          <w:rtl/>
        </w:rPr>
        <w:t>הצעת חוק לתיקון פקודת העיריות (ועדת מכרזים), התשפ"ה–2025</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624"/>
        <w:gridCol w:w="4025"/>
      </w:tblGrid>
      <w:tr w:rsidR="00B7491E" w:rsidRPr="009379F8" w14:paraId="6A158C2E" w14:textId="77777777" w:rsidTr="00322259">
        <w:trPr>
          <w:cantSplit/>
        </w:trPr>
        <w:tc>
          <w:tcPr>
            <w:tcW w:w="1869" w:type="dxa"/>
          </w:tcPr>
          <w:p w14:paraId="5F0CB520" w14:textId="77777777" w:rsidR="00B7491E" w:rsidRPr="00322259" w:rsidRDefault="00B7491E" w:rsidP="00322259">
            <w:pPr>
              <w:pStyle w:val="TableSideHeading"/>
              <w:outlineLvl w:val="9"/>
            </w:pPr>
            <w:r w:rsidRPr="00322259">
              <w:rPr>
                <w:rFonts w:hint="cs"/>
                <w:rtl/>
              </w:rPr>
              <w:t>תיקון סעיף 142א</w:t>
            </w:r>
          </w:p>
        </w:tc>
        <w:tc>
          <w:tcPr>
            <w:tcW w:w="624" w:type="dxa"/>
          </w:tcPr>
          <w:p w14:paraId="058D65DE" w14:textId="77777777" w:rsidR="00B7491E" w:rsidRPr="00322259" w:rsidRDefault="00B7491E" w:rsidP="00322259">
            <w:pPr>
              <w:pStyle w:val="TableText"/>
              <w:jc w:val="both"/>
            </w:pPr>
            <w:r w:rsidRPr="00322259">
              <w:rPr>
                <w:rFonts w:hint="cs"/>
                <w:rtl/>
              </w:rPr>
              <w:t>1.</w:t>
            </w:r>
          </w:p>
        </w:tc>
        <w:tc>
          <w:tcPr>
            <w:tcW w:w="7145" w:type="dxa"/>
            <w:gridSpan w:val="6"/>
          </w:tcPr>
          <w:p w14:paraId="1C89B5F0" w14:textId="77777777" w:rsidR="00B7491E" w:rsidRPr="00322259" w:rsidRDefault="00B7491E" w:rsidP="00322259">
            <w:pPr>
              <w:pStyle w:val="TableBlock"/>
            </w:pPr>
            <w:r w:rsidRPr="00322259">
              <w:rPr>
                <w:rtl/>
              </w:rPr>
              <w:t>בפקודת העיריות</w:t>
            </w:r>
            <w:r w:rsidRPr="00322259">
              <w:rPr>
                <w:rFonts w:ascii="David" w:hAnsi="David"/>
                <w:sz w:val="26"/>
                <w:vertAlign w:val="superscript"/>
              </w:rPr>
              <w:footnoteReference w:id="2"/>
            </w:r>
            <w:r w:rsidRPr="00322259">
              <w:rPr>
                <w:rtl/>
              </w:rPr>
              <w:t xml:space="preserve"> (להלן – הפקודה), בסעיף 142א(ט), במקום "סעיף 148" יבוא "סעיף 197א".</w:t>
            </w:r>
          </w:p>
        </w:tc>
      </w:tr>
      <w:tr w:rsidR="00B7491E" w:rsidRPr="009379F8" w14:paraId="510FB8A1" w14:textId="77777777" w:rsidTr="00322259">
        <w:trPr>
          <w:cantSplit/>
        </w:trPr>
        <w:tc>
          <w:tcPr>
            <w:tcW w:w="1869" w:type="dxa"/>
          </w:tcPr>
          <w:p w14:paraId="57AFB24D" w14:textId="77777777" w:rsidR="00B7491E" w:rsidRPr="00322259" w:rsidRDefault="00B7491E" w:rsidP="00322259">
            <w:pPr>
              <w:pStyle w:val="TableSideHeading"/>
              <w:outlineLvl w:val="9"/>
            </w:pPr>
            <w:r w:rsidRPr="00322259">
              <w:rPr>
                <w:rFonts w:hint="cs"/>
                <w:rtl/>
              </w:rPr>
              <w:t>ביטול סעיף 148</w:t>
            </w:r>
          </w:p>
        </w:tc>
        <w:tc>
          <w:tcPr>
            <w:tcW w:w="624" w:type="dxa"/>
          </w:tcPr>
          <w:p w14:paraId="0A581BE7" w14:textId="77777777" w:rsidR="00B7491E" w:rsidRPr="00322259" w:rsidRDefault="00B7491E" w:rsidP="00322259">
            <w:pPr>
              <w:pStyle w:val="TableText"/>
              <w:jc w:val="both"/>
            </w:pPr>
            <w:r w:rsidRPr="00322259">
              <w:rPr>
                <w:rFonts w:hint="cs"/>
                <w:rtl/>
              </w:rPr>
              <w:t>2.</w:t>
            </w:r>
          </w:p>
        </w:tc>
        <w:tc>
          <w:tcPr>
            <w:tcW w:w="7145" w:type="dxa"/>
            <w:gridSpan w:val="6"/>
          </w:tcPr>
          <w:p w14:paraId="71331DEB" w14:textId="77777777" w:rsidR="00B7491E" w:rsidRPr="00322259" w:rsidRDefault="00B7491E" w:rsidP="00322259">
            <w:pPr>
              <w:pStyle w:val="TableBlock"/>
            </w:pPr>
            <w:r w:rsidRPr="00322259">
              <w:rPr>
                <w:rFonts w:hint="cs"/>
                <w:rtl/>
              </w:rPr>
              <w:t>סעיף 148 לפקודה – בטל.</w:t>
            </w:r>
          </w:p>
        </w:tc>
      </w:tr>
      <w:tr w:rsidR="00B7491E" w:rsidRPr="009379F8" w14:paraId="0D3ECEE1" w14:textId="77777777" w:rsidTr="00322259">
        <w:trPr>
          <w:cantSplit/>
        </w:trPr>
        <w:tc>
          <w:tcPr>
            <w:tcW w:w="1869" w:type="dxa"/>
          </w:tcPr>
          <w:p w14:paraId="632AE6DB" w14:textId="77777777" w:rsidR="00B7491E" w:rsidRPr="00322259" w:rsidRDefault="00B7491E" w:rsidP="00322259">
            <w:pPr>
              <w:pStyle w:val="TableSideHeading"/>
              <w:outlineLvl w:val="9"/>
              <w:rPr>
                <w:rtl/>
              </w:rPr>
            </w:pPr>
            <w:r w:rsidRPr="00322259">
              <w:rPr>
                <w:rFonts w:hint="cs"/>
                <w:rtl/>
              </w:rPr>
              <w:t>תיקון סעיף 149ג</w:t>
            </w:r>
          </w:p>
        </w:tc>
        <w:tc>
          <w:tcPr>
            <w:tcW w:w="624" w:type="dxa"/>
          </w:tcPr>
          <w:p w14:paraId="7FE74EC0" w14:textId="77777777" w:rsidR="00B7491E" w:rsidRDefault="00B7491E" w:rsidP="001A1B23">
            <w:pPr>
              <w:pStyle w:val="TableText"/>
              <w:rPr>
                <w:rtl/>
              </w:rPr>
            </w:pPr>
            <w:r>
              <w:rPr>
                <w:rFonts w:hint="cs"/>
                <w:rtl/>
              </w:rPr>
              <w:t>3.</w:t>
            </w:r>
          </w:p>
        </w:tc>
        <w:tc>
          <w:tcPr>
            <w:tcW w:w="7145" w:type="dxa"/>
            <w:gridSpan w:val="6"/>
          </w:tcPr>
          <w:p w14:paraId="67C50ADE" w14:textId="77777777" w:rsidR="00B7491E" w:rsidRPr="00322259" w:rsidRDefault="00B7491E" w:rsidP="00322259">
            <w:pPr>
              <w:pStyle w:val="TableBlock"/>
              <w:rPr>
                <w:rtl/>
              </w:rPr>
            </w:pPr>
            <w:r w:rsidRPr="00322259">
              <w:rPr>
                <w:rFonts w:hint="cs"/>
                <w:rtl/>
              </w:rPr>
              <w:t>בסעיף 149ג(ג)(2)(ב) לפקודה, המילים "או המכרזים" – יימחקו.</w:t>
            </w:r>
          </w:p>
        </w:tc>
      </w:tr>
      <w:tr w:rsidR="00B7491E" w:rsidRPr="009379F8" w14:paraId="2EC34699" w14:textId="77777777" w:rsidTr="00322259">
        <w:trPr>
          <w:cantSplit/>
        </w:trPr>
        <w:tc>
          <w:tcPr>
            <w:tcW w:w="1869" w:type="dxa"/>
          </w:tcPr>
          <w:p w14:paraId="3D933440" w14:textId="77777777" w:rsidR="00B7491E" w:rsidRPr="00322259" w:rsidRDefault="00B7491E" w:rsidP="00322259">
            <w:pPr>
              <w:pStyle w:val="TableSideHeading"/>
              <w:outlineLvl w:val="9"/>
              <w:rPr>
                <w:rtl/>
              </w:rPr>
            </w:pPr>
            <w:r w:rsidRPr="00322259">
              <w:rPr>
                <w:rFonts w:hint="cs"/>
                <w:rtl/>
              </w:rPr>
              <w:t>תיקון סעיף 170ג3</w:t>
            </w:r>
          </w:p>
        </w:tc>
        <w:tc>
          <w:tcPr>
            <w:tcW w:w="624" w:type="dxa"/>
          </w:tcPr>
          <w:p w14:paraId="53486306" w14:textId="77777777" w:rsidR="00B7491E" w:rsidRDefault="00B7491E" w:rsidP="001A1B23">
            <w:pPr>
              <w:pStyle w:val="TableText"/>
              <w:rPr>
                <w:rtl/>
              </w:rPr>
            </w:pPr>
            <w:r>
              <w:rPr>
                <w:rFonts w:hint="cs"/>
                <w:rtl/>
              </w:rPr>
              <w:t>4.</w:t>
            </w:r>
          </w:p>
        </w:tc>
        <w:tc>
          <w:tcPr>
            <w:tcW w:w="7145" w:type="dxa"/>
            <w:gridSpan w:val="6"/>
          </w:tcPr>
          <w:p w14:paraId="1B0BCCFA" w14:textId="77777777" w:rsidR="00B7491E" w:rsidRPr="00322259" w:rsidRDefault="00B7491E" w:rsidP="00322259">
            <w:pPr>
              <w:pStyle w:val="TableBlock"/>
              <w:rPr>
                <w:rtl/>
              </w:rPr>
            </w:pPr>
            <w:r w:rsidRPr="00322259">
              <w:rPr>
                <w:rFonts w:hint="cs"/>
                <w:rtl/>
              </w:rPr>
              <w:t>בסעיף 170ג3 לפקודה –</w:t>
            </w:r>
          </w:p>
        </w:tc>
      </w:tr>
      <w:tr w:rsidR="005D6601" w14:paraId="4504E4FD" w14:textId="77777777" w:rsidTr="00EF14A0">
        <w:trPr>
          <w:cantSplit/>
        </w:trPr>
        <w:tc>
          <w:tcPr>
            <w:tcW w:w="1869" w:type="dxa"/>
          </w:tcPr>
          <w:p w14:paraId="147822C4" w14:textId="77777777" w:rsidR="005D6601" w:rsidRDefault="005D6601" w:rsidP="001A1B23">
            <w:pPr>
              <w:pStyle w:val="TableSideHeading"/>
            </w:pPr>
          </w:p>
        </w:tc>
        <w:tc>
          <w:tcPr>
            <w:tcW w:w="624" w:type="dxa"/>
          </w:tcPr>
          <w:p w14:paraId="5FDA821B" w14:textId="77777777" w:rsidR="005D6601" w:rsidRDefault="005D6601" w:rsidP="001A1B23">
            <w:pPr>
              <w:pStyle w:val="TableText"/>
            </w:pPr>
          </w:p>
        </w:tc>
        <w:tc>
          <w:tcPr>
            <w:tcW w:w="7145" w:type="dxa"/>
            <w:gridSpan w:val="6"/>
          </w:tcPr>
          <w:p w14:paraId="090CA439" w14:textId="6159367C" w:rsidR="005D6601" w:rsidRPr="002A6180" w:rsidRDefault="005D6601" w:rsidP="00322259">
            <w:pPr>
              <w:pStyle w:val="TableBlock"/>
            </w:pPr>
            <w:r>
              <w:rPr>
                <w:rFonts w:hint="cs"/>
                <w:rtl/>
              </w:rPr>
              <w:t>(1)</w:t>
            </w:r>
            <w:r>
              <w:rPr>
                <w:rtl/>
              </w:rPr>
              <w:tab/>
            </w:r>
            <w:r>
              <w:rPr>
                <w:rFonts w:hint="cs"/>
                <w:rtl/>
              </w:rPr>
              <w:t>בסעיף קטן (ב), במקום "ועדת הכספים וועדת המכרזים" יבוא "ועדת הכספים";</w:t>
            </w:r>
          </w:p>
        </w:tc>
      </w:tr>
      <w:tr w:rsidR="005D6601" w14:paraId="146587E8" w14:textId="77777777" w:rsidTr="00227D34">
        <w:trPr>
          <w:cantSplit/>
        </w:trPr>
        <w:tc>
          <w:tcPr>
            <w:tcW w:w="1869" w:type="dxa"/>
          </w:tcPr>
          <w:p w14:paraId="67D1A648" w14:textId="77777777" w:rsidR="005D6601" w:rsidRDefault="005D6601" w:rsidP="001A1B23">
            <w:pPr>
              <w:pStyle w:val="TableSideHeading"/>
            </w:pPr>
          </w:p>
        </w:tc>
        <w:tc>
          <w:tcPr>
            <w:tcW w:w="624" w:type="dxa"/>
          </w:tcPr>
          <w:p w14:paraId="70E51954" w14:textId="77777777" w:rsidR="005D6601" w:rsidRDefault="005D6601" w:rsidP="001A1B23">
            <w:pPr>
              <w:pStyle w:val="TableText"/>
            </w:pPr>
          </w:p>
        </w:tc>
        <w:tc>
          <w:tcPr>
            <w:tcW w:w="7145" w:type="dxa"/>
            <w:gridSpan w:val="6"/>
          </w:tcPr>
          <w:p w14:paraId="2EE7F9C3" w14:textId="77777777" w:rsidR="005D6601" w:rsidRPr="002A6180" w:rsidRDefault="005D6601" w:rsidP="00322259">
            <w:pPr>
              <w:pStyle w:val="TableBlock"/>
            </w:pPr>
            <w:r>
              <w:rPr>
                <w:rFonts w:hint="cs"/>
                <w:rtl/>
              </w:rPr>
              <w:t>(2)</w:t>
            </w:r>
            <w:r>
              <w:rPr>
                <w:rtl/>
              </w:rPr>
              <w:tab/>
            </w:r>
            <w:r>
              <w:rPr>
                <w:rFonts w:hint="cs"/>
                <w:rtl/>
              </w:rPr>
              <w:t>בסעיף קטן (ג), הסיפה החל במילים "ואולם בישיבות ועדת המכרזים" – תימחק.</w:t>
            </w:r>
          </w:p>
        </w:tc>
      </w:tr>
      <w:tr w:rsidR="00B7491E" w:rsidRPr="009379F8" w14:paraId="51719BDC" w14:textId="77777777" w:rsidTr="00322259">
        <w:trPr>
          <w:cantSplit/>
        </w:trPr>
        <w:tc>
          <w:tcPr>
            <w:tcW w:w="1869" w:type="dxa"/>
          </w:tcPr>
          <w:p w14:paraId="161B8F7F" w14:textId="77777777" w:rsidR="00B7491E" w:rsidRPr="00322259" w:rsidRDefault="00B7491E" w:rsidP="00322259">
            <w:pPr>
              <w:pStyle w:val="TableSideHeading"/>
              <w:outlineLvl w:val="9"/>
            </w:pPr>
            <w:r w:rsidRPr="00322259">
              <w:rPr>
                <w:rFonts w:hint="cs"/>
                <w:rtl/>
              </w:rPr>
              <w:t>תיקון סעיף 197</w:t>
            </w:r>
          </w:p>
        </w:tc>
        <w:tc>
          <w:tcPr>
            <w:tcW w:w="624" w:type="dxa"/>
          </w:tcPr>
          <w:p w14:paraId="3A5CC82A" w14:textId="77777777" w:rsidR="00B7491E" w:rsidRPr="00322259" w:rsidRDefault="00B7491E" w:rsidP="00322259">
            <w:pPr>
              <w:pStyle w:val="TableText"/>
              <w:jc w:val="both"/>
            </w:pPr>
            <w:r w:rsidRPr="00322259">
              <w:rPr>
                <w:rFonts w:hint="cs"/>
                <w:rtl/>
              </w:rPr>
              <w:t>5.</w:t>
            </w:r>
          </w:p>
        </w:tc>
        <w:tc>
          <w:tcPr>
            <w:tcW w:w="7145" w:type="dxa"/>
            <w:gridSpan w:val="6"/>
          </w:tcPr>
          <w:p w14:paraId="1477C29C" w14:textId="77777777" w:rsidR="00B7491E" w:rsidRPr="00322259" w:rsidRDefault="00B7491E" w:rsidP="00322259">
            <w:pPr>
              <w:pStyle w:val="TableBlock"/>
            </w:pPr>
            <w:r w:rsidRPr="00322259">
              <w:rPr>
                <w:rtl/>
              </w:rPr>
              <w:t>בסעיף 197 לפקודה, במקום "להעברת מקרקעין או טובין, להזמנת טובין או לביצוע עבודה" יבוא "לביצוע עסקה בטובין או במקרקעין, או לביצוע עבודה, או לרכישת שירותים".</w:t>
            </w:r>
          </w:p>
        </w:tc>
      </w:tr>
      <w:tr w:rsidR="00B7491E" w:rsidRPr="009379F8" w14:paraId="72F49A3F" w14:textId="77777777" w:rsidTr="00322259">
        <w:trPr>
          <w:cantSplit/>
        </w:trPr>
        <w:tc>
          <w:tcPr>
            <w:tcW w:w="1869" w:type="dxa"/>
          </w:tcPr>
          <w:p w14:paraId="0E7521D0" w14:textId="77777777" w:rsidR="00B7491E" w:rsidRPr="00322259" w:rsidRDefault="00B7491E" w:rsidP="00322259">
            <w:pPr>
              <w:pStyle w:val="TableSideHeading"/>
              <w:outlineLvl w:val="9"/>
            </w:pPr>
            <w:r w:rsidRPr="00322259">
              <w:rPr>
                <w:rFonts w:hint="cs"/>
                <w:rtl/>
              </w:rPr>
              <w:t>הוספת סעיפים 197א ו-197ב</w:t>
            </w:r>
          </w:p>
        </w:tc>
        <w:tc>
          <w:tcPr>
            <w:tcW w:w="624" w:type="dxa"/>
          </w:tcPr>
          <w:p w14:paraId="3E9EE8B4" w14:textId="77777777" w:rsidR="00B7491E" w:rsidRPr="00322259" w:rsidRDefault="00B7491E" w:rsidP="00322259">
            <w:pPr>
              <w:pStyle w:val="TableText"/>
              <w:jc w:val="both"/>
            </w:pPr>
            <w:r w:rsidRPr="00322259">
              <w:rPr>
                <w:rFonts w:hint="cs"/>
                <w:rtl/>
              </w:rPr>
              <w:t>6.</w:t>
            </w:r>
          </w:p>
        </w:tc>
        <w:tc>
          <w:tcPr>
            <w:tcW w:w="7145" w:type="dxa"/>
            <w:gridSpan w:val="6"/>
          </w:tcPr>
          <w:p w14:paraId="71520772" w14:textId="77777777" w:rsidR="00B7491E" w:rsidRPr="00322259" w:rsidRDefault="00B7491E" w:rsidP="00322259">
            <w:pPr>
              <w:pStyle w:val="TableBlock"/>
            </w:pPr>
            <w:r w:rsidRPr="00322259">
              <w:rPr>
                <w:rFonts w:hint="cs"/>
                <w:rtl/>
              </w:rPr>
              <w:t>אחרי סעיף 197 לפקודה יבוא:</w:t>
            </w:r>
          </w:p>
        </w:tc>
      </w:tr>
      <w:tr w:rsidR="00322259" w14:paraId="17B3DAE3" w14:textId="77777777" w:rsidTr="00322259">
        <w:trPr>
          <w:cantSplit/>
          <w:trHeight w:val="60"/>
        </w:trPr>
        <w:tc>
          <w:tcPr>
            <w:tcW w:w="1869" w:type="dxa"/>
          </w:tcPr>
          <w:p w14:paraId="1110C7D3" w14:textId="77777777" w:rsidR="00322259" w:rsidRDefault="00322259">
            <w:pPr>
              <w:pStyle w:val="TableSideHeading"/>
              <w:keepLines w:val="0"/>
            </w:pPr>
          </w:p>
        </w:tc>
        <w:tc>
          <w:tcPr>
            <w:tcW w:w="624" w:type="dxa"/>
          </w:tcPr>
          <w:p w14:paraId="4BCEB627" w14:textId="77777777" w:rsidR="00322259" w:rsidRDefault="00322259">
            <w:pPr>
              <w:pStyle w:val="TableText"/>
              <w:keepLines w:val="0"/>
            </w:pPr>
          </w:p>
        </w:tc>
        <w:tc>
          <w:tcPr>
            <w:tcW w:w="1872" w:type="dxa"/>
            <w:gridSpan w:val="3"/>
          </w:tcPr>
          <w:p w14:paraId="542EE177" w14:textId="699EBC86" w:rsidR="00322259" w:rsidRDefault="00322259">
            <w:pPr>
              <w:pStyle w:val="TableInnerSideHeading"/>
            </w:pPr>
            <w:r w:rsidRPr="00322259">
              <w:rPr>
                <w:rFonts w:hint="cs"/>
                <w:rtl/>
              </w:rPr>
              <w:t>"ועדת מכרזים ועבודתה</w:t>
            </w:r>
          </w:p>
        </w:tc>
        <w:tc>
          <w:tcPr>
            <w:tcW w:w="624" w:type="dxa"/>
          </w:tcPr>
          <w:p w14:paraId="258C7044" w14:textId="477B96BA" w:rsidR="00322259" w:rsidRDefault="00322259">
            <w:pPr>
              <w:pStyle w:val="TableText"/>
            </w:pPr>
            <w:r w:rsidRPr="00322259">
              <w:rPr>
                <w:rFonts w:hint="cs"/>
                <w:rtl/>
              </w:rPr>
              <w:t>197א.</w:t>
            </w:r>
            <w:r w:rsidRPr="00322259">
              <w:rPr>
                <w:rtl/>
              </w:rPr>
              <w:t xml:space="preserve">  </w:t>
            </w:r>
          </w:p>
        </w:tc>
        <w:tc>
          <w:tcPr>
            <w:tcW w:w="4649" w:type="dxa"/>
            <w:gridSpan w:val="2"/>
          </w:tcPr>
          <w:p w14:paraId="17BBB8F9" w14:textId="458E8999" w:rsidR="00322259" w:rsidRDefault="00322259">
            <w:pPr>
              <w:pStyle w:val="TableBlock"/>
            </w:pPr>
            <w:r w:rsidRPr="00322259">
              <w:rPr>
                <w:rFonts w:hint="cs"/>
                <w:rtl/>
              </w:rPr>
              <w:t>(א)</w:t>
            </w:r>
            <w:r w:rsidRPr="00322259">
              <w:rPr>
                <w:rtl/>
              </w:rPr>
              <w:tab/>
            </w:r>
            <w:r w:rsidRPr="00322259">
              <w:rPr>
                <w:rFonts w:hint="cs"/>
                <w:rtl/>
              </w:rPr>
              <w:t>תוקם ועדת מכרזים, מבין עובדי העירייה שתמלא את התפקידים המפורטים בסעיף 197ב, ואלה חבריה:</w:t>
            </w:r>
          </w:p>
        </w:tc>
      </w:tr>
      <w:tr w:rsidR="00B7491E" w14:paraId="36CCAB81" w14:textId="77777777" w:rsidTr="00322259">
        <w:trPr>
          <w:cantSplit/>
        </w:trPr>
        <w:tc>
          <w:tcPr>
            <w:tcW w:w="1869" w:type="dxa"/>
          </w:tcPr>
          <w:p w14:paraId="0D4ED401" w14:textId="77777777" w:rsidR="00B7491E" w:rsidRDefault="00B7491E" w:rsidP="001A1B23">
            <w:pPr>
              <w:pStyle w:val="TableSideHeading"/>
            </w:pPr>
          </w:p>
        </w:tc>
        <w:tc>
          <w:tcPr>
            <w:tcW w:w="624" w:type="dxa"/>
          </w:tcPr>
          <w:p w14:paraId="2427DD64" w14:textId="77777777" w:rsidR="00B7491E" w:rsidRDefault="00B7491E" w:rsidP="001A1B23">
            <w:pPr>
              <w:pStyle w:val="TableText"/>
            </w:pPr>
          </w:p>
        </w:tc>
        <w:tc>
          <w:tcPr>
            <w:tcW w:w="624" w:type="dxa"/>
          </w:tcPr>
          <w:p w14:paraId="2865138E" w14:textId="77777777" w:rsidR="00B7491E" w:rsidRDefault="00B7491E" w:rsidP="001A1B23">
            <w:pPr>
              <w:pStyle w:val="TableText"/>
            </w:pPr>
          </w:p>
        </w:tc>
        <w:tc>
          <w:tcPr>
            <w:tcW w:w="624" w:type="dxa"/>
          </w:tcPr>
          <w:p w14:paraId="48ABFA57" w14:textId="77777777" w:rsidR="00B7491E" w:rsidRDefault="00B7491E" w:rsidP="001A1B23">
            <w:pPr>
              <w:pStyle w:val="TableText"/>
            </w:pPr>
          </w:p>
        </w:tc>
        <w:tc>
          <w:tcPr>
            <w:tcW w:w="624" w:type="dxa"/>
          </w:tcPr>
          <w:p w14:paraId="08AFA796" w14:textId="77777777" w:rsidR="00B7491E" w:rsidRDefault="00B7491E" w:rsidP="001A1B23">
            <w:pPr>
              <w:pStyle w:val="TableText"/>
            </w:pPr>
          </w:p>
        </w:tc>
        <w:tc>
          <w:tcPr>
            <w:tcW w:w="624" w:type="dxa"/>
          </w:tcPr>
          <w:p w14:paraId="55BCE003" w14:textId="77777777" w:rsidR="00B7491E" w:rsidRDefault="00B7491E" w:rsidP="001A1B23">
            <w:pPr>
              <w:pStyle w:val="TableText"/>
            </w:pPr>
          </w:p>
        </w:tc>
        <w:tc>
          <w:tcPr>
            <w:tcW w:w="624" w:type="dxa"/>
          </w:tcPr>
          <w:p w14:paraId="49EAA79C" w14:textId="77777777" w:rsidR="00B7491E" w:rsidRDefault="00B7491E" w:rsidP="001A1B23">
            <w:pPr>
              <w:pStyle w:val="TableText"/>
            </w:pPr>
          </w:p>
        </w:tc>
        <w:tc>
          <w:tcPr>
            <w:tcW w:w="4025" w:type="dxa"/>
          </w:tcPr>
          <w:p w14:paraId="4A2CE151" w14:textId="77777777" w:rsidR="00B7491E" w:rsidRDefault="00B7491E" w:rsidP="00322259">
            <w:pPr>
              <w:pStyle w:val="TableBlock"/>
            </w:pPr>
            <w:r>
              <w:rPr>
                <w:rFonts w:hint="cs"/>
                <w:rtl/>
              </w:rPr>
              <w:t>(1)</w:t>
            </w:r>
            <w:r>
              <w:rPr>
                <w:rtl/>
              </w:rPr>
              <w:tab/>
            </w:r>
            <w:r w:rsidRPr="009379F8">
              <w:rPr>
                <w:rFonts w:hint="cs"/>
                <w:rtl/>
              </w:rPr>
              <w:t>המנהל הכללי של העירייה או מי שהוא מינה לנציגו והוא יהיה יושב ראש הוועדה</w:t>
            </w:r>
            <w:r w:rsidRPr="009379F8">
              <w:rPr>
                <w:rFonts w:ascii="David" w:eastAsia="Arial" w:hAnsi="David"/>
                <w:sz w:val="26"/>
                <w:rtl/>
              </w:rPr>
              <w:t>;</w:t>
            </w:r>
          </w:p>
        </w:tc>
      </w:tr>
      <w:tr w:rsidR="00B7491E" w14:paraId="0D74318A" w14:textId="77777777" w:rsidTr="00322259">
        <w:trPr>
          <w:cantSplit/>
        </w:trPr>
        <w:tc>
          <w:tcPr>
            <w:tcW w:w="1869" w:type="dxa"/>
          </w:tcPr>
          <w:p w14:paraId="64DC4DDA" w14:textId="77777777" w:rsidR="00B7491E" w:rsidRDefault="00B7491E" w:rsidP="001A1B23">
            <w:pPr>
              <w:pStyle w:val="TableSideHeading"/>
            </w:pPr>
          </w:p>
        </w:tc>
        <w:tc>
          <w:tcPr>
            <w:tcW w:w="624" w:type="dxa"/>
          </w:tcPr>
          <w:p w14:paraId="72A383CD" w14:textId="77777777" w:rsidR="00B7491E" w:rsidRDefault="00B7491E" w:rsidP="001A1B23">
            <w:pPr>
              <w:pStyle w:val="TableText"/>
            </w:pPr>
          </w:p>
        </w:tc>
        <w:tc>
          <w:tcPr>
            <w:tcW w:w="624" w:type="dxa"/>
          </w:tcPr>
          <w:p w14:paraId="060446FD" w14:textId="77777777" w:rsidR="00B7491E" w:rsidRDefault="00B7491E" w:rsidP="001A1B23">
            <w:pPr>
              <w:pStyle w:val="TableText"/>
            </w:pPr>
          </w:p>
        </w:tc>
        <w:tc>
          <w:tcPr>
            <w:tcW w:w="624" w:type="dxa"/>
          </w:tcPr>
          <w:p w14:paraId="6D240098" w14:textId="77777777" w:rsidR="00B7491E" w:rsidRDefault="00B7491E" w:rsidP="001A1B23">
            <w:pPr>
              <w:pStyle w:val="TableText"/>
            </w:pPr>
          </w:p>
        </w:tc>
        <w:tc>
          <w:tcPr>
            <w:tcW w:w="624" w:type="dxa"/>
          </w:tcPr>
          <w:p w14:paraId="1937B943" w14:textId="77777777" w:rsidR="00B7491E" w:rsidRDefault="00B7491E" w:rsidP="001A1B23">
            <w:pPr>
              <w:pStyle w:val="TableText"/>
            </w:pPr>
          </w:p>
        </w:tc>
        <w:tc>
          <w:tcPr>
            <w:tcW w:w="624" w:type="dxa"/>
          </w:tcPr>
          <w:p w14:paraId="09CB0481" w14:textId="77777777" w:rsidR="00B7491E" w:rsidRDefault="00B7491E" w:rsidP="001A1B23">
            <w:pPr>
              <w:pStyle w:val="TableText"/>
            </w:pPr>
          </w:p>
        </w:tc>
        <w:tc>
          <w:tcPr>
            <w:tcW w:w="624" w:type="dxa"/>
          </w:tcPr>
          <w:p w14:paraId="4C786F14" w14:textId="77777777" w:rsidR="00B7491E" w:rsidRDefault="00B7491E" w:rsidP="001A1B23">
            <w:pPr>
              <w:pStyle w:val="TableText"/>
            </w:pPr>
          </w:p>
        </w:tc>
        <w:tc>
          <w:tcPr>
            <w:tcW w:w="4025" w:type="dxa"/>
          </w:tcPr>
          <w:p w14:paraId="434A1E2B" w14:textId="77777777" w:rsidR="00B7491E" w:rsidRDefault="00B7491E" w:rsidP="00322259">
            <w:pPr>
              <w:pStyle w:val="TableBlock"/>
              <w:rPr>
                <w:rtl/>
              </w:rPr>
            </w:pPr>
            <w:r>
              <w:rPr>
                <w:rFonts w:hint="cs"/>
                <w:rtl/>
              </w:rPr>
              <w:t>(2)</w:t>
            </w:r>
            <w:r>
              <w:rPr>
                <w:rtl/>
              </w:rPr>
              <w:tab/>
            </w:r>
            <w:r w:rsidRPr="009379F8">
              <w:rPr>
                <w:rFonts w:ascii="David" w:eastAsia="Arial" w:hAnsi="David" w:hint="cs"/>
                <w:sz w:val="26"/>
                <w:rtl/>
              </w:rPr>
              <w:t>גזבר העירייה או מי שהוא מינה לנציגו</w:t>
            </w:r>
            <w:r w:rsidRPr="009379F8">
              <w:rPr>
                <w:rFonts w:ascii="David" w:eastAsia="Arial" w:hAnsi="David"/>
                <w:sz w:val="26"/>
                <w:rtl/>
              </w:rPr>
              <w:t>;</w:t>
            </w:r>
          </w:p>
        </w:tc>
      </w:tr>
      <w:tr w:rsidR="00B7491E" w14:paraId="6318D010" w14:textId="77777777" w:rsidTr="00322259">
        <w:trPr>
          <w:cantSplit/>
        </w:trPr>
        <w:tc>
          <w:tcPr>
            <w:tcW w:w="1869" w:type="dxa"/>
          </w:tcPr>
          <w:p w14:paraId="3D9D2D69" w14:textId="77777777" w:rsidR="00B7491E" w:rsidRDefault="00B7491E" w:rsidP="001A1B23">
            <w:pPr>
              <w:pStyle w:val="TableSideHeading"/>
            </w:pPr>
          </w:p>
        </w:tc>
        <w:tc>
          <w:tcPr>
            <w:tcW w:w="624" w:type="dxa"/>
          </w:tcPr>
          <w:p w14:paraId="51E3EA6A" w14:textId="77777777" w:rsidR="00B7491E" w:rsidRDefault="00B7491E" w:rsidP="001A1B23">
            <w:pPr>
              <w:pStyle w:val="TableText"/>
            </w:pPr>
          </w:p>
        </w:tc>
        <w:tc>
          <w:tcPr>
            <w:tcW w:w="624" w:type="dxa"/>
          </w:tcPr>
          <w:p w14:paraId="2FA4B31C" w14:textId="77777777" w:rsidR="00B7491E" w:rsidRDefault="00B7491E" w:rsidP="001A1B23">
            <w:pPr>
              <w:pStyle w:val="TableText"/>
            </w:pPr>
          </w:p>
        </w:tc>
        <w:tc>
          <w:tcPr>
            <w:tcW w:w="624" w:type="dxa"/>
          </w:tcPr>
          <w:p w14:paraId="5C780167" w14:textId="77777777" w:rsidR="00B7491E" w:rsidRDefault="00B7491E" w:rsidP="001A1B23">
            <w:pPr>
              <w:pStyle w:val="TableText"/>
            </w:pPr>
          </w:p>
        </w:tc>
        <w:tc>
          <w:tcPr>
            <w:tcW w:w="624" w:type="dxa"/>
          </w:tcPr>
          <w:p w14:paraId="02DAAA28" w14:textId="77777777" w:rsidR="00B7491E" w:rsidRDefault="00B7491E" w:rsidP="001A1B23">
            <w:pPr>
              <w:pStyle w:val="TableText"/>
            </w:pPr>
          </w:p>
        </w:tc>
        <w:tc>
          <w:tcPr>
            <w:tcW w:w="624" w:type="dxa"/>
          </w:tcPr>
          <w:p w14:paraId="19BE7CED" w14:textId="77777777" w:rsidR="00B7491E" w:rsidRDefault="00B7491E" w:rsidP="001A1B23">
            <w:pPr>
              <w:pStyle w:val="TableText"/>
            </w:pPr>
          </w:p>
        </w:tc>
        <w:tc>
          <w:tcPr>
            <w:tcW w:w="624" w:type="dxa"/>
          </w:tcPr>
          <w:p w14:paraId="3BCB5303" w14:textId="77777777" w:rsidR="00B7491E" w:rsidRDefault="00B7491E" w:rsidP="001A1B23">
            <w:pPr>
              <w:pStyle w:val="TableText"/>
            </w:pPr>
          </w:p>
        </w:tc>
        <w:tc>
          <w:tcPr>
            <w:tcW w:w="4025" w:type="dxa"/>
          </w:tcPr>
          <w:p w14:paraId="023C6C71" w14:textId="77777777" w:rsidR="00B7491E" w:rsidRDefault="00B7491E" w:rsidP="00322259">
            <w:pPr>
              <w:pStyle w:val="TableBlock"/>
              <w:rPr>
                <w:rtl/>
              </w:rPr>
            </w:pPr>
            <w:r>
              <w:rPr>
                <w:rFonts w:hint="cs"/>
                <w:rtl/>
              </w:rPr>
              <w:t>(3)</w:t>
            </w:r>
            <w:r>
              <w:rPr>
                <w:rtl/>
              </w:rPr>
              <w:tab/>
            </w:r>
            <w:r w:rsidRPr="009379F8">
              <w:rPr>
                <w:rFonts w:ascii="David" w:eastAsia="Arial" w:hAnsi="David" w:hint="cs"/>
                <w:sz w:val="26"/>
                <w:rtl/>
              </w:rPr>
              <w:t>היועץ המשפטי של העירייה או עורך דין שהוא מינה לנציגו.</w:t>
            </w:r>
          </w:p>
        </w:tc>
      </w:tr>
      <w:tr w:rsidR="00B7491E" w14:paraId="31851FF8" w14:textId="77777777" w:rsidTr="00322259">
        <w:trPr>
          <w:cantSplit/>
        </w:trPr>
        <w:tc>
          <w:tcPr>
            <w:tcW w:w="1869" w:type="dxa"/>
          </w:tcPr>
          <w:p w14:paraId="49F2EBAD" w14:textId="77777777" w:rsidR="00B7491E" w:rsidRDefault="00B7491E" w:rsidP="001A1B23">
            <w:pPr>
              <w:pStyle w:val="TableSideHeading"/>
            </w:pPr>
          </w:p>
        </w:tc>
        <w:tc>
          <w:tcPr>
            <w:tcW w:w="624" w:type="dxa"/>
          </w:tcPr>
          <w:p w14:paraId="074831FB" w14:textId="77777777" w:rsidR="00B7491E" w:rsidRDefault="00B7491E" w:rsidP="001A1B23">
            <w:pPr>
              <w:pStyle w:val="TableText"/>
            </w:pPr>
          </w:p>
        </w:tc>
        <w:tc>
          <w:tcPr>
            <w:tcW w:w="624" w:type="dxa"/>
          </w:tcPr>
          <w:p w14:paraId="77B20D66" w14:textId="77777777" w:rsidR="00B7491E" w:rsidRDefault="00B7491E" w:rsidP="001A1B23">
            <w:pPr>
              <w:pStyle w:val="TableText"/>
            </w:pPr>
          </w:p>
        </w:tc>
        <w:tc>
          <w:tcPr>
            <w:tcW w:w="624" w:type="dxa"/>
          </w:tcPr>
          <w:p w14:paraId="04B8EA22" w14:textId="77777777" w:rsidR="00B7491E" w:rsidRDefault="00B7491E" w:rsidP="001A1B23">
            <w:pPr>
              <w:pStyle w:val="TableText"/>
            </w:pPr>
          </w:p>
        </w:tc>
        <w:tc>
          <w:tcPr>
            <w:tcW w:w="624" w:type="dxa"/>
          </w:tcPr>
          <w:p w14:paraId="44FAD95E" w14:textId="77777777" w:rsidR="00B7491E" w:rsidRDefault="00B7491E" w:rsidP="001A1B23">
            <w:pPr>
              <w:pStyle w:val="TableText"/>
            </w:pPr>
          </w:p>
        </w:tc>
        <w:tc>
          <w:tcPr>
            <w:tcW w:w="624" w:type="dxa"/>
          </w:tcPr>
          <w:p w14:paraId="6671BBC5" w14:textId="77777777" w:rsidR="00B7491E" w:rsidRDefault="00B7491E" w:rsidP="001A1B23">
            <w:pPr>
              <w:pStyle w:val="TableText"/>
            </w:pPr>
          </w:p>
        </w:tc>
        <w:tc>
          <w:tcPr>
            <w:tcW w:w="4649" w:type="dxa"/>
            <w:gridSpan w:val="2"/>
          </w:tcPr>
          <w:p w14:paraId="343D5F7D" w14:textId="77777777" w:rsidR="00B7491E" w:rsidRDefault="00B7491E" w:rsidP="00322259">
            <w:pPr>
              <w:pStyle w:val="TableBlock"/>
            </w:pPr>
            <w:r>
              <w:rPr>
                <w:rFonts w:hint="cs"/>
                <w:rtl/>
              </w:rPr>
              <w:t>(ב)</w:t>
            </w:r>
            <w:r>
              <w:rPr>
                <w:rtl/>
              </w:rPr>
              <w:tab/>
            </w:r>
            <w:r w:rsidRPr="009379F8">
              <w:rPr>
                <w:rFonts w:hint="cs"/>
                <w:rtl/>
              </w:rPr>
              <w:t>המנהל הכללי של העירייה, גזבר העירייה והיועץ המשפטי של העירייה, רשאים למנות ממלא מקום להם או לנציגיהם.</w:t>
            </w:r>
          </w:p>
        </w:tc>
      </w:tr>
      <w:tr w:rsidR="00B7491E" w14:paraId="491BE3BE" w14:textId="77777777" w:rsidTr="00322259">
        <w:trPr>
          <w:cantSplit/>
        </w:trPr>
        <w:tc>
          <w:tcPr>
            <w:tcW w:w="1869" w:type="dxa"/>
          </w:tcPr>
          <w:p w14:paraId="5B28339A" w14:textId="77777777" w:rsidR="00B7491E" w:rsidRDefault="00B7491E" w:rsidP="001A1B23">
            <w:pPr>
              <w:pStyle w:val="TableSideHeading"/>
            </w:pPr>
          </w:p>
        </w:tc>
        <w:tc>
          <w:tcPr>
            <w:tcW w:w="624" w:type="dxa"/>
          </w:tcPr>
          <w:p w14:paraId="305071DD" w14:textId="77777777" w:rsidR="00B7491E" w:rsidRDefault="00B7491E" w:rsidP="001A1B23">
            <w:pPr>
              <w:pStyle w:val="TableText"/>
            </w:pPr>
          </w:p>
        </w:tc>
        <w:tc>
          <w:tcPr>
            <w:tcW w:w="624" w:type="dxa"/>
          </w:tcPr>
          <w:p w14:paraId="192CF9BD" w14:textId="77777777" w:rsidR="00B7491E" w:rsidRDefault="00B7491E" w:rsidP="001A1B23">
            <w:pPr>
              <w:pStyle w:val="TableText"/>
            </w:pPr>
          </w:p>
        </w:tc>
        <w:tc>
          <w:tcPr>
            <w:tcW w:w="624" w:type="dxa"/>
          </w:tcPr>
          <w:p w14:paraId="6D7581F4" w14:textId="77777777" w:rsidR="00B7491E" w:rsidRDefault="00B7491E" w:rsidP="001A1B23">
            <w:pPr>
              <w:pStyle w:val="TableText"/>
            </w:pPr>
          </w:p>
        </w:tc>
        <w:tc>
          <w:tcPr>
            <w:tcW w:w="624" w:type="dxa"/>
          </w:tcPr>
          <w:p w14:paraId="5007539E" w14:textId="77777777" w:rsidR="00B7491E" w:rsidRDefault="00B7491E" w:rsidP="001A1B23">
            <w:pPr>
              <w:pStyle w:val="TableText"/>
            </w:pPr>
          </w:p>
        </w:tc>
        <w:tc>
          <w:tcPr>
            <w:tcW w:w="624" w:type="dxa"/>
          </w:tcPr>
          <w:p w14:paraId="441FB67B" w14:textId="77777777" w:rsidR="00B7491E" w:rsidRDefault="00B7491E" w:rsidP="001A1B23">
            <w:pPr>
              <w:pStyle w:val="TableText"/>
            </w:pPr>
          </w:p>
        </w:tc>
        <w:tc>
          <w:tcPr>
            <w:tcW w:w="4649" w:type="dxa"/>
            <w:gridSpan w:val="2"/>
          </w:tcPr>
          <w:p w14:paraId="0FA85D9C" w14:textId="77777777" w:rsidR="00B7491E" w:rsidRDefault="00B7491E" w:rsidP="00322259">
            <w:pPr>
              <w:pStyle w:val="TableBlock"/>
            </w:pPr>
            <w:r>
              <w:rPr>
                <w:rFonts w:hint="cs"/>
                <w:rtl/>
              </w:rPr>
              <w:t>(ג)</w:t>
            </w:r>
            <w:r>
              <w:rPr>
                <w:rtl/>
              </w:rPr>
              <w:tab/>
            </w:r>
            <w:r w:rsidRPr="009379F8">
              <w:rPr>
                <w:rFonts w:hint="cs"/>
                <w:rtl/>
              </w:rPr>
              <w:t>החלטות ועדת המכרזים יתקבלו ברוב קולות חברי הוועדה, יהיו מנומקות ויירשמו בפרוטוקול שייחתם בידי חברי הוועדה הנוכחים בישיבה</w:t>
            </w:r>
            <w:r w:rsidRPr="009379F8">
              <w:rPr>
                <w:rFonts w:ascii="David" w:eastAsia="Arial" w:hAnsi="David"/>
                <w:sz w:val="26"/>
                <w:rtl/>
              </w:rPr>
              <w:t>;</w:t>
            </w:r>
            <w:r w:rsidRPr="009379F8">
              <w:rPr>
                <w:rFonts w:ascii="David" w:eastAsia="Arial" w:hAnsi="David" w:hint="cs"/>
                <w:sz w:val="26"/>
                <w:rtl/>
              </w:rPr>
              <w:t xml:space="preserve"> כל חברי הוועדה יהיו מניין חוקי בישיבת הוועדה.</w:t>
            </w:r>
          </w:p>
        </w:tc>
      </w:tr>
      <w:tr w:rsidR="00B7491E" w14:paraId="474DE788" w14:textId="77777777" w:rsidTr="00322259">
        <w:trPr>
          <w:cantSplit/>
        </w:trPr>
        <w:tc>
          <w:tcPr>
            <w:tcW w:w="1869" w:type="dxa"/>
          </w:tcPr>
          <w:p w14:paraId="4DFCC118" w14:textId="77777777" w:rsidR="00B7491E" w:rsidRDefault="00B7491E" w:rsidP="001A1B23">
            <w:pPr>
              <w:pStyle w:val="TableSideHeading"/>
            </w:pPr>
          </w:p>
        </w:tc>
        <w:tc>
          <w:tcPr>
            <w:tcW w:w="624" w:type="dxa"/>
          </w:tcPr>
          <w:p w14:paraId="7488A416" w14:textId="77777777" w:rsidR="00B7491E" w:rsidRDefault="00B7491E" w:rsidP="001A1B23">
            <w:pPr>
              <w:pStyle w:val="TableText"/>
            </w:pPr>
          </w:p>
        </w:tc>
        <w:tc>
          <w:tcPr>
            <w:tcW w:w="624" w:type="dxa"/>
          </w:tcPr>
          <w:p w14:paraId="390BCF30" w14:textId="77777777" w:rsidR="00B7491E" w:rsidRDefault="00B7491E" w:rsidP="001A1B23">
            <w:pPr>
              <w:pStyle w:val="TableText"/>
            </w:pPr>
          </w:p>
        </w:tc>
        <w:tc>
          <w:tcPr>
            <w:tcW w:w="624" w:type="dxa"/>
          </w:tcPr>
          <w:p w14:paraId="15182D32" w14:textId="77777777" w:rsidR="00B7491E" w:rsidRDefault="00B7491E" w:rsidP="001A1B23">
            <w:pPr>
              <w:pStyle w:val="TableText"/>
            </w:pPr>
          </w:p>
        </w:tc>
        <w:tc>
          <w:tcPr>
            <w:tcW w:w="624" w:type="dxa"/>
          </w:tcPr>
          <w:p w14:paraId="5B8A98F3" w14:textId="77777777" w:rsidR="00B7491E" w:rsidRDefault="00B7491E" w:rsidP="001A1B23">
            <w:pPr>
              <w:pStyle w:val="TableText"/>
            </w:pPr>
          </w:p>
        </w:tc>
        <w:tc>
          <w:tcPr>
            <w:tcW w:w="624" w:type="dxa"/>
          </w:tcPr>
          <w:p w14:paraId="6F1A8E8C" w14:textId="77777777" w:rsidR="00B7491E" w:rsidRDefault="00B7491E" w:rsidP="001A1B23">
            <w:pPr>
              <w:pStyle w:val="TableText"/>
            </w:pPr>
          </w:p>
        </w:tc>
        <w:tc>
          <w:tcPr>
            <w:tcW w:w="4649" w:type="dxa"/>
            <w:gridSpan w:val="2"/>
          </w:tcPr>
          <w:p w14:paraId="68DB7CC1" w14:textId="77777777" w:rsidR="00B7491E" w:rsidRDefault="00B7491E" w:rsidP="00322259">
            <w:pPr>
              <w:pStyle w:val="TableBlock"/>
            </w:pPr>
            <w:r>
              <w:rPr>
                <w:rFonts w:hint="cs"/>
                <w:rtl/>
              </w:rPr>
              <w:t>(ד)</w:t>
            </w:r>
            <w:r>
              <w:rPr>
                <w:rtl/>
              </w:rPr>
              <w:tab/>
            </w:r>
            <w:r w:rsidRPr="009379F8">
              <w:rPr>
                <w:rFonts w:hint="cs"/>
                <w:rtl/>
              </w:rPr>
              <w:t>אין בהוראות סעיף זה כדי לגרוע משאר הוראות הפקודה והוראות כל דין לעניין התקשרות העירייה בחוזה.</w:t>
            </w:r>
          </w:p>
        </w:tc>
      </w:tr>
      <w:tr w:rsidR="00322259" w14:paraId="1D6A1C24" w14:textId="77777777" w:rsidTr="00322259">
        <w:trPr>
          <w:cantSplit/>
          <w:trHeight w:val="60"/>
        </w:trPr>
        <w:tc>
          <w:tcPr>
            <w:tcW w:w="1869" w:type="dxa"/>
          </w:tcPr>
          <w:p w14:paraId="0C411821" w14:textId="77777777" w:rsidR="00322259" w:rsidRDefault="00322259">
            <w:pPr>
              <w:pStyle w:val="TableSideHeading"/>
              <w:keepLines w:val="0"/>
            </w:pPr>
          </w:p>
        </w:tc>
        <w:tc>
          <w:tcPr>
            <w:tcW w:w="624" w:type="dxa"/>
          </w:tcPr>
          <w:p w14:paraId="384759DE" w14:textId="77777777" w:rsidR="00322259" w:rsidRDefault="00322259">
            <w:pPr>
              <w:pStyle w:val="TableText"/>
              <w:keepLines w:val="0"/>
            </w:pPr>
          </w:p>
        </w:tc>
        <w:tc>
          <w:tcPr>
            <w:tcW w:w="1872" w:type="dxa"/>
            <w:gridSpan w:val="3"/>
          </w:tcPr>
          <w:p w14:paraId="244F761D" w14:textId="0471FB4D" w:rsidR="00322259" w:rsidRDefault="00322259">
            <w:pPr>
              <w:pStyle w:val="TableInnerSideHeading"/>
            </w:pPr>
            <w:r w:rsidRPr="00322259">
              <w:rPr>
                <w:rFonts w:hint="cs"/>
                <w:rtl/>
              </w:rPr>
              <w:t>תפקידי ועדת המכרזים</w:t>
            </w:r>
          </w:p>
        </w:tc>
        <w:tc>
          <w:tcPr>
            <w:tcW w:w="624" w:type="dxa"/>
          </w:tcPr>
          <w:p w14:paraId="1772EF8F" w14:textId="14588E14" w:rsidR="00322259" w:rsidRDefault="00322259">
            <w:pPr>
              <w:pStyle w:val="TableText"/>
            </w:pPr>
            <w:r w:rsidRPr="00322259">
              <w:rPr>
                <w:rFonts w:hint="cs"/>
                <w:rtl/>
              </w:rPr>
              <w:t>197ב.</w:t>
            </w:r>
          </w:p>
        </w:tc>
        <w:tc>
          <w:tcPr>
            <w:tcW w:w="4649" w:type="dxa"/>
            <w:gridSpan w:val="2"/>
          </w:tcPr>
          <w:p w14:paraId="2F5CFD31" w14:textId="1C5C4C5E" w:rsidR="00322259" w:rsidRDefault="00322259">
            <w:pPr>
              <w:pStyle w:val="TableBlock"/>
            </w:pPr>
            <w:r w:rsidRPr="00322259">
              <w:rPr>
                <w:rtl/>
              </w:rPr>
              <w:t xml:space="preserve">תפקידי ועדת המכרזים הם להחליט על כל התקשרות לביצוע עסקה בטובין או במקרקעין, לביצוע עבודה או לרכישת שירותים שמבצעת העירייה, לערוך הליך התקשרות במכרז או בפטור ממכרז ולקבל כל החלטה הנדרשת לביצוע תפקידיה; לעניין זה, "התקשרות" </w:t>
            </w:r>
            <w:r w:rsidRPr="00322259">
              <w:rPr>
                <w:rFonts w:hint="cs"/>
                <w:rtl/>
              </w:rPr>
              <w:t>–</w:t>
            </w:r>
            <w:r w:rsidRPr="00322259">
              <w:rPr>
                <w:rtl/>
              </w:rPr>
              <w:t xml:space="preserve"> למעט התקשרות כאמור בסעיפים 198א או 198ב."</w:t>
            </w:r>
          </w:p>
        </w:tc>
      </w:tr>
      <w:tr w:rsidR="00B7491E" w:rsidRPr="009379F8" w14:paraId="287D25AF" w14:textId="77777777" w:rsidTr="00322259">
        <w:trPr>
          <w:cantSplit/>
        </w:trPr>
        <w:tc>
          <w:tcPr>
            <w:tcW w:w="1869" w:type="dxa"/>
          </w:tcPr>
          <w:p w14:paraId="36BF3C47" w14:textId="77777777" w:rsidR="00B7491E" w:rsidRPr="00322259" w:rsidRDefault="00B7491E" w:rsidP="00322259">
            <w:pPr>
              <w:pStyle w:val="TableSideHeading"/>
              <w:outlineLvl w:val="9"/>
            </w:pPr>
            <w:r w:rsidRPr="00322259">
              <w:rPr>
                <w:rFonts w:hint="cs"/>
                <w:rtl/>
              </w:rPr>
              <w:t>תיקון סעיף 198</w:t>
            </w:r>
          </w:p>
        </w:tc>
        <w:tc>
          <w:tcPr>
            <w:tcW w:w="624" w:type="dxa"/>
          </w:tcPr>
          <w:p w14:paraId="617834A6" w14:textId="77777777" w:rsidR="00B7491E" w:rsidRPr="00322259" w:rsidRDefault="00B7491E" w:rsidP="00322259">
            <w:pPr>
              <w:pStyle w:val="TableText"/>
              <w:jc w:val="both"/>
            </w:pPr>
            <w:r w:rsidRPr="00322259">
              <w:rPr>
                <w:rFonts w:hint="cs"/>
                <w:rtl/>
              </w:rPr>
              <w:t>7.</w:t>
            </w:r>
          </w:p>
        </w:tc>
        <w:tc>
          <w:tcPr>
            <w:tcW w:w="7145" w:type="dxa"/>
            <w:gridSpan w:val="6"/>
          </w:tcPr>
          <w:p w14:paraId="5B88C1BC" w14:textId="77777777" w:rsidR="00B7491E" w:rsidRPr="00322259" w:rsidRDefault="00B7491E" w:rsidP="00322259">
            <w:pPr>
              <w:pStyle w:val="TableBlock"/>
            </w:pPr>
            <w:r w:rsidRPr="00322259">
              <w:rPr>
                <w:rFonts w:hint="cs"/>
                <w:rtl/>
              </w:rPr>
              <w:t>בסעיף 198 לפקודה, אחרי "לקבוע בהן" יבוא "תנאים להבטחת קיומו של מכרז וכן".</w:t>
            </w:r>
          </w:p>
        </w:tc>
      </w:tr>
      <w:tr w:rsidR="00B7491E" w:rsidRPr="009379F8" w14:paraId="2162134E" w14:textId="77777777" w:rsidTr="00322259">
        <w:trPr>
          <w:cantSplit/>
        </w:trPr>
        <w:tc>
          <w:tcPr>
            <w:tcW w:w="1869" w:type="dxa"/>
          </w:tcPr>
          <w:p w14:paraId="641B82FD" w14:textId="77777777" w:rsidR="00B7491E" w:rsidRPr="00322259" w:rsidRDefault="00B7491E" w:rsidP="00322259">
            <w:pPr>
              <w:pStyle w:val="TableSideHeading"/>
              <w:outlineLvl w:val="9"/>
            </w:pPr>
            <w:r w:rsidRPr="00322259">
              <w:rPr>
                <w:rFonts w:hint="cs"/>
                <w:rtl/>
              </w:rPr>
              <w:t>תיקון פקודת המועצות המקומיות</w:t>
            </w:r>
          </w:p>
        </w:tc>
        <w:tc>
          <w:tcPr>
            <w:tcW w:w="624" w:type="dxa"/>
          </w:tcPr>
          <w:p w14:paraId="0E7D0AA4" w14:textId="77777777" w:rsidR="00B7491E" w:rsidRPr="00322259" w:rsidRDefault="00B7491E" w:rsidP="00322259">
            <w:pPr>
              <w:pStyle w:val="TableText"/>
              <w:jc w:val="both"/>
            </w:pPr>
            <w:r w:rsidRPr="00322259">
              <w:rPr>
                <w:rFonts w:hint="cs"/>
                <w:rtl/>
              </w:rPr>
              <w:t>8.</w:t>
            </w:r>
          </w:p>
        </w:tc>
        <w:tc>
          <w:tcPr>
            <w:tcW w:w="7145" w:type="dxa"/>
            <w:gridSpan w:val="6"/>
          </w:tcPr>
          <w:p w14:paraId="26DDADD2" w14:textId="618B9D80" w:rsidR="00B7491E" w:rsidRPr="00322259" w:rsidRDefault="00B7491E" w:rsidP="00322259">
            <w:pPr>
              <w:pStyle w:val="TableBlock"/>
            </w:pPr>
            <w:r w:rsidRPr="00322259">
              <w:rPr>
                <w:rFonts w:hint="cs"/>
                <w:rtl/>
              </w:rPr>
              <w:t>בפקודת המועצות המקומיות</w:t>
            </w:r>
            <w:r w:rsidR="00322259">
              <w:rPr>
                <w:rStyle w:val="a5"/>
                <w:rtl/>
              </w:rPr>
              <w:footnoteReference w:id="3"/>
            </w:r>
            <w:r w:rsidRPr="00322259">
              <w:rPr>
                <w:rFonts w:hint="cs"/>
                <w:rtl/>
              </w:rPr>
              <w:t xml:space="preserve">, </w:t>
            </w:r>
            <w:r w:rsidR="00322259">
              <w:rPr>
                <w:rFonts w:hint="cs"/>
                <w:rtl/>
              </w:rPr>
              <w:t xml:space="preserve">בסעיף 13ב, </w:t>
            </w:r>
            <w:r w:rsidR="00322259" w:rsidRPr="00322259">
              <w:t xml:space="preserve"> </w:t>
            </w:r>
            <w:r w:rsidR="00322259">
              <w:rPr>
                <w:rFonts w:hint="cs"/>
                <w:rtl/>
              </w:rPr>
              <w:t>האמור בו יסומן "(א)", ובו, במקום "ו-149יב" יבוא "149יב, ו-196 עד 198ב", ובסופו יבוא:</w:t>
            </w:r>
          </w:p>
        </w:tc>
      </w:tr>
      <w:tr w:rsidR="00322259" w14:paraId="076DFCFD" w14:textId="77777777" w:rsidTr="004E38BF">
        <w:trPr>
          <w:cantSplit/>
        </w:trPr>
        <w:tc>
          <w:tcPr>
            <w:tcW w:w="1869" w:type="dxa"/>
          </w:tcPr>
          <w:p w14:paraId="4DE23A2E" w14:textId="77777777" w:rsidR="00322259" w:rsidRDefault="00322259" w:rsidP="001A1B23">
            <w:pPr>
              <w:pStyle w:val="TableSideHeading"/>
            </w:pPr>
          </w:p>
        </w:tc>
        <w:tc>
          <w:tcPr>
            <w:tcW w:w="624" w:type="dxa"/>
          </w:tcPr>
          <w:p w14:paraId="7ADEE78D" w14:textId="77777777" w:rsidR="00322259" w:rsidRDefault="00322259" w:rsidP="001A1B23">
            <w:pPr>
              <w:pStyle w:val="TableText"/>
            </w:pPr>
          </w:p>
        </w:tc>
        <w:tc>
          <w:tcPr>
            <w:tcW w:w="7145" w:type="dxa"/>
            <w:gridSpan w:val="6"/>
          </w:tcPr>
          <w:p w14:paraId="44338479" w14:textId="7841E2CC" w:rsidR="00322259" w:rsidRDefault="00322259" w:rsidP="00322259">
            <w:pPr>
              <w:pStyle w:val="TableBlock"/>
            </w:pPr>
            <w:r>
              <w:rPr>
                <w:rFonts w:hint="cs"/>
                <w:rtl/>
              </w:rPr>
              <w:t>"(ב)</w:t>
            </w:r>
            <w:r>
              <w:rPr>
                <w:rtl/>
              </w:rPr>
              <w:tab/>
            </w:r>
            <w:r>
              <w:rPr>
                <w:rFonts w:hint="cs"/>
                <w:rtl/>
              </w:rPr>
              <w:t xml:space="preserve">על אף האמור בסעיף קטן (א), </w:t>
            </w:r>
            <w:r w:rsidRPr="009379F8">
              <w:rPr>
                <w:rFonts w:hint="cs"/>
                <w:rtl/>
              </w:rPr>
              <w:t>חבר הוועדה כאמור בסעיף 197א(א)(3) לפקודה האמורה, יכול שיה</w:t>
            </w:r>
            <w:r w:rsidR="005D6601">
              <w:rPr>
                <w:rFonts w:hint="cs"/>
                <w:rtl/>
              </w:rPr>
              <w:t>יה מי שאינו עובד המועצה המקומית."</w:t>
            </w:r>
          </w:p>
        </w:tc>
      </w:tr>
      <w:tr w:rsidR="003D00A5" w14:paraId="32524C31" w14:textId="77777777" w:rsidTr="004E38BF">
        <w:trPr>
          <w:cantSplit/>
        </w:trPr>
        <w:tc>
          <w:tcPr>
            <w:tcW w:w="1869" w:type="dxa"/>
          </w:tcPr>
          <w:p w14:paraId="65509AC6" w14:textId="7773AA93" w:rsidR="003D00A5" w:rsidRDefault="003D00A5" w:rsidP="003D00A5">
            <w:pPr>
              <w:pStyle w:val="TableSideHeading"/>
            </w:pPr>
            <w:r w:rsidRPr="00322259">
              <w:rPr>
                <w:rFonts w:hint="cs"/>
                <w:rtl/>
              </w:rPr>
              <w:lastRenderedPageBreak/>
              <w:t>הוראת מעבר</w:t>
            </w:r>
          </w:p>
        </w:tc>
        <w:tc>
          <w:tcPr>
            <w:tcW w:w="624" w:type="dxa"/>
          </w:tcPr>
          <w:p w14:paraId="604E7B70" w14:textId="42015467" w:rsidR="003D00A5" w:rsidRDefault="003D00A5" w:rsidP="003D00A5">
            <w:pPr>
              <w:pStyle w:val="TableText"/>
            </w:pPr>
            <w:r>
              <w:rPr>
                <w:rFonts w:hint="cs"/>
                <w:rtl/>
              </w:rPr>
              <w:t>9</w:t>
            </w:r>
            <w:r w:rsidRPr="00322259">
              <w:rPr>
                <w:rFonts w:hint="cs"/>
                <w:rtl/>
              </w:rPr>
              <w:t>.</w:t>
            </w:r>
          </w:p>
        </w:tc>
        <w:tc>
          <w:tcPr>
            <w:tcW w:w="7145" w:type="dxa"/>
            <w:gridSpan w:val="6"/>
          </w:tcPr>
          <w:p w14:paraId="3DE26BE7" w14:textId="1445F86E" w:rsidR="003D00A5" w:rsidRDefault="003D00A5" w:rsidP="003D00A5">
            <w:pPr>
              <w:pStyle w:val="TableBlock"/>
              <w:rPr>
                <w:rtl/>
              </w:rPr>
            </w:pPr>
            <w:r w:rsidRPr="00322259">
              <w:rPr>
                <w:rFonts w:hint="cs"/>
                <w:rtl/>
              </w:rPr>
              <w:t>צו שהותקן לפי סעיף 2 לפקודת המועצות המקומיות, בעניין מכרזים, ושהיה בתוקף ערב תחילת</w:t>
            </w:r>
            <w:r>
              <w:rPr>
                <w:rFonts w:hint="cs"/>
                <w:rtl/>
              </w:rPr>
              <w:t>ו</w:t>
            </w:r>
            <w:r w:rsidRPr="00322259">
              <w:rPr>
                <w:rFonts w:hint="cs"/>
                <w:rtl/>
              </w:rPr>
              <w:t xml:space="preserve"> </w:t>
            </w:r>
            <w:r>
              <w:rPr>
                <w:rFonts w:hint="cs"/>
                <w:rtl/>
              </w:rPr>
              <w:t xml:space="preserve">של </w:t>
            </w:r>
            <w:r w:rsidRPr="00322259">
              <w:rPr>
                <w:rFonts w:hint="cs"/>
                <w:rtl/>
              </w:rPr>
              <w:t xml:space="preserve">חוק זה, יראו אותו כאילו הותקן לפי סעיף 198 לפקודה, כנוסחו </w:t>
            </w:r>
            <w:r>
              <w:rPr>
                <w:rFonts w:hint="cs"/>
                <w:rtl/>
              </w:rPr>
              <w:t>ב</w:t>
            </w:r>
            <w:r w:rsidRPr="00322259">
              <w:rPr>
                <w:rFonts w:hint="cs"/>
                <w:rtl/>
              </w:rPr>
              <w:t>חוק זה, כפי שהוחל בסעיף 13ה1 לפקודת</w:t>
            </w:r>
            <w:r>
              <w:rPr>
                <w:rFonts w:hint="cs"/>
                <w:rtl/>
              </w:rPr>
              <w:t xml:space="preserve"> המועצות המקומיות, כנוסחו ב</w:t>
            </w:r>
            <w:r w:rsidRPr="00322259">
              <w:rPr>
                <w:rFonts w:hint="cs"/>
                <w:rtl/>
              </w:rPr>
              <w:t>חוק זה.</w:t>
            </w:r>
          </w:p>
        </w:tc>
      </w:tr>
      <w:tr w:rsidR="003D00A5" w14:paraId="3A22A816" w14:textId="77777777" w:rsidTr="00322259">
        <w:trPr>
          <w:cantSplit/>
        </w:trPr>
        <w:tc>
          <w:tcPr>
            <w:tcW w:w="1869" w:type="dxa"/>
          </w:tcPr>
          <w:p w14:paraId="0030B76B" w14:textId="7D9B7E2E" w:rsidR="003D00A5" w:rsidRDefault="003D00A5" w:rsidP="003D00A5">
            <w:pPr>
              <w:pStyle w:val="TableSideHeading"/>
              <w:keepLines w:val="0"/>
            </w:pPr>
            <w:r>
              <w:rPr>
                <w:rtl/>
              </w:rPr>
              <w:t>תחילה</w:t>
            </w:r>
          </w:p>
        </w:tc>
        <w:tc>
          <w:tcPr>
            <w:tcW w:w="624" w:type="dxa"/>
          </w:tcPr>
          <w:p w14:paraId="67F92BBB" w14:textId="4E60CA3F" w:rsidR="003D00A5" w:rsidRDefault="003D00A5" w:rsidP="003D00A5">
            <w:pPr>
              <w:pStyle w:val="TableText"/>
              <w:keepLines w:val="0"/>
            </w:pPr>
            <w:r>
              <w:rPr>
                <w:rFonts w:hint="cs"/>
                <w:rtl/>
              </w:rPr>
              <w:t>10.</w:t>
            </w:r>
          </w:p>
        </w:tc>
        <w:tc>
          <w:tcPr>
            <w:tcW w:w="7145" w:type="dxa"/>
            <w:gridSpan w:val="6"/>
          </w:tcPr>
          <w:p w14:paraId="5D0F970D" w14:textId="22A5F9A1" w:rsidR="003D00A5" w:rsidRPr="00C34DE2" w:rsidRDefault="003D00A5" w:rsidP="003D00A5">
            <w:pPr>
              <w:pStyle w:val="TableBlock"/>
            </w:pPr>
            <w:r>
              <w:rPr>
                <w:rtl/>
              </w:rPr>
              <w:t>תחילת החוק ביום י</w:t>
            </w:r>
            <w:r>
              <w:rPr>
                <w:rFonts w:hint="cs"/>
                <w:rtl/>
              </w:rPr>
              <w:t>"א</w:t>
            </w:r>
            <w:r>
              <w:rPr>
                <w:rtl/>
              </w:rPr>
              <w:t xml:space="preserve"> בחשוון התשפ"</w:t>
            </w:r>
            <w:r>
              <w:rPr>
                <w:rFonts w:hint="cs"/>
                <w:rtl/>
              </w:rPr>
              <w:t>ו</w:t>
            </w:r>
            <w:r>
              <w:rPr>
                <w:rtl/>
              </w:rPr>
              <w:t xml:space="preserve"> (2 בנובמבר 202</w:t>
            </w:r>
            <w:r>
              <w:rPr>
                <w:rFonts w:hint="cs"/>
                <w:rtl/>
              </w:rPr>
              <w:t>5</w:t>
            </w:r>
            <w:r>
              <w:rPr>
                <w:rtl/>
              </w:rPr>
              <w:t>).</w:t>
            </w:r>
          </w:p>
        </w:tc>
      </w:tr>
    </w:tbl>
    <w:p w14:paraId="55AC7F1A" w14:textId="77777777" w:rsidR="00B7491E" w:rsidRDefault="00B7491E" w:rsidP="00B7491E">
      <w:pPr>
        <w:pStyle w:val="HeadDivreiHesber"/>
        <w:ind w:left="3600"/>
        <w:jc w:val="both"/>
        <w:rPr>
          <w:rtl/>
        </w:rPr>
      </w:pPr>
      <w:r w:rsidRPr="0027450A">
        <w:rPr>
          <w:rFonts w:hint="cs"/>
          <w:rtl/>
        </w:rPr>
        <w:t>דברי הסבר</w:t>
      </w:r>
    </w:p>
    <w:p w14:paraId="5594FD1C" w14:textId="096E5CD5" w:rsidR="00B7491E" w:rsidRPr="009F6C66" w:rsidRDefault="00B7491E" w:rsidP="003D00A5">
      <w:pPr>
        <w:pStyle w:val="Hesber"/>
      </w:pPr>
      <w:r w:rsidRPr="009F6C66">
        <w:rPr>
          <w:rtl/>
        </w:rPr>
        <w:t>במסגרת החלטת ממשלת ישראל</w:t>
      </w:r>
      <w:r w:rsidR="003D00A5">
        <w:rPr>
          <w:rFonts w:hint="cs"/>
          <w:rtl/>
        </w:rPr>
        <w:t xml:space="preserve"> מס'</w:t>
      </w:r>
      <w:r w:rsidR="003D00A5">
        <w:rPr>
          <w:rtl/>
        </w:rPr>
        <w:t xml:space="preserve"> 549 </w:t>
      </w:r>
      <w:r w:rsidR="003D00A5">
        <w:rPr>
          <w:rFonts w:hint="cs"/>
          <w:rtl/>
        </w:rPr>
        <w:t>בעניין</w:t>
      </w:r>
      <w:r w:rsidRPr="009F6C66">
        <w:rPr>
          <w:rtl/>
        </w:rPr>
        <w:t xml:space="preserve"> "תכנית לטיפול בתופעות הפשיעה והאלימות בחברה הערבית 202</w:t>
      </w:r>
      <w:r w:rsidR="003D00A5">
        <w:rPr>
          <w:rFonts w:hint="cs"/>
          <w:rtl/>
        </w:rPr>
        <w:t>6</w:t>
      </w:r>
      <w:r w:rsidR="003D00A5" w:rsidRPr="003D00A5">
        <w:rPr>
          <w:rtl/>
        </w:rPr>
        <w:t>–</w:t>
      </w:r>
      <w:r w:rsidRPr="009F6C66">
        <w:rPr>
          <w:rtl/>
        </w:rPr>
        <w:t>202</w:t>
      </w:r>
      <w:r w:rsidR="003D00A5">
        <w:rPr>
          <w:rFonts w:hint="cs"/>
          <w:rtl/>
        </w:rPr>
        <w:t>2</w:t>
      </w:r>
      <w:r w:rsidRPr="009F6C66">
        <w:rPr>
          <w:rtl/>
        </w:rPr>
        <w:t>" מיום</w:t>
      </w:r>
      <w:r w:rsidR="003D00A5">
        <w:rPr>
          <w:rFonts w:hint="cs"/>
          <w:rtl/>
        </w:rPr>
        <w:t xml:space="preserve"> 24 באוקטובר 2021,</w:t>
      </w:r>
      <w:r w:rsidRPr="009F6C66">
        <w:rPr>
          <w:rtl/>
        </w:rPr>
        <w:t xml:space="preserve"> הוחלט, בין השאר, לבחון שינויים והתאמות נדרשים בהליכי המכרזים והתקשרויות ברשויות מקומיות במטרה לצמצם </w:t>
      </w:r>
      <w:r w:rsidR="003D00A5">
        <w:rPr>
          <w:rtl/>
        </w:rPr>
        <w:t>את יכולת ההשפעה של ארגוני פשיעה</w:t>
      </w:r>
      <w:r w:rsidRPr="009F6C66">
        <w:rPr>
          <w:rtl/>
        </w:rPr>
        <w:t xml:space="preserve"> על הליכי ותוצאות</w:t>
      </w:r>
      <w:r w:rsidR="003D00A5">
        <w:rPr>
          <w:rtl/>
        </w:rPr>
        <w:t xml:space="preserve"> המכרזים וההתקשרויות, ובתוך כך </w:t>
      </w:r>
      <w:r w:rsidRPr="009F6C66">
        <w:rPr>
          <w:rtl/>
        </w:rPr>
        <w:t xml:space="preserve">לבחון שינויים נדרשים בהרכב ועדות המכרזים </w:t>
      </w:r>
      <w:r w:rsidR="003D00A5">
        <w:rPr>
          <w:rtl/>
        </w:rPr>
        <w:t>ותפקידיהן, זאת בהתאם להמלצות דו</w:t>
      </w:r>
      <w:r w:rsidRPr="009F6C66">
        <w:rPr>
          <w:rtl/>
        </w:rPr>
        <w:t>ח הצוות לבחינ</w:t>
      </w:r>
      <w:r w:rsidR="003D00A5">
        <w:rPr>
          <w:rtl/>
        </w:rPr>
        <w:t>ת דרכים לחיזוק שלטון החוק וטוהר</w:t>
      </w:r>
      <w:r w:rsidR="003D00A5">
        <w:rPr>
          <w:rFonts w:hint="cs"/>
          <w:rtl/>
        </w:rPr>
        <w:t xml:space="preserve"> </w:t>
      </w:r>
      <w:r w:rsidRPr="009F6C66">
        <w:rPr>
          <w:rtl/>
        </w:rPr>
        <w:t xml:space="preserve">המידות בשלטון המקומי (2016). צוות זה, אשר כלל נציגים מארבעת הגופים הנוגעים לעניין </w:t>
      </w:r>
      <w:r w:rsidR="003D00A5" w:rsidRPr="00322259">
        <w:rPr>
          <w:rFonts w:hint="cs"/>
          <w:rtl/>
        </w:rPr>
        <w:t>–</w:t>
      </w:r>
      <w:r w:rsidRPr="009F6C66">
        <w:rPr>
          <w:rtl/>
        </w:rPr>
        <w:t xml:space="preserve"> משרד המשפטים, משרד הפנים, משטרת ישראל והשלטון המקומי, הגיש דין וחשבון העוסק בשורה של נושאים והמ</w:t>
      </w:r>
      <w:r w:rsidR="003D00A5">
        <w:rPr>
          <w:rtl/>
        </w:rPr>
        <w:t>לצות. מתוך דוח הצוות מוצע ב</w:t>
      </w:r>
      <w:r w:rsidR="003D00A5">
        <w:rPr>
          <w:rFonts w:hint="cs"/>
          <w:rtl/>
        </w:rPr>
        <w:t>הצעת</w:t>
      </w:r>
      <w:r w:rsidR="003D00A5">
        <w:rPr>
          <w:rtl/>
        </w:rPr>
        <w:t xml:space="preserve"> חוק ז</w:t>
      </w:r>
      <w:r w:rsidR="003D00A5">
        <w:rPr>
          <w:rFonts w:hint="cs"/>
          <w:rtl/>
        </w:rPr>
        <w:t>ו</w:t>
      </w:r>
      <w:r w:rsidRPr="009F6C66">
        <w:rPr>
          <w:rtl/>
        </w:rPr>
        <w:t xml:space="preserve"> ליישם את ההמלצות הנוגעות להליכי ותוצאות המכרזים וההתקשרויות.</w:t>
      </w:r>
    </w:p>
    <w:p w14:paraId="5C7FCA3A" w14:textId="77777777" w:rsidR="003D00A5" w:rsidRDefault="00B7491E" w:rsidP="00B7491E">
      <w:pPr>
        <w:pStyle w:val="Hesber"/>
        <w:rPr>
          <w:rtl/>
        </w:rPr>
      </w:pPr>
      <w:r w:rsidRPr="009F6C66">
        <w:rPr>
          <w:rFonts w:hint="cs"/>
          <w:rtl/>
        </w:rPr>
        <w:t xml:space="preserve">הצעת </w:t>
      </w:r>
      <w:r w:rsidRPr="009F6C66">
        <w:rPr>
          <w:rtl/>
        </w:rPr>
        <w:t>החוק מציע</w:t>
      </w:r>
      <w:r w:rsidRPr="009F6C66">
        <w:rPr>
          <w:rFonts w:hint="cs"/>
          <w:rtl/>
        </w:rPr>
        <w:t>ה</w:t>
      </w:r>
      <w:r w:rsidR="003D00A5">
        <w:rPr>
          <w:rtl/>
        </w:rPr>
        <w:t xml:space="preserve"> </w:t>
      </w:r>
      <w:r w:rsidR="003D00A5">
        <w:rPr>
          <w:rFonts w:hint="cs"/>
          <w:rtl/>
        </w:rPr>
        <w:t>לבטל את</w:t>
      </w:r>
      <w:r w:rsidRPr="009F6C66">
        <w:rPr>
          <w:rtl/>
        </w:rPr>
        <w:t xml:space="preserve"> סעיף 148 לפקודת העיריות לעני</w:t>
      </w:r>
      <w:r w:rsidR="003D00A5">
        <w:rPr>
          <w:rtl/>
        </w:rPr>
        <w:t>ין הרכב ועדת המכרזים של העירייה</w:t>
      </w:r>
      <w:r w:rsidRPr="009F6C66">
        <w:rPr>
          <w:rtl/>
        </w:rPr>
        <w:t xml:space="preserve"> ושינוי הרכב ועדת המכרזים בשלטון המ</w:t>
      </w:r>
      <w:r w:rsidR="003D00A5">
        <w:rPr>
          <w:rtl/>
        </w:rPr>
        <w:t>קומי להרכב מקצועי. כמו כן, כיום</w:t>
      </w:r>
      <w:r w:rsidRPr="009F6C66">
        <w:rPr>
          <w:rtl/>
        </w:rPr>
        <w:t xml:space="preserve"> ועדת המכרזים בשלטון המקומי דנה במכרזים בלבד (ולא </w:t>
      </w:r>
      <w:r w:rsidR="003D00A5">
        <w:rPr>
          <w:rFonts w:hint="cs"/>
          <w:rtl/>
        </w:rPr>
        <w:t>ב</w:t>
      </w:r>
      <w:r w:rsidRPr="009F6C66">
        <w:rPr>
          <w:rtl/>
        </w:rPr>
        <w:t>הליכי התקשרות אחרים בפטור ממכרז) והינה גורם ממליץ בלבד. על מנת לטייב ולמקצע תהליך זה</w:t>
      </w:r>
      <w:r w:rsidR="003D00A5">
        <w:rPr>
          <w:rFonts w:hint="cs"/>
          <w:rtl/>
        </w:rPr>
        <w:t>,</w:t>
      </w:r>
      <w:r w:rsidRPr="009F6C66">
        <w:rPr>
          <w:rtl/>
        </w:rPr>
        <w:t xml:space="preserve"> וכפי שהד</w:t>
      </w:r>
      <w:r w:rsidR="003D00A5">
        <w:rPr>
          <w:rtl/>
        </w:rPr>
        <w:t>ברים נוהגים לגבי השלטון המרכזי,</w:t>
      </w:r>
      <w:r w:rsidRPr="009F6C66">
        <w:rPr>
          <w:rtl/>
        </w:rPr>
        <w:t xml:space="preserve"> מוצע לקבוע כי תפקידיה של ועדת המכרזים בשלטון המקומי יהיו להחליט על כל התקשרות לביצוע עסקה בטובין או במקרקעין, לביצוע עבודה או לרכישת שירותים, שמבצעת הרשות המקומית, לערוך הליך התקשרות במכרז או בפטור ממכרז, ולקבל כל החלטה הנדרשת לביצוע תפקידיה.</w:t>
      </w:r>
    </w:p>
    <w:p w14:paraId="4FBEEDE4" w14:textId="116D8EA3" w:rsidR="00B7491E" w:rsidRPr="009F6C66" w:rsidRDefault="00B7491E" w:rsidP="003D00A5">
      <w:pPr>
        <w:pStyle w:val="Hesber"/>
      </w:pPr>
      <w:r w:rsidRPr="009F6C66">
        <w:t xml:space="preserve"> </w:t>
      </w:r>
      <w:r w:rsidRPr="009F6C66">
        <w:rPr>
          <w:rtl/>
        </w:rPr>
        <w:t>כן מוצע להבהיר כי במסגרת סמכותו</w:t>
      </w:r>
      <w:r w:rsidR="003D00A5">
        <w:rPr>
          <w:rtl/>
        </w:rPr>
        <w:t xml:space="preserve"> של שר הפנים לקבוע </w:t>
      </w:r>
      <w:r w:rsidRPr="009F6C66">
        <w:rPr>
          <w:rtl/>
        </w:rPr>
        <w:t xml:space="preserve">תקנות </w:t>
      </w:r>
      <w:r w:rsidR="003D00A5">
        <w:rPr>
          <w:rtl/>
        </w:rPr>
        <w:t>בעניין מכרזים</w:t>
      </w:r>
      <w:r w:rsidR="003D00A5" w:rsidRPr="009F6C66">
        <w:rPr>
          <w:rtl/>
        </w:rPr>
        <w:t xml:space="preserve"> </w:t>
      </w:r>
      <w:r w:rsidR="003D00A5">
        <w:rPr>
          <w:rtl/>
        </w:rPr>
        <w:t>לפי סעיף 198 לפקודת העיריות</w:t>
      </w:r>
      <w:r w:rsidRPr="009F6C66">
        <w:rPr>
          <w:rtl/>
        </w:rPr>
        <w:t xml:space="preserve"> נכללת אף הסמכות לקבוע הוראות </w:t>
      </w:r>
      <w:r w:rsidR="003D00A5">
        <w:rPr>
          <w:rtl/>
        </w:rPr>
        <w:t>לגבי תנאים להבטחת קיומו של מכרז</w:t>
      </w:r>
      <w:r w:rsidRPr="009F6C66">
        <w:rPr>
          <w:rtl/>
        </w:rPr>
        <w:t xml:space="preserve"> כדוגמת ערבות וביטוח. התיקון המוצע יוחל גם על המועצות המקומיות על דרך תיקון פקודת המועצות המקומיות והחלתם של התיקונים המוצעים לפקודת העיריות</w:t>
      </w:r>
      <w:r w:rsidRPr="009F6C66">
        <w:t>.</w:t>
      </w:r>
    </w:p>
    <w:p w14:paraId="6AB9320C" w14:textId="1336DE46" w:rsidR="00B7491E" w:rsidRPr="009F6C66" w:rsidRDefault="00B7491E" w:rsidP="005D6601">
      <w:pPr>
        <w:pStyle w:val="Hesber1st"/>
        <w:tabs>
          <w:tab w:val="clear" w:pos="680"/>
        </w:tabs>
      </w:pPr>
      <w:r w:rsidRPr="003D00A5">
        <w:rPr>
          <w:b/>
          <w:bCs/>
          <w:rtl/>
        </w:rPr>
        <w:t>סעיפים 1 ו-2</w:t>
      </w:r>
      <w:r w:rsidR="003D00A5" w:rsidRPr="003D00A5">
        <w:rPr>
          <w:rFonts w:hint="cs"/>
          <w:b/>
          <w:bCs/>
          <w:rtl/>
        </w:rPr>
        <w:t xml:space="preserve"> </w:t>
      </w:r>
      <w:r w:rsidR="005D6601">
        <w:rPr>
          <w:b/>
          <w:bCs/>
          <w:rtl/>
        </w:rPr>
        <w:tab/>
      </w:r>
      <w:r w:rsidRPr="009F6C66">
        <w:rPr>
          <w:rtl/>
        </w:rPr>
        <w:t>סעיף 148 לפקודת העיריות קובע הוראות לעניין ועדת מכרזים של העירייה. בתוך כך נקבע, כי מועצת העירייה תבחר מבין חבריה ועדת מכרזים קבועה, אשר תפקידה יהיה לבדוק הצעות מחירים המוגשות למועצה בעקבות פרסום מכרז ולהמליץ לפני ראש העירייה על ההצעה שלדעת הוועדה ראויה לאישורו. ראש הרשות רשאי לא לאשר את ההצעה שעליה המליצה הוועדה וכן רשאי לאשר, באישור המועצה, הצעה שוועדת המכרזים לא המליצה עליה. הוראות בנוסח זהה קבועות בסעיף 123 לצו המועצות המקומיות, התשי"א</w:t>
      </w:r>
      <w:r w:rsidR="003D00A5" w:rsidRPr="00322259">
        <w:rPr>
          <w:rFonts w:hint="cs"/>
          <w:rtl/>
        </w:rPr>
        <w:t>–</w:t>
      </w:r>
      <w:r w:rsidR="005D6601">
        <w:rPr>
          <w:rtl/>
        </w:rPr>
        <w:t>1950</w:t>
      </w:r>
      <w:r w:rsidR="005D6601">
        <w:rPr>
          <w:rFonts w:hint="cs"/>
          <w:rtl/>
        </w:rPr>
        <w:t xml:space="preserve">, </w:t>
      </w:r>
      <w:r w:rsidRPr="009F6C66">
        <w:rPr>
          <w:rtl/>
        </w:rPr>
        <w:t>ובסעיף 40א לצו המועצות המקומיות (מועצות אזוריות)</w:t>
      </w:r>
      <w:r w:rsidR="003D00A5">
        <w:rPr>
          <w:rtl/>
        </w:rPr>
        <w:t>, התשי"ח</w:t>
      </w:r>
      <w:r w:rsidR="003D00A5" w:rsidRPr="00322259">
        <w:rPr>
          <w:rFonts w:hint="cs"/>
          <w:rtl/>
        </w:rPr>
        <w:t>–</w:t>
      </w:r>
      <w:r w:rsidR="003D00A5">
        <w:rPr>
          <w:rtl/>
        </w:rPr>
        <w:t>1958.</w:t>
      </w:r>
      <w:r w:rsidRPr="009F6C66">
        <w:rPr>
          <w:rtl/>
        </w:rPr>
        <w:t xml:space="preserve"> </w:t>
      </w:r>
    </w:p>
    <w:p w14:paraId="70799965" w14:textId="2C976197" w:rsidR="00B7491E" w:rsidRPr="009F6C66" w:rsidRDefault="00B7491E" w:rsidP="003D00A5">
      <w:pPr>
        <w:pStyle w:val="Hesber"/>
      </w:pPr>
      <w:r w:rsidRPr="009F6C66">
        <w:rPr>
          <w:rtl/>
        </w:rPr>
        <w:t xml:space="preserve">יצוין, כי ועדת המכרזים ברשות המקומית שונה מוועדת מכרזים בשלטון המרכזי בשני היבטים </w:t>
      </w:r>
      <w:r w:rsidRPr="009F6C66">
        <w:rPr>
          <w:rtl/>
        </w:rPr>
        <w:lastRenderedPageBreak/>
        <w:t>מהותיים: האחד, ועדת המכרזים ברשות מ</w:t>
      </w:r>
      <w:r w:rsidR="003D00A5">
        <w:rPr>
          <w:rtl/>
        </w:rPr>
        <w:t>קומית ממונה על</w:t>
      </w:r>
      <w:r w:rsidR="003D00A5">
        <w:rPr>
          <w:rFonts w:hint="cs"/>
          <w:rtl/>
        </w:rPr>
        <w:t xml:space="preserve"> </w:t>
      </w:r>
      <w:r w:rsidRPr="009F6C66">
        <w:rPr>
          <w:rtl/>
        </w:rPr>
        <w:t>ידי נבחרי ציבור ומורכבת מנבחרי ציבור, ואילו בהתאם להוראת סעיף 8 לתקנות חובת המכרזים, תשנ"ג</w:t>
      </w:r>
      <w:r w:rsidR="003D00A5" w:rsidRPr="00322259">
        <w:rPr>
          <w:rFonts w:hint="cs"/>
          <w:rtl/>
        </w:rPr>
        <w:t>–</w:t>
      </w:r>
      <w:r w:rsidRPr="009F6C66">
        <w:rPr>
          <w:rtl/>
        </w:rPr>
        <w:t>1993, הרכב ועדת המכרזים בשלטון המרכזי כולל  הרכב מקצועי של הגורמים המקצועיים הנוגעים בעניין; השני, נוגע לתפקיד הוועדה. בעוד שתפקידן של ועדות המכרזים הפועלות במסגרת השלטון המרכזי הוא לה</w:t>
      </w:r>
      <w:r w:rsidR="003D00A5">
        <w:rPr>
          <w:rtl/>
        </w:rPr>
        <w:t>חליט בדבר כל התקשרות שמבצע הגוף</w:t>
      </w:r>
      <w:r w:rsidR="003D00A5">
        <w:rPr>
          <w:rFonts w:hint="cs"/>
          <w:rtl/>
        </w:rPr>
        <w:t>,</w:t>
      </w:r>
      <w:r w:rsidRPr="009F6C66">
        <w:rPr>
          <w:rtl/>
        </w:rPr>
        <w:t xml:space="preserve"> ברשויות המקומיות תפקיד ועדת המכרזים אינו נוגע לכל התקש</w:t>
      </w:r>
      <w:r w:rsidR="003D00A5">
        <w:rPr>
          <w:rtl/>
        </w:rPr>
        <w:t>רות</w:t>
      </w:r>
      <w:r w:rsidRPr="009F6C66">
        <w:rPr>
          <w:rtl/>
        </w:rPr>
        <w:t xml:space="preserve"> אלא מוגבל אך ורק למתן המלצה לראש הרשות בעניין התקשרות הטעונה מכרז (ולא התקשרויות בפטור ממכרז), וראש הרשות הוא זה אשר בסמכותו לאשר את ההתקשרות.</w:t>
      </w:r>
    </w:p>
    <w:p w14:paraId="03FE9F19" w14:textId="0E524F31" w:rsidR="00B7491E" w:rsidRPr="009F6C66" w:rsidRDefault="00B7491E" w:rsidP="003D00A5">
      <w:pPr>
        <w:pStyle w:val="Hesber"/>
      </w:pPr>
      <w:r w:rsidRPr="009F6C66">
        <w:rPr>
          <w:rtl/>
        </w:rPr>
        <w:t>ההחלטות המובאות לפתחן של ועדות המכרזים הן החלטות שהשיקולים המנחים בהן מתמקדים בהיבטים ביצועיים מקצועיים הנוגעים להחלטות בעלות אופי נקודתי</w:t>
      </w:r>
      <w:r w:rsidR="003D00A5" w:rsidRPr="00322259">
        <w:rPr>
          <w:rFonts w:hint="cs"/>
          <w:rtl/>
        </w:rPr>
        <w:t>–</w:t>
      </w:r>
      <w:r w:rsidR="003D00A5">
        <w:rPr>
          <w:rtl/>
        </w:rPr>
        <w:t>פרטני (כדוגמת</w:t>
      </w:r>
      <w:r w:rsidRPr="009F6C66">
        <w:rPr>
          <w:rtl/>
        </w:rPr>
        <w:t xml:space="preserve"> זהות הגורם אשר יזכה במכרז זה או אחר), בשונה מהחלטות בעלות אופי עקרוני כחלק מגיבוש</w:t>
      </w:r>
      <w:r w:rsidR="003D00A5">
        <w:rPr>
          <w:rtl/>
        </w:rPr>
        <w:t xml:space="preserve"> וקביעת מדיניות הרשות (כדוגמת</w:t>
      </w:r>
      <w:r w:rsidRPr="009F6C66">
        <w:rPr>
          <w:rtl/>
        </w:rPr>
        <w:t xml:space="preserve"> גיבוש תקציב העירייה שעל בסיסו מתבצעות ההתקשרויות האמורות). לפיכך</w:t>
      </w:r>
      <w:r w:rsidR="003A520B">
        <w:rPr>
          <w:rFonts w:hint="cs"/>
          <w:rtl/>
        </w:rPr>
        <w:t>,</w:t>
      </w:r>
      <w:r w:rsidRPr="009F6C66">
        <w:rPr>
          <w:rtl/>
        </w:rPr>
        <w:t xml:space="preserve"> על מנת לטייב ולמקצע תהליך </w:t>
      </w:r>
      <w:r w:rsidR="003A520B">
        <w:rPr>
          <w:rtl/>
        </w:rPr>
        <w:t>זה ובה</w:t>
      </w:r>
      <w:r w:rsidR="003A520B">
        <w:rPr>
          <w:rFonts w:hint="cs"/>
          <w:rtl/>
        </w:rPr>
        <w:t>שוואה</w:t>
      </w:r>
      <w:r w:rsidRPr="009F6C66">
        <w:rPr>
          <w:rtl/>
        </w:rPr>
        <w:t xml:space="preserve"> לנוהג בשלטון המרכזי, מוצע שחברי ועדת המכרזים יהיו גורמים מקצועיים. </w:t>
      </w:r>
    </w:p>
    <w:p w14:paraId="5A2A28AB" w14:textId="3682112A" w:rsidR="00B7491E" w:rsidRPr="009F6C66" w:rsidRDefault="003A520B" w:rsidP="00B7491E">
      <w:pPr>
        <w:pStyle w:val="Hesber"/>
        <w:rPr>
          <w:rtl/>
        </w:rPr>
      </w:pPr>
      <w:bookmarkStart w:id="8" w:name="_2bn6wsx" w:colFirst="0" w:colLast="0"/>
      <w:bookmarkEnd w:id="8"/>
      <w:r>
        <w:rPr>
          <w:rFonts w:hint="cs"/>
          <w:rtl/>
        </w:rPr>
        <w:t xml:space="preserve">בהמשך </w:t>
      </w:r>
      <w:r w:rsidR="00B7491E" w:rsidRPr="009F6C66">
        <w:rPr>
          <w:rtl/>
        </w:rPr>
        <w:t>לכך, מוצע לבטל את סעיף 148 לפקודת העיר</w:t>
      </w:r>
      <w:r>
        <w:rPr>
          <w:rtl/>
        </w:rPr>
        <w:t>יות</w:t>
      </w:r>
      <w:r w:rsidR="00B7491E" w:rsidRPr="009F6C66">
        <w:rPr>
          <w:rtl/>
        </w:rPr>
        <w:t xml:space="preserve"> שקובע כי חברי ועדת מכרזים בעירייה יהיו מבין חברי מועצת העירייה וכי סמכותה של ועדת המ</w:t>
      </w:r>
      <w:r>
        <w:rPr>
          <w:rtl/>
        </w:rPr>
        <w:t>כרזים בעירייה מוגבלת למתן המלצה</w:t>
      </w:r>
      <w:r w:rsidR="00B7491E" w:rsidRPr="009F6C66">
        <w:rPr>
          <w:rtl/>
        </w:rPr>
        <w:t xml:space="preserve"> </w:t>
      </w:r>
      <w:r>
        <w:rPr>
          <w:rtl/>
        </w:rPr>
        <w:t xml:space="preserve">בלבד </w:t>
      </w:r>
      <w:r>
        <w:rPr>
          <w:rFonts w:hint="cs"/>
          <w:rtl/>
        </w:rPr>
        <w:t>ביחס</w:t>
      </w:r>
      <w:r w:rsidR="00B7491E" w:rsidRPr="009F6C66">
        <w:rPr>
          <w:rtl/>
        </w:rPr>
        <w:t xml:space="preserve"> </w:t>
      </w:r>
      <w:r>
        <w:rPr>
          <w:rFonts w:hint="cs"/>
          <w:rtl/>
        </w:rPr>
        <w:t>ל</w:t>
      </w:r>
      <w:r w:rsidR="00B7491E" w:rsidRPr="009F6C66">
        <w:rPr>
          <w:rtl/>
        </w:rPr>
        <w:t xml:space="preserve">הצעה שהוגשה במכרז שלדעת הוועדה ראויה לאישורו של ראש העירייה. </w:t>
      </w:r>
    </w:p>
    <w:p w14:paraId="1E6716DE" w14:textId="2C00731B" w:rsidR="00B7491E" w:rsidRPr="009F6C66" w:rsidRDefault="003A520B" w:rsidP="005D6601">
      <w:pPr>
        <w:pStyle w:val="Hesber1st"/>
        <w:tabs>
          <w:tab w:val="clear" w:pos="680"/>
        </w:tabs>
      </w:pPr>
      <w:r w:rsidRPr="003A520B">
        <w:rPr>
          <w:rFonts w:hint="cs"/>
          <w:b/>
          <w:bCs/>
          <w:rtl/>
        </w:rPr>
        <w:t>סעיפים</w:t>
      </w:r>
      <w:r w:rsidR="00B7491E" w:rsidRPr="003A520B">
        <w:rPr>
          <w:rFonts w:hint="cs"/>
          <w:b/>
          <w:bCs/>
          <w:rtl/>
        </w:rPr>
        <w:t xml:space="preserve"> 3 ו-4 </w:t>
      </w:r>
      <w:r w:rsidR="005D6601">
        <w:rPr>
          <w:b/>
          <w:bCs/>
          <w:rtl/>
        </w:rPr>
        <w:tab/>
      </w:r>
      <w:r>
        <w:rPr>
          <w:rFonts w:hint="cs"/>
          <w:rtl/>
        </w:rPr>
        <w:t xml:space="preserve">מוצע לבצע </w:t>
      </w:r>
      <w:r w:rsidR="00B7491E" w:rsidRPr="009F6C66">
        <w:rPr>
          <w:rFonts w:hint="cs"/>
          <w:rtl/>
        </w:rPr>
        <w:t>תיקונים טכניים במקומות בהם מוזכרת ועדת המכרזים בתצורתה הנוכחית כאשר אין רלוונטיות יותר להתייחסות אליה לפי הצעה זו.</w:t>
      </w:r>
    </w:p>
    <w:p w14:paraId="73E507F4" w14:textId="1B0B0921" w:rsidR="00B7491E" w:rsidRPr="009F6C66" w:rsidRDefault="00B7491E" w:rsidP="005D6601">
      <w:pPr>
        <w:pStyle w:val="Hesber1st"/>
        <w:tabs>
          <w:tab w:val="clear" w:pos="680"/>
        </w:tabs>
      </w:pPr>
      <w:r w:rsidRPr="00FC02D3">
        <w:rPr>
          <w:b/>
          <w:bCs/>
          <w:rtl/>
        </w:rPr>
        <w:t xml:space="preserve">סעיף </w:t>
      </w:r>
      <w:r w:rsidRPr="00FC02D3">
        <w:rPr>
          <w:rFonts w:hint="cs"/>
          <w:b/>
          <w:bCs/>
          <w:rtl/>
        </w:rPr>
        <w:t>5</w:t>
      </w:r>
      <w:r w:rsidRPr="00FC02D3">
        <w:rPr>
          <w:b/>
          <w:bCs/>
          <w:rtl/>
        </w:rPr>
        <w:t xml:space="preserve"> </w:t>
      </w:r>
      <w:r w:rsidR="005D6601">
        <w:rPr>
          <w:b/>
          <w:bCs/>
          <w:rtl/>
        </w:rPr>
        <w:tab/>
      </w:r>
      <w:r w:rsidRPr="009F6C66">
        <w:rPr>
          <w:rtl/>
        </w:rPr>
        <w:t>סע</w:t>
      </w:r>
      <w:r w:rsidR="003A520B">
        <w:rPr>
          <w:rtl/>
        </w:rPr>
        <w:t>יף 197 לפקודת העיריות, שעניינו חובת מכרזים</w:t>
      </w:r>
      <w:r w:rsidRPr="009F6C66">
        <w:rPr>
          <w:rtl/>
        </w:rPr>
        <w:t>, קובע כי עירייה לא תתקשר בחוזה להעברת מקרקעין, להזמנת טובין או לביצוע עבודה</w:t>
      </w:r>
      <w:r w:rsidR="003A520B">
        <w:rPr>
          <w:rtl/>
        </w:rPr>
        <w:t xml:space="preserve">, אלא על פי מכרז. </w:t>
      </w:r>
      <w:r w:rsidRPr="009F6C66">
        <w:rPr>
          <w:rtl/>
        </w:rPr>
        <w:t>מוצע לתקן את הסעיף האמור ולהתאים את הנוסח בנוגע לחובת המכרז הקבועה בו לגבי עיריות, להיקף חובת המכרז הקבועה בחוק חובת המכרזים, התשנ"ב</w:t>
      </w:r>
      <w:r w:rsidR="003A520B" w:rsidRPr="00322259">
        <w:rPr>
          <w:rFonts w:hint="cs"/>
          <w:rtl/>
        </w:rPr>
        <w:t>–</w:t>
      </w:r>
      <w:r w:rsidRPr="009F6C66">
        <w:rPr>
          <w:rtl/>
        </w:rPr>
        <w:t>199</w:t>
      </w:r>
      <w:r w:rsidR="003A520B">
        <w:rPr>
          <w:rtl/>
        </w:rPr>
        <w:t>2 (</w:t>
      </w:r>
      <w:r w:rsidR="003A520B">
        <w:rPr>
          <w:rFonts w:hint="cs"/>
          <w:rtl/>
        </w:rPr>
        <w:t>להלן</w:t>
      </w:r>
      <w:r w:rsidRPr="009F6C66">
        <w:rPr>
          <w:rtl/>
        </w:rPr>
        <w:t xml:space="preserve"> – חוק חובת המכרזים), החלה על השלטון המרכזי, כך שכל התקשרות לביצוע עיסקה בטובין או במקרקעין, לביצוע עבודה או לרכישת שירותים שמבצעת עירייה תיעשה במכרז, למעט החריגים שייקבעו בתקנות לפי סעיף 198</w:t>
      </w:r>
      <w:r w:rsidR="003A520B">
        <w:rPr>
          <w:rFonts w:hint="cs"/>
          <w:rtl/>
        </w:rPr>
        <w:t xml:space="preserve"> לפקודה</w:t>
      </w:r>
      <w:r w:rsidRPr="009F6C66">
        <w:rPr>
          <w:rtl/>
        </w:rPr>
        <w:t>.</w:t>
      </w:r>
    </w:p>
    <w:p w14:paraId="346F1C85" w14:textId="0511260D" w:rsidR="00B7491E" w:rsidRPr="009F6C66" w:rsidRDefault="00B7491E" w:rsidP="005D6601">
      <w:pPr>
        <w:pStyle w:val="Hesber1st"/>
        <w:tabs>
          <w:tab w:val="clear" w:pos="680"/>
        </w:tabs>
      </w:pPr>
      <w:r w:rsidRPr="003A520B">
        <w:rPr>
          <w:b/>
          <w:bCs/>
          <w:rtl/>
        </w:rPr>
        <w:t xml:space="preserve">סעיף </w:t>
      </w:r>
      <w:r w:rsidRPr="003A520B">
        <w:rPr>
          <w:rFonts w:hint="cs"/>
          <w:b/>
          <w:bCs/>
          <w:rtl/>
        </w:rPr>
        <w:t>6</w:t>
      </w:r>
      <w:r w:rsidRPr="003A520B">
        <w:rPr>
          <w:b/>
          <w:bCs/>
          <w:rtl/>
        </w:rPr>
        <w:t xml:space="preserve"> </w:t>
      </w:r>
      <w:r w:rsidR="005D6601">
        <w:rPr>
          <w:b/>
          <w:bCs/>
          <w:rtl/>
        </w:rPr>
        <w:tab/>
      </w:r>
      <w:r w:rsidR="003A520B">
        <w:rPr>
          <w:rtl/>
        </w:rPr>
        <w:t xml:space="preserve">מוצע </w:t>
      </w:r>
      <w:r w:rsidRPr="009F6C66">
        <w:rPr>
          <w:rtl/>
        </w:rPr>
        <w:t>להוסיף לפקוד</w:t>
      </w:r>
      <w:r w:rsidRPr="009F6C66">
        <w:rPr>
          <w:rFonts w:hint="cs"/>
          <w:rtl/>
        </w:rPr>
        <w:t>ה</w:t>
      </w:r>
      <w:r w:rsidRPr="009F6C66">
        <w:rPr>
          <w:rtl/>
        </w:rPr>
        <w:t xml:space="preserve"> את סעיפים 197א ו-197ב שבמסגרתם ייקבעו הרכב ועדת המכרזים, עבודתה ותפקידיה. בסעיף 197א מוצע לקבוע </w:t>
      </w:r>
      <w:r w:rsidRPr="009F6C66">
        <w:rPr>
          <w:rFonts w:hint="cs"/>
          <w:rtl/>
        </w:rPr>
        <w:t>את הרכב</w:t>
      </w:r>
      <w:r w:rsidRPr="009F6C66">
        <w:rPr>
          <w:rtl/>
        </w:rPr>
        <w:t xml:space="preserve"> ועדת מכרזים בעירייה</w:t>
      </w:r>
      <w:r w:rsidR="003A520B">
        <w:rPr>
          <w:rFonts w:hint="cs"/>
          <w:rtl/>
        </w:rPr>
        <w:t>:</w:t>
      </w:r>
      <w:r w:rsidRPr="009F6C66">
        <w:rPr>
          <w:rtl/>
        </w:rPr>
        <w:t xml:space="preserve"> המנהל הכללי של העירייה או מי שהוא מינה לנציגו; גזבר העירייה או מי שהוא מינה לנציגו; והיועץ המשפטי של העירייה או עורך דין שהוא מינה לנציגו</w:t>
      </w:r>
      <w:r w:rsidRPr="009F6C66">
        <w:rPr>
          <w:rFonts w:hint="cs"/>
          <w:rtl/>
        </w:rPr>
        <w:t xml:space="preserve">. </w:t>
      </w:r>
      <w:r w:rsidRPr="009F6C66">
        <w:rPr>
          <w:rtl/>
        </w:rPr>
        <w:t>יצוין כי לעניין ההחלה על מועצות מקומיות ואזוריות, בהן היועץ המשפטי של הרשות אינו בהכרח עובד המועצה המקומית, מוצע להבהיר כי ניתן יהיה למנות גם מי שאינו עובד המועצה המקומית. בדומה לקבוע בתקנות לפי חוק חובת המכרזים וכדי לאפשר לוועדת המכרזים של העירייה לפעול באופן רצ</w:t>
      </w:r>
      <w:r w:rsidR="003A520B">
        <w:rPr>
          <w:rtl/>
        </w:rPr>
        <w:t>יף מוצע לקבוע בסעיף קטן (ב)</w:t>
      </w:r>
      <w:r w:rsidRPr="009F6C66">
        <w:rPr>
          <w:rtl/>
        </w:rPr>
        <w:t xml:space="preserve"> כי המנהל הכללי של העירייה, גזבר העירייה והיועץ המשפטי של העירייה שהוא עובד עירייה, רשאים למנות ממלא מקום</w:t>
      </w:r>
      <w:r w:rsidR="003A520B">
        <w:rPr>
          <w:rtl/>
        </w:rPr>
        <w:t xml:space="preserve"> להם או לנציגיהם. בסעיף קטן (ג)</w:t>
      </w:r>
      <w:r w:rsidRPr="009F6C66">
        <w:rPr>
          <w:rtl/>
        </w:rPr>
        <w:t xml:space="preserve"> </w:t>
      </w:r>
      <w:r w:rsidRPr="009F6C66">
        <w:rPr>
          <w:rFonts w:hint="cs"/>
          <w:rtl/>
        </w:rPr>
        <w:t>מוצע לקבוע את סדרי העבודה הבסיסיים של הועדה</w:t>
      </w:r>
      <w:r w:rsidRPr="009F6C66">
        <w:rPr>
          <w:rtl/>
        </w:rPr>
        <w:t>. בסעיף קטן (ד) מוצע לקבוע כי אין בהוראות סעיף 197א המוצע כדי לגרוע מהוראות פקודת העיריות והוראות כל דין ל</w:t>
      </w:r>
      <w:r w:rsidR="003A520B">
        <w:rPr>
          <w:rtl/>
        </w:rPr>
        <w:t>עניין התקשרות העירייה בחוזה. כך</w:t>
      </w:r>
      <w:r w:rsidRPr="009F6C66">
        <w:rPr>
          <w:rtl/>
        </w:rPr>
        <w:t xml:space="preserve"> לדוגמא</w:t>
      </w:r>
      <w:r w:rsidR="003A520B">
        <w:rPr>
          <w:rFonts w:hint="cs"/>
          <w:rtl/>
        </w:rPr>
        <w:t>,</w:t>
      </w:r>
      <w:r w:rsidRPr="009F6C66">
        <w:rPr>
          <w:rtl/>
        </w:rPr>
        <w:t xml:space="preserve"> בהתאם לסעיף 188 לפקודת העיריות, מכירה, החלפה או השכרת קרקע של העיריה יאושרו בהחלטה של רוב חברי המועצה של העיריה ובאישורו של שר הפנים או מי שהוא הסמיכו לכך, וניהול הליך ההתקשרות ייעשה על ידי ועדת המכרזים.   </w:t>
      </w:r>
    </w:p>
    <w:p w14:paraId="25A5DDFB" w14:textId="0A364EC4" w:rsidR="00B7491E" w:rsidRPr="009F6C66" w:rsidRDefault="00B7491E" w:rsidP="00B7491E">
      <w:pPr>
        <w:pStyle w:val="Hesber"/>
      </w:pPr>
      <w:r w:rsidRPr="009F6C66">
        <w:rPr>
          <w:rtl/>
        </w:rPr>
        <w:t>בסעיף 197ב מוצע לקבוע כי תפקידי ועדת המכרזים הם להחליט על כל התקשרות לביצוע עיסקה בטובין או במקרקעין, לביצוע עבודה או לרכישת שירותים, שמבצעת עירייה, לערוך הליך התקשרות במכרז או בפטור ממכרז, ולקבל כל החלטה הנדרשת לביצוע תפקידיה, והכול למעט התקשרות כאמור בסעיפים 198א או 198ב שעניינם, בהתאמה, "פטור ממכרז לעבודות פיתוח" ו"ביטוח תאונות אישיו</w:t>
      </w:r>
      <w:r w:rsidR="003A520B">
        <w:rPr>
          <w:rtl/>
        </w:rPr>
        <w:t>ת לתלמידים", ולגביה</w:t>
      </w:r>
      <w:r w:rsidR="003A520B">
        <w:rPr>
          <w:rFonts w:hint="cs"/>
          <w:rtl/>
        </w:rPr>
        <w:t>ן</w:t>
      </w:r>
      <w:r w:rsidRPr="009F6C66">
        <w:rPr>
          <w:rtl/>
        </w:rPr>
        <w:t xml:space="preserve"> נקבע סמכות החלטה לגורמים אחרים כמפורט באותם סעיפים.  </w:t>
      </w:r>
    </w:p>
    <w:p w14:paraId="67419A7B" w14:textId="4AEC8D5A" w:rsidR="00B7491E" w:rsidRPr="009F6C66" w:rsidRDefault="00B7491E" w:rsidP="005D6601">
      <w:pPr>
        <w:pStyle w:val="Hesber1st"/>
        <w:tabs>
          <w:tab w:val="clear" w:pos="680"/>
        </w:tabs>
      </w:pPr>
      <w:r w:rsidRPr="003A520B">
        <w:rPr>
          <w:b/>
          <w:bCs/>
          <w:rtl/>
        </w:rPr>
        <w:t xml:space="preserve">סעיף </w:t>
      </w:r>
      <w:r w:rsidRPr="003A520B">
        <w:rPr>
          <w:rFonts w:hint="cs"/>
          <w:b/>
          <w:bCs/>
          <w:rtl/>
        </w:rPr>
        <w:t>7</w:t>
      </w:r>
      <w:r w:rsidRPr="003A520B">
        <w:rPr>
          <w:b/>
          <w:bCs/>
          <w:rtl/>
        </w:rPr>
        <w:t xml:space="preserve"> </w:t>
      </w:r>
      <w:r w:rsidR="005D6601">
        <w:rPr>
          <w:b/>
          <w:bCs/>
          <w:rtl/>
        </w:rPr>
        <w:tab/>
      </w:r>
      <w:r w:rsidRPr="009F6C66">
        <w:rPr>
          <w:rtl/>
        </w:rPr>
        <w:t xml:space="preserve">מוצע להבהיר כי במסגרת סמכותו של שר הפנים לקבוע בתקנות לפי סעיף 198 לפקודת העיריות, בעניין מכרזים, נכללת אף הסמכות לקבוע הוראות </w:t>
      </w:r>
      <w:r w:rsidR="003A520B">
        <w:rPr>
          <w:rtl/>
        </w:rPr>
        <w:t>לגבי תנאים להבטחת קיומו של מכרז</w:t>
      </w:r>
      <w:r w:rsidRPr="009F6C66">
        <w:rPr>
          <w:rtl/>
        </w:rPr>
        <w:t xml:space="preserve"> כדוגמת ערבות וביטוח.</w:t>
      </w:r>
    </w:p>
    <w:p w14:paraId="5AD058A4" w14:textId="1070D80A" w:rsidR="00B7491E" w:rsidRPr="009F6C66" w:rsidRDefault="00B7491E" w:rsidP="005D6601">
      <w:pPr>
        <w:pStyle w:val="Hesber"/>
        <w:tabs>
          <w:tab w:val="left" w:pos="1020"/>
        </w:tabs>
        <w:ind w:firstLine="0"/>
      </w:pPr>
      <w:r w:rsidRPr="003A520B">
        <w:rPr>
          <w:b/>
          <w:bCs/>
          <w:rtl/>
        </w:rPr>
        <w:t xml:space="preserve">סעיף </w:t>
      </w:r>
      <w:r w:rsidRPr="003A520B">
        <w:rPr>
          <w:rFonts w:hint="cs"/>
          <w:b/>
          <w:bCs/>
          <w:rtl/>
        </w:rPr>
        <w:t>8</w:t>
      </w:r>
      <w:r w:rsidRPr="003A520B">
        <w:rPr>
          <w:b/>
          <w:bCs/>
          <w:rtl/>
        </w:rPr>
        <w:t xml:space="preserve"> </w:t>
      </w:r>
      <w:r w:rsidR="005D6601">
        <w:rPr>
          <w:b/>
          <w:bCs/>
          <w:rtl/>
        </w:rPr>
        <w:tab/>
      </w:r>
      <w:r w:rsidRPr="009F6C66">
        <w:rPr>
          <w:rtl/>
        </w:rPr>
        <w:t xml:space="preserve">מוצע לתקן </w:t>
      </w:r>
      <w:r w:rsidR="006F082F">
        <w:rPr>
          <w:rFonts w:hint="cs"/>
          <w:rtl/>
        </w:rPr>
        <w:t>סעיף 13ב' ל</w:t>
      </w:r>
      <w:r w:rsidRPr="009F6C66">
        <w:rPr>
          <w:rtl/>
        </w:rPr>
        <w:t xml:space="preserve">פקודת המועצות המקומיות לצורך החלת מספר הוראות מפקודת העיריות כנוסחן לפי </w:t>
      </w:r>
      <w:r w:rsidRPr="009F6C66">
        <w:rPr>
          <w:rFonts w:hint="cs"/>
          <w:rtl/>
        </w:rPr>
        <w:t xml:space="preserve">הצעת </w:t>
      </w:r>
      <w:r w:rsidRPr="009F6C66">
        <w:rPr>
          <w:rtl/>
        </w:rPr>
        <w:t>חוק ז</w:t>
      </w:r>
      <w:r w:rsidR="003A520B">
        <w:rPr>
          <w:rFonts w:hint="cs"/>
          <w:rtl/>
        </w:rPr>
        <w:t>ו</w:t>
      </w:r>
      <w:r w:rsidRPr="009F6C66">
        <w:rPr>
          <w:rtl/>
        </w:rPr>
        <w:t>.</w:t>
      </w:r>
    </w:p>
    <w:p w14:paraId="5113B621" w14:textId="02A9AB92" w:rsidR="00B7491E" w:rsidRPr="009F6C66" w:rsidRDefault="00B7491E" w:rsidP="006F082F">
      <w:pPr>
        <w:pStyle w:val="Hesber1st"/>
        <w:tabs>
          <w:tab w:val="clear" w:pos="680"/>
        </w:tabs>
        <w:rPr>
          <w:rtl/>
        </w:rPr>
      </w:pPr>
      <w:r w:rsidRPr="003A520B">
        <w:rPr>
          <w:b/>
          <w:bCs/>
          <w:rtl/>
        </w:rPr>
        <w:t xml:space="preserve">סעיף </w:t>
      </w:r>
      <w:r w:rsidR="006F082F">
        <w:rPr>
          <w:rFonts w:hint="cs"/>
          <w:b/>
          <w:bCs/>
          <w:rtl/>
        </w:rPr>
        <w:t>9</w:t>
      </w:r>
      <w:r w:rsidRPr="003A520B">
        <w:rPr>
          <w:rFonts w:hint="cs"/>
          <w:b/>
          <w:bCs/>
          <w:rtl/>
        </w:rPr>
        <w:t xml:space="preserve"> </w:t>
      </w:r>
      <w:r w:rsidR="005D6601">
        <w:rPr>
          <w:b/>
          <w:bCs/>
          <w:rtl/>
        </w:rPr>
        <w:tab/>
      </w:r>
      <w:r w:rsidRPr="009F6C66">
        <w:rPr>
          <w:rtl/>
        </w:rPr>
        <w:t>כדי לשמור על רציפות חקיקתית בכל הנוגע לתחום המכרזים במוצעות המקומ</w:t>
      </w:r>
      <w:r w:rsidR="003A520B">
        <w:rPr>
          <w:rtl/>
        </w:rPr>
        <w:t>יות, מוצע לקבוע הוראת מעבר שלפי</w:t>
      </w:r>
      <w:r w:rsidR="003A520B">
        <w:rPr>
          <w:rFonts w:hint="cs"/>
          <w:rtl/>
        </w:rPr>
        <w:t>ה</w:t>
      </w:r>
      <w:r w:rsidRPr="009F6C66">
        <w:rPr>
          <w:rtl/>
        </w:rPr>
        <w:t xml:space="preserve"> צו שהותקן לפי סעיף 2 לפקודת המועצות המקומיות, בעניין מכרזים, ושהיה בתוקף ערב תחילת</w:t>
      </w:r>
      <w:r w:rsidR="003A520B">
        <w:rPr>
          <w:rFonts w:hint="cs"/>
          <w:rtl/>
        </w:rPr>
        <w:t>ו של</w:t>
      </w:r>
      <w:r w:rsidRPr="009F6C66">
        <w:rPr>
          <w:rtl/>
        </w:rPr>
        <w:t xml:space="preserve"> </w:t>
      </w:r>
      <w:r w:rsidR="003A520B">
        <w:rPr>
          <w:rFonts w:hint="cs"/>
          <w:rtl/>
        </w:rPr>
        <w:t>הח</w:t>
      </w:r>
      <w:r w:rsidR="003A520B">
        <w:rPr>
          <w:rtl/>
        </w:rPr>
        <w:t xml:space="preserve">וק </w:t>
      </w:r>
      <w:r w:rsidR="003A520B">
        <w:rPr>
          <w:rFonts w:hint="cs"/>
          <w:rtl/>
        </w:rPr>
        <w:t>המוצע</w:t>
      </w:r>
      <w:r w:rsidRPr="009F6C66">
        <w:rPr>
          <w:rtl/>
        </w:rPr>
        <w:t xml:space="preserve"> (התוספת הרביעית לצו המועצות המקומיות והתוספת השנייה לצו המועצות האזוריות), יראו אותו כאילו הותקן לפי סעיף 198 לפקודת העיריות (הוא הסעיף המסמיך לקביעת תקנות בענייני מכרזים), כנוסחו בסעיף 5 ל</w:t>
      </w:r>
      <w:r w:rsidRPr="009F6C66">
        <w:rPr>
          <w:rFonts w:hint="cs"/>
          <w:rtl/>
        </w:rPr>
        <w:t xml:space="preserve">הצעת </w:t>
      </w:r>
      <w:r w:rsidRPr="009F6C66">
        <w:rPr>
          <w:rtl/>
        </w:rPr>
        <w:t>חוק ז</w:t>
      </w:r>
      <w:r w:rsidRPr="009F6C66">
        <w:rPr>
          <w:rFonts w:hint="cs"/>
          <w:rtl/>
        </w:rPr>
        <w:t>ו</w:t>
      </w:r>
      <w:r w:rsidRPr="009F6C66">
        <w:rPr>
          <w:rtl/>
        </w:rPr>
        <w:t>, כפי שהוחל בסעיף 13ה1 לפקודת המועצות</w:t>
      </w:r>
      <w:r w:rsidR="00EE0067">
        <w:rPr>
          <w:rtl/>
        </w:rPr>
        <w:t xml:space="preserve"> המקומיות, כנוסחו בסעיף 6 </w:t>
      </w:r>
      <w:r w:rsidR="00EE0067">
        <w:rPr>
          <w:rFonts w:hint="cs"/>
          <w:rtl/>
        </w:rPr>
        <w:t>בהצעת חוק</w:t>
      </w:r>
      <w:r w:rsidR="00EE0067">
        <w:rPr>
          <w:rtl/>
        </w:rPr>
        <w:t xml:space="preserve"> ז</w:t>
      </w:r>
      <w:r w:rsidR="00EE0067">
        <w:rPr>
          <w:rFonts w:hint="cs"/>
          <w:rtl/>
        </w:rPr>
        <w:t>ו</w:t>
      </w:r>
      <w:r w:rsidRPr="009F6C66">
        <w:rPr>
          <w:rtl/>
        </w:rPr>
        <w:t>.</w:t>
      </w:r>
    </w:p>
    <w:p w14:paraId="697BA8D3" w14:textId="723B0C72" w:rsidR="006F082F" w:rsidRDefault="006F082F" w:rsidP="006F082F">
      <w:pPr>
        <w:pStyle w:val="Hesber1st"/>
        <w:tabs>
          <w:tab w:val="clear" w:pos="680"/>
        </w:tabs>
        <w:rPr>
          <w:rtl/>
        </w:rPr>
      </w:pPr>
      <w:r w:rsidRPr="003A520B">
        <w:rPr>
          <w:b/>
          <w:bCs/>
          <w:rtl/>
        </w:rPr>
        <w:t xml:space="preserve">סעיף </w:t>
      </w:r>
      <w:r>
        <w:rPr>
          <w:rFonts w:hint="cs"/>
          <w:b/>
          <w:bCs/>
          <w:rtl/>
        </w:rPr>
        <w:t>10</w:t>
      </w:r>
      <w:r>
        <w:rPr>
          <w:rFonts w:hint="cs"/>
          <w:b/>
          <w:bCs/>
          <w:rtl/>
        </w:rPr>
        <w:t xml:space="preserve"> </w:t>
      </w:r>
      <w:r>
        <w:rPr>
          <w:b/>
          <w:bCs/>
          <w:rtl/>
        </w:rPr>
        <w:tab/>
      </w:r>
      <w:r w:rsidRPr="009F6C66">
        <w:rPr>
          <w:rtl/>
        </w:rPr>
        <w:t xml:space="preserve">מוצע לקבוע כי תחילתו של החוק תהיה ביום  </w:t>
      </w:r>
      <w:r w:rsidRPr="009F6C66">
        <w:rPr>
          <w:rFonts w:hint="cs"/>
          <w:rtl/>
        </w:rPr>
        <w:t>י</w:t>
      </w:r>
      <w:r>
        <w:rPr>
          <w:rFonts w:hint="cs"/>
          <w:rtl/>
        </w:rPr>
        <w:t>"א</w:t>
      </w:r>
      <w:r w:rsidRPr="009F6C66">
        <w:rPr>
          <w:rtl/>
        </w:rPr>
        <w:t xml:space="preserve"> ב</w:t>
      </w:r>
      <w:r w:rsidRPr="009F6C66">
        <w:rPr>
          <w:rFonts w:hint="cs"/>
          <w:rtl/>
        </w:rPr>
        <w:t>חשוון</w:t>
      </w:r>
      <w:r w:rsidRPr="009F6C66">
        <w:rPr>
          <w:rtl/>
        </w:rPr>
        <w:t xml:space="preserve"> </w:t>
      </w:r>
      <w:r>
        <w:rPr>
          <w:rtl/>
        </w:rPr>
        <w:t>התשפ"</w:t>
      </w:r>
      <w:r>
        <w:rPr>
          <w:rFonts w:hint="cs"/>
          <w:rtl/>
        </w:rPr>
        <w:t>ו</w:t>
      </w:r>
      <w:r>
        <w:rPr>
          <w:rtl/>
        </w:rPr>
        <w:t xml:space="preserve"> (2 בנובמבר 202</w:t>
      </w:r>
      <w:r>
        <w:rPr>
          <w:rFonts w:hint="cs"/>
          <w:rtl/>
        </w:rPr>
        <w:t>5</w:t>
      </w:r>
      <w:r>
        <w:rPr>
          <w:rtl/>
        </w:rPr>
        <w:t>).</w:t>
      </w:r>
      <w:bookmarkStart w:id="9" w:name="_GoBack"/>
      <w:bookmarkEnd w:id="9"/>
    </w:p>
    <w:p w14:paraId="7C3F01BA" w14:textId="553B92CD" w:rsidR="00B7491E" w:rsidRDefault="00B7491E" w:rsidP="005D6601">
      <w:pPr>
        <w:pStyle w:val="Hesber"/>
        <w:rPr>
          <w:rtl/>
        </w:rPr>
      </w:pPr>
      <w:r w:rsidRPr="005D6601">
        <w:rPr>
          <w:rFonts w:hint="cs"/>
          <w:rtl/>
        </w:rPr>
        <w:t xml:space="preserve">הצעת חוק זהה </w:t>
      </w:r>
      <w:r w:rsidR="005D6601" w:rsidRPr="005D6601">
        <w:rPr>
          <w:rFonts w:hint="cs"/>
          <w:rtl/>
        </w:rPr>
        <w:t>הונחה על שולחן ה</w:t>
      </w:r>
      <w:r w:rsidRPr="005D6601">
        <w:rPr>
          <w:rFonts w:hint="cs"/>
          <w:rtl/>
        </w:rPr>
        <w:t>כנסת העשרים וחמש על יד</w:t>
      </w:r>
      <w:r w:rsidR="005D6601" w:rsidRPr="005D6601">
        <w:rPr>
          <w:rFonts w:hint="cs"/>
          <w:rtl/>
        </w:rPr>
        <w:t xml:space="preserve">י חבר הכנסת יואב סגלוביץ' וקבוצת </w:t>
      </w:r>
      <w:r w:rsidRPr="005D6601">
        <w:rPr>
          <w:rFonts w:hint="cs"/>
          <w:rtl/>
        </w:rPr>
        <w:t xml:space="preserve">חברי </w:t>
      </w:r>
      <w:r w:rsidR="00EE0067" w:rsidRPr="005D6601">
        <w:rPr>
          <w:rFonts w:hint="cs"/>
          <w:rtl/>
        </w:rPr>
        <w:t>ה</w:t>
      </w:r>
      <w:r w:rsidRPr="005D6601">
        <w:rPr>
          <w:rFonts w:hint="cs"/>
          <w:rtl/>
        </w:rPr>
        <w:t xml:space="preserve">כנסת </w:t>
      </w:r>
      <w:r w:rsidR="001A3D4C" w:rsidRPr="005D6601">
        <w:rPr>
          <w:rFonts w:hint="cs"/>
          <w:rtl/>
        </w:rPr>
        <w:t>(</w:t>
      </w:r>
      <w:r w:rsidRPr="005D6601">
        <w:rPr>
          <w:rFonts w:hint="cs"/>
          <w:rtl/>
        </w:rPr>
        <w:t>פ/3616/25</w:t>
      </w:r>
      <w:r w:rsidR="005D6601" w:rsidRPr="005D6601">
        <w:rPr>
          <w:rFonts w:hint="cs"/>
          <w:rtl/>
        </w:rPr>
        <w:t>; הוסרה מסדר היום ביום ו' בתמוז ה</w:t>
      </w:r>
      <w:r w:rsidR="001A3D4C" w:rsidRPr="005D6601">
        <w:rPr>
          <w:rFonts w:hint="cs"/>
          <w:rtl/>
        </w:rPr>
        <w:t>ת</w:t>
      </w:r>
      <w:r w:rsidR="005D6601" w:rsidRPr="005D6601">
        <w:rPr>
          <w:rFonts w:hint="cs"/>
          <w:rtl/>
        </w:rPr>
        <w:t>ש</w:t>
      </w:r>
      <w:r w:rsidR="001A3D4C" w:rsidRPr="005D6601">
        <w:rPr>
          <w:rFonts w:hint="cs"/>
          <w:rtl/>
        </w:rPr>
        <w:t xml:space="preserve">פ"ה </w:t>
      </w:r>
      <w:r w:rsidR="00EE0067" w:rsidRPr="005D6601">
        <w:rPr>
          <w:rFonts w:hint="cs"/>
          <w:rtl/>
        </w:rPr>
        <w:t>(2 ביולי 2025)</w:t>
      </w:r>
      <w:r w:rsidR="001A3D4C" w:rsidRPr="005D6601">
        <w:rPr>
          <w:rFonts w:hint="cs"/>
          <w:rtl/>
        </w:rPr>
        <w:t>).</w:t>
      </w:r>
    </w:p>
    <w:p w14:paraId="552F57AF" w14:textId="5C7A7D0E" w:rsidR="006F082F" w:rsidRPr="005D6601" w:rsidRDefault="006F082F" w:rsidP="005D6601">
      <w:pPr>
        <w:pStyle w:val="Hesber"/>
        <w:rPr>
          <w:rtl/>
        </w:rPr>
      </w:pPr>
      <w:r>
        <w:rPr>
          <w:rFonts w:hint="cs"/>
          <w:rtl/>
        </w:rPr>
        <w:t>הצעת החוק זהה לפ</w:t>
      </w:r>
      <w:r w:rsidRPr="005D6601">
        <w:rPr>
          <w:rFonts w:hint="cs"/>
          <w:rtl/>
        </w:rPr>
        <w:t>/3616/25</w:t>
      </w:r>
      <w:r>
        <w:rPr>
          <w:rFonts w:hint="cs"/>
          <w:rtl/>
        </w:rPr>
        <w:t xml:space="preserve"> ולפיכך לא נבדקה מחדש על ידי הלשכה המשפטית של הכנסת.</w:t>
      </w:r>
    </w:p>
    <w:p w14:paraId="1832326F" w14:textId="77777777" w:rsidR="00B7491E" w:rsidRDefault="00B7491E" w:rsidP="00B7491E">
      <w:pPr>
        <w:jc w:val="left"/>
        <w:rPr>
          <w:rFonts w:eastAsia="David"/>
          <w:sz w:val="26"/>
          <w:szCs w:val="26"/>
          <w:rtl/>
        </w:rPr>
      </w:pPr>
    </w:p>
    <w:p w14:paraId="58C59B86" w14:textId="77777777" w:rsidR="00B7491E" w:rsidRPr="00D31008" w:rsidRDefault="00B7491E" w:rsidP="00B7491E">
      <w:pPr>
        <w:spacing w:line="276" w:lineRule="auto"/>
        <w:rPr>
          <w:sz w:val="26"/>
          <w:szCs w:val="26"/>
          <w:rtl/>
        </w:rPr>
      </w:pPr>
    </w:p>
    <w:p w14:paraId="2339D252" w14:textId="77777777" w:rsidR="00943157" w:rsidRDefault="00FC02D3">
      <w:pPr>
        <w:spacing w:line="276" w:lineRule="auto"/>
        <w:jc w:val="left"/>
      </w:pPr>
      <w:bookmarkStart w:id="10" w:name="selectedDocDateB"/>
      <w:bookmarkEnd w:id="10"/>
      <w:r>
        <w:rPr>
          <w:rFonts w:eastAsia="David" w:hint="cs"/>
          <w:sz w:val="26"/>
          <w:szCs w:val="26"/>
          <w:rtl/>
        </w:rPr>
        <w:t>--------------------------------</w:t>
      </w:r>
    </w:p>
    <w:p w14:paraId="7C4655D6" w14:textId="77777777" w:rsidR="00943157" w:rsidRDefault="00FC02D3">
      <w:pPr>
        <w:jc w:val="left"/>
      </w:pPr>
      <w:r>
        <w:rPr>
          <w:rFonts w:eastAsia="David" w:hint="cs"/>
          <w:sz w:val="26"/>
          <w:szCs w:val="26"/>
          <w:rtl/>
        </w:rPr>
        <w:t>הוגשה ליו"ר הכנסת והסגנים</w:t>
      </w:r>
    </w:p>
    <w:p w14:paraId="3157E439" w14:textId="77777777" w:rsidR="00943157" w:rsidRDefault="00FC02D3">
      <w:pPr>
        <w:jc w:val="left"/>
      </w:pPr>
      <w:r>
        <w:rPr>
          <w:rFonts w:eastAsia="David" w:hint="cs"/>
          <w:sz w:val="26"/>
          <w:szCs w:val="26"/>
          <w:rtl/>
        </w:rPr>
        <w:t>והונחה על שולחן הכנסת ביום</w:t>
      </w:r>
    </w:p>
    <w:p w14:paraId="13DB291D" w14:textId="77777777" w:rsidR="00943157" w:rsidRDefault="00FC02D3">
      <w:pPr>
        <w:jc w:val="left"/>
      </w:pPr>
      <w:r>
        <w:rPr>
          <w:rFonts w:eastAsia="David" w:hint="cs"/>
          <w:sz w:val="26"/>
          <w:szCs w:val="26"/>
          <w:rtl/>
        </w:rPr>
        <w:t xml:space="preserve">י"ח בתמוז התשפ"ה (14.07.2025) </w:t>
      </w:r>
    </w:p>
    <w:p w14:paraId="59C4FF2C" w14:textId="77777777" w:rsidR="00943157" w:rsidRDefault="00943157"/>
    <w:sectPr w:rsidR="00943157" w:rsidSect="00322259">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01F81293"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F082F">
      <w:rPr>
        <w:rStyle w:val="aa"/>
        <w:noProof/>
        <w:rtl/>
      </w:rPr>
      <w:t>4</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322259">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C946697" w14:textId="7913602B" w:rsidR="00B7491E" w:rsidRPr="009F6C66" w:rsidRDefault="00B7491E" w:rsidP="005D6601">
      <w:pPr>
        <w:pStyle w:val="a4"/>
      </w:pPr>
      <w:r w:rsidRPr="009F6C66">
        <w:rPr>
          <w:sz w:val="18"/>
          <w:szCs w:val="18"/>
          <w:vertAlign w:val="superscript"/>
        </w:rPr>
        <w:footnoteRef/>
      </w:r>
      <w:r w:rsidRPr="009F6C66">
        <w:rPr>
          <w:rtl/>
        </w:rPr>
        <w:t xml:space="preserve"> </w:t>
      </w:r>
      <w:r w:rsidRPr="009F6C66">
        <w:rPr>
          <w:rFonts w:hint="eastAsia"/>
          <w:rtl/>
        </w:rPr>
        <w:t>דיני</w:t>
      </w:r>
      <w:r w:rsidR="005D6601">
        <w:rPr>
          <w:rtl/>
        </w:rPr>
        <w:t xml:space="preserve"> מדינת ישראל</w:t>
      </w:r>
      <w:r w:rsidR="005D6601">
        <w:rPr>
          <w:rFonts w:hint="cs"/>
          <w:rtl/>
        </w:rPr>
        <w:t>, נוסח חדש</w:t>
      </w:r>
      <w:r w:rsidRPr="009F6C66">
        <w:rPr>
          <w:rtl/>
        </w:rPr>
        <w:t xml:space="preserve"> 8, </w:t>
      </w:r>
      <w:r w:rsidRPr="009F6C66">
        <w:rPr>
          <w:rFonts w:hint="eastAsia"/>
          <w:rtl/>
        </w:rPr>
        <w:t>עמ</w:t>
      </w:r>
      <w:r w:rsidRPr="009F6C66">
        <w:rPr>
          <w:rtl/>
        </w:rPr>
        <w:t>' 197.</w:t>
      </w:r>
    </w:p>
  </w:footnote>
  <w:footnote w:id="3">
    <w:p w14:paraId="5C07B2D7" w14:textId="2EE07A1E" w:rsidR="00322259" w:rsidRDefault="00322259">
      <w:pPr>
        <w:pStyle w:val="a4"/>
        <w:rPr>
          <w:rtl/>
        </w:rPr>
      </w:pPr>
      <w:r>
        <w:rPr>
          <w:rStyle w:val="a5"/>
        </w:rPr>
        <w:footnoteRef/>
      </w:r>
      <w:r>
        <w:rPr>
          <w:rtl/>
        </w:rPr>
        <w:t xml:space="preserve"> </w:t>
      </w:r>
      <w:r>
        <w:rPr>
          <w:rFonts w:hint="cs"/>
          <w:rtl/>
        </w:rPr>
        <w:t>דיני מדינת ישראל, נוסח חדש 9, עמ' 256.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A3D4C"/>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2259"/>
    <w:rsid w:val="003232A2"/>
    <w:rsid w:val="00325C14"/>
    <w:rsid w:val="0036422C"/>
    <w:rsid w:val="003710F6"/>
    <w:rsid w:val="00386E88"/>
    <w:rsid w:val="00396585"/>
    <w:rsid w:val="003A520B"/>
    <w:rsid w:val="003D00A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05AFA"/>
    <w:rsid w:val="00553C9D"/>
    <w:rsid w:val="00562A66"/>
    <w:rsid w:val="005B064E"/>
    <w:rsid w:val="005D51AE"/>
    <w:rsid w:val="005D6601"/>
    <w:rsid w:val="0062674B"/>
    <w:rsid w:val="006363B2"/>
    <w:rsid w:val="00644940"/>
    <w:rsid w:val="006818A9"/>
    <w:rsid w:val="006A2D81"/>
    <w:rsid w:val="006C1D0D"/>
    <w:rsid w:val="006F082F"/>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55464"/>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157"/>
    <w:rsid w:val="00943386"/>
    <w:rsid w:val="009456B6"/>
    <w:rsid w:val="00957589"/>
    <w:rsid w:val="00966D06"/>
    <w:rsid w:val="00966EC4"/>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491E"/>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E0067"/>
    <w:rsid w:val="00EF3A3A"/>
    <w:rsid w:val="00F628D6"/>
    <w:rsid w:val="00F67051"/>
    <w:rsid w:val="00F86A1E"/>
    <w:rsid w:val="00FA5E88"/>
    <w:rsid w:val="00FC02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9C02E34-2021-4FFE-9AE5-869B79ED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259"/>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2225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2225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2225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22259"/>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22259"/>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2225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22259"/>
    <w:rPr>
      <w:sz w:val="36"/>
      <w:szCs w:val="52"/>
    </w:rPr>
  </w:style>
  <w:style w:type="paragraph" w:customStyle="1" w:styleId="Cover3-Haknesset">
    <w:name w:val="Cover 3-Haknesset"/>
    <w:basedOn w:val="Cover1-Reshumot"/>
    <w:rsid w:val="00322259"/>
    <w:rPr>
      <w:b/>
      <w:bCs/>
      <w:spacing w:val="60"/>
    </w:rPr>
  </w:style>
  <w:style w:type="paragraph" w:customStyle="1" w:styleId="Cover4-Date">
    <w:name w:val="Cover 4-Date"/>
    <w:basedOn w:val="a"/>
    <w:rsid w:val="0032225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22259"/>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22259"/>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22259"/>
    <w:pPr>
      <w:spacing w:before="120" w:after="120"/>
    </w:pPr>
    <w:rPr>
      <w:color w:val="FF0000"/>
      <w:w w:val="80"/>
    </w:rPr>
  </w:style>
  <w:style w:type="paragraph" w:styleId="a3">
    <w:name w:val="endnote text"/>
    <w:basedOn w:val="a"/>
    <w:semiHidden/>
    <w:rsid w:val="00322259"/>
    <w:pPr>
      <w:ind w:left="227" w:hanging="227"/>
    </w:pPr>
    <w:rPr>
      <w:sz w:val="14"/>
      <w:szCs w:val="22"/>
    </w:rPr>
  </w:style>
  <w:style w:type="paragraph" w:customStyle="1" w:styleId="TableText">
    <w:name w:val="Table Text"/>
    <w:basedOn w:val="a"/>
    <w:rsid w:val="0032225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22259"/>
    <w:pPr>
      <w:outlineLvl w:val="2"/>
    </w:pPr>
  </w:style>
  <w:style w:type="paragraph" w:customStyle="1" w:styleId="TableBlock">
    <w:name w:val="Table Block"/>
    <w:basedOn w:val="TableText"/>
    <w:rsid w:val="00322259"/>
    <w:pPr>
      <w:jc w:val="both"/>
    </w:pPr>
  </w:style>
  <w:style w:type="paragraph" w:customStyle="1" w:styleId="TableHead">
    <w:name w:val="Table Head"/>
    <w:basedOn w:val="TableText"/>
    <w:rsid w:val="00322259"/>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22259"/>
    <w:pPr>
      <w:outlineLvl w:val="9"/>
    </w:pPr>
  </w:style>
  <w:style w:type="paragraph" w:customStyle="1" w:styleId="Hesber">
    <w:name w:val="Hesber"/>
    <w:basedOn w:val="a"/>
    <w:rsid w:val="00322259"/>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322259"/>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322259"/>
    <w:rPr>
      <w:vertAlign w:val="superscript"/>
    </w:rPr>
  </w:style>
  <w:style w:type="paragraph" w:customStyle="1" w:styleId="HesberHeading">
    <w:name w:val="Hesber Heading"/>
    <w:basedOn w:val="Hesber"/>
    <w:rsid w:val="00322259"/>
    <w:pPr>
      <w:tabs>
        <w:tab w:val="left" w:pos="624"/>
        <w:tab w:val="left" w:pos="1247"/>
      </w:tabs>
    </w:pPr>
    <w:rPr>
      <w:b/>
      <w:bCs/>
    </w:rPr>
  </w:style>
  <w:style w:type="paragraph" w:customStyle="1" w:styleId="HesberWriters">
    <w:name w:val="Hesber Writers"/>
    <w:basedOn w:val="Hesber"/>
    <w:rsid w:val="00322259"/>
    <w:pPr>
      <w:spacing w:before="120" w:after="120"/>
      <w:ind w:left="1418"/>
      <w:jc w:val="right"/>
    </w:pPr>
    <w:rPr>
      <w:b/>
      <w:bCs/>
    </w:rPr>
  </w:style>
  <w:style w:type="paragraph" w:customStyle="1" w:styleId="Hesber1st">
    <w:name w:val="Hesber 1st"/>
    <w:basedOn w:val="Hesber"/>
    <w:rsid w:val="00322259"/>
    <w:pPr>
      <w:tabs>
        <w:tab w:val="left" w:pos="680"/>
        <w:tab w:val="left" w:pos="1020"/>
      </w:tabs>
      <w:ind w:firstLine="0"/>
    </w:pPr>
  </w:style>
  <w:style w:type="character" w:styleId="a6">
    <w:name w:val="endnote reference"/>
    <w:basedOn w:val="a0"/>
    <w:semiHidden/>
    <w:rsid w:val="00322259"/>
    <w:rPr>
      <w:vertAlign w:val="superscript"/>
    </w:rPr>
  </w:style>
  <w:style w:type="paragraph" w:customStyle="1" w:styleId="TableBlockOutdent">
    <w:name w:val="Table BlockOutdent"/>
    <w:basedOn w:val="TableBlock"/>
    <w:rsid w:val="00322259"/>
    <w:pPr>
      <w:ind w:left="624" w:hanging="624"/>
    </w:pPr>
  </w:style>
  <w:style w:type="paragraph" w:styleId="a7">
    <w:name w:val="header"/>
    <w:basedOn w:val="a"/>
    <w:rsid w:val="00322259"/>
    <w:pPr>
      <w:tabs>
        <w:tab w:val="center" w:pos="4153"/>
        <w:tab w:val="right" w:pos="8306"/>
      </w:tabs>
    </w:pPr>
  </w:style>
  <w:style w:type="paragraph" w:styleId="a8">
    <w:name w:val="footer"/>
    <w:basedOn w:val="a"/>
    <w:rsid w:val="00322259"/>
    <w:pPr>
      <w:tabs>
        <w:tab w:val="center" w:pos="4153"/>
        <w:tab w:val="right" w:pos="8306"/>
      </w:tabs>
    </w:pPr>
  </w:style>
  <w:style w:type="paragraph" w:customStyle="1" w:styleId="HeadDivreiHesber">
    <w:name w:val="Head DivreiHesber"/>
    <w:basedOn w:val="a"/>
    <w:rsid w:val="00322259"/>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22259"/>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322259"/>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322259"/>
    <w:rPr>
      <w:rFonts w:asciiTheme="majorHAnsi" w:eastAsiaTheme="majorEastAsia" w:hAnsiTheme="majorHAnsi" w:cs="David"/>
      <w:bCs/>
      <w:sz w:val="32"/>
      <w:szCs w:val="36"/>
    </w:rPr>
  </w:style>
  <w:style w:type="character" w:customStyle="1" w:styleId="20">
    <w:name w:val="כותרת 2 תו"/>
    <w:basedOn w:val="a0"/>
    <w:link w:val="2"/>
    <w:rsid w:val="00322259"/>
    <w:rPr>
      <w:rFonts w:asciiTheme="majorHAnsi" w:eastAsiaTheme="majorEastAsia" w:hAnsiTheme="majorHAnsi" w:cs="David"/>
      <w:bCs/>
      <w:sz w:val="26"/>
      <w:szCs w:val="36"/>
      <w:u w:val="single"/>
    </w:rPr>
  </w:style>
  <w:style w:type="character" w:customStyle="1" w:styleId="30">
    <w:name w:val="כותרת 3 תו"/>
    <w:basedOn w:val="a0"/>
    <w:link w:val="3"/>
    <w:rsid w:val="00322259"/>
    <w:rPr>
      <w:rFonts w:asciiTheme="majorHAnsi" w:eastAsiaTheme="majorEastAsia" w:hAnsiTheme="majorHAnsi" w:cs="David"/>
      <w:sz w:val="24"/>
      <w:szCs w:val="28"/>
      <w:u w:val="double"/>
    </w:rPr>
  </w:style>
  <w:style w:type="character" w:customStyle="1" w:styleId="40">
    <w:name w:val="כותרת 4 תו"/>
    <w:basedOn w:val="a0"/>
    <w:link w:val="4"/>
    <w:uiPriority w:val="9"/>
    <w:rsid w:val="00322259"/>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22259"/>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322259"/>
    <w:pPr>
      <w:widowControl/>
      <w:spacing w:before="120" w:after="120"/>
      <w:outlineLvl w:val="9"/>
    </w:pPr>
    <w:rPr>
      <w:rtl/>
      <w:cs/>
    </w:rPr>
  </w:style>
  <w:style w:type="paragraph" w:styleId="TOC1">
    <w:name w:val="toc 1"/>
    <w:basedOn w:val="a"/>
    <w:next w:val="a"/>
    <w:autoRedefine/>
    <w:uiPriority w:val="39"/>
    <w:unhideWhenUsed/>
    <w:rsid w:val="00322259"/>
    <w:pPr>
      <w:tabs>
        <w:tab w:val="right" w:leader="dot" w:pos="9629"/>
      </w:tabs>
      <w:spacing w:after="100"/>
    </w:pPr>
    <w:rPr>
      <w:bCs/>
      <w:szCs w:val="22"/>
    </w:rPr>
  </w:style>
  <w:style w:type="paragraph" w:styleId="TOC2">
    <w:name w:val="toc 2"/>
    <w:basedOn w:val="a"/>
    <w:next w:val="a"/>
    <w:uiPriority w:val="39"/>
    <w:unhideWhenUsed/>
    <w:rsid w:val="00322259"/>
    <w:pPr>
      <w:tabs>
        <w:tab w:val="right" w:leader="dot" w:pos="9628"/>
      </w:tabs>
      <w:spacing w:after="100"/>
    </w:pPr>
    <w:rPr>
      <w:szCs w:val="22"/>
    </w:rPr>
  </w:style>
  <w:style w:type="character" w:styleId="Hyperlink">
    <w:name w:val="Hyperlink"/>
    <w:basedOn w:val="a0"/>
    <w:uiPriority w:val="99"/>
    <w:unhideWhenUsed/>
    <w:rsid w:val="00322259"/>
    <w:rPr>
      <w:color w:val="0000FF" w:themeColor="hyperlink"/>
      <w:u w:val="single"/>
    </w:rPr>
  </w:style>
  <w:style w:type="paragraph" w:styleId="TOC3">
    <w:name w:val="toc 3"/>
    <w:basedOn w:val="a"/>
    <w:next w:val="a"/>
    <w:uiPriority w:val="39"/>
    <w:unhideWhenUsed/>
    <w:rsid w:val="00322259"/>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32225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22259"/>
    <w:pPr>
      <w:tabs>
        <w:tab w:val="right" w:leader="dot" w:pos="9628"/>
      </w:tabs>
      <w:spacing w:after="100"/>
      <w:ind w:left="567"/>
    </w:pPr>
    <w:rPr>
      <w:szCs w:val="22"/>
    </w:rPr>
  </w:style>
  <w:style w:type="paragraph" w:styleId="TOC6">
    <w:name w:val="toc 6"/>
    <w:basedOn w:val="a"/>
    <w:next w:val="a"/>
    <w:autoRedefine/>
    <w:semiHidden/>
    <w:unhideWhenUsed/>
    <w:rsid w:val="00322259"/>
    <w:pPr>
      <w:spacing w:after="100"/>
      <w:ind w:left="850"/>
    </w:pPr>
  </w:style>
  <w:style w:type="paragraph" w:styleId="TOC7">
    <w:name w:val="toc 7"/>
    <w:basedOn w:val="a"/>
    <w:next w:val="a"/>
    <w:autoRedefine/>
    <w:semiHidden/>
    <w:unhideWhenUsed/>
    <w:rsid w:val="00322259"/>
    <w:pPr>
      <w:spacing w:after="100"/>
      <w:ind w:left="1020"/>
    </w:pPr>
  </w:style>
  <w:style w:type="paragraph" w:styleId="TOC8">
    <w:name w:val="toc 8"/>
    <w:basedOn w:val="a"/>
    <w:next w:val="a"/>
    <w:autoRedefine/>
    <w:semiHidden/>
    <w:unhideWhenUsed/>
    <w:rsid w:val="00322259"/>
    <w:pPr>
      <w:spacing w:after="100"/>
      <w:ind w:left="1190"/>
    </w:pPr>
  </w:style>
  <w:style w:type="paragraph" w:styleId="TOC9">
    <w:name w:val="toc 9"/>
    <w:basedOn w:val="a"/>
    <w:next w:val="a"/>
    <w:autoRedefine/>
    <w:semiHidden/>
    <w:unhideWhenUsed/>
    <w:rsid w:val="00322259"/>
    <w:pPr>
      <w:spacing w:after="100"/>
      <w:ind w:left="1360"/>
    </w:pPr>
  </w:style>
  <w:style w:type="paragraph" w:customStyle="1" w:styleId="TableHead2">
    <w:name w:val="Table Head2"/>
    <w:basedOn w:val="TableHead"/>
    <w:qFormat/>
    <w:rsid w:val="00322259"/>
    <w:pPr>
      <w:outlineLvl w:val="9"/>
    </w:pPr>
  </w:style>
  <w:style w:type="paragraph" w:customStyle="1" w:styleId="TableSideHeading2">
    <w:name w:val="Table SideHeading2"/>
    <w:basedOn w:val="TableSideHeading"/>
    <w:autoRedefine/>
    <w:qFormat/>
    <w:rsid w:val="00322259"/>
    <w:pPr>
      <w:keepLines w:val="0"/>
      <w:outlineLvl w:val="9"/>
    </w:pPr>
  </w:style>
  <w:style w:type="paragraph" w:customStyle="1" w:styleId="0">
    <w:name w:val="סגנון שורה ראשונה:  0  ס''מ"/>
    <w:basedOn w:val="2"/>
    <w:rsid w:val="00322259"/>
    <w:rPr>
      <w:rFonts w:eastAsia="Times New Roman"/>
    </w:rPr>
  </w:style>
  <w:style w:type="paragraph" w:styleId="ae">
    <w:name w:val="List Paragraph"/>
    <w:basedOn w:val="a"/>
    <w:uiPriority w:val="34"/>
    <w:qFormat/>
    <w:rsid w:val="00322259"/>
    <w:pPr>
      <w:widowControl/>
      <w:spacing w:line="259" w:lineRule="auto"/>
    </w:pPr>
    <w:rPr>
      <w:rFonts w:asciiTheme="minorHAnsi" w:hAnsiTheme="minorHAnsi"/>
      <w:sz w:val="22"/>
    </w:rPr>
  </w:style>
  <w:style w:type="table" w:styleId="af">
    <w:name w:val="Table Grid"/>
    <w:basedOn w:val="a1"/>
    <w:rsid w:val="00322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222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222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322259"/>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22259"/>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C0B6-F7C7-4E68-B953-60CAC6C93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290d5b49-c690-4c6f-bbb9-1e50dab33eee"/>
    <ds:schemaRef ds:uri="http://purl.org/dc/dcmitype/"/>
  </ds:schemaRefs>
</ds:datastoreItem>
</file>

<file path=customXml/itemProps4.xml><?xml version="1.0" encoding="utf-8"?>
<ds:datastoreItem xmlns:ds="http://schemas.openxmlformats.org/officeDocument/2006/customXml" ds:itemID="{FFF2009A-CE49-4D84-BD1F-1F09CE6B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1564</Words>
  <Characters>7825</Characters>
  <Application>Microsoft Office Word</Application>
  <DocSecurity>0</DocSecurity>
  <Lines>65</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ליאור אלחזוב</cp:lastModifiedBy>
  <cp:revision>12</cp:revision>
  <cp:lastPrinted>2013-07-04T08:25:00Z</cp:lastPrinted>
  <dcterms:created xsi:type="dcterms:W3CDTF">2015-04-20T09:58:00Z</dcterms:created>
  <dcterms:modified xsi:type="dcterms:W3CDTF">2025-07-13T11:12:00Z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2233791</vt:r8>
  </property>
</Properties>
</file>