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2232246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יואב </w:t>
      </w:r>
      <w:proofErr w:type="spellStart"/>
      <w:r>
        <w:rPr>
          <w:rFonts w:hint="cs"/>
          <w:b/>
          <w:bCs/>
          <w:rtl/>
        </w:rPr>
        <w:t>סגלוביץ</w:t>
      </w:r>
      <w:proofErr w:type="spellEnd"/>
      <w:r>
        <w:rPr>
          <w:rFonts w:hint="cs"/>
          <w:b/>
          <w:bCs/>
          <w:rtl/>
        </w:rPr>
        <w:t>'</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07744B6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r w:rsidR="00E30A20">
        <w:rPr>
          <w:rtl/>
        </w:rPr>
        <w:tab/>
      </w:r>
      <w:r w:rsidR="00E30A20">
        <w:rPr>
          <w:rFonts w:hint="cs"/>
          <w:rtl/>
        </w:rPr>
        <w:t>פ/5976/25</w:t>
      </w:r>
      <w:r w:rsidR="00904591">
        <w:t xml:space="preserve">      </w:t>
      </w:r>
    </w:p>
    <w:p w14:paraId="606A30EA" w14:textId="582BB50A" w:rsidR="00152985" w:rsidRDefault="00883C0E" w:rsidP="0004406A">
      <w:pPr>
        <w:pStyle w:val="HeadHatzaotHok"/>
        <w:rPr>
          <w:rFonts w:ascii="David" w:hAnsi="David"/>
          <w:sz w:val="26"/>
          <w:rtl/>
        </w:rPr>
      </w:pPr>
      <w:bookmarkStart w:id="6" w:name="LGS_Subject"/>
      <w:r>
        <w:rPr>
          <w:rFonts w:ascii="David" w:hAnsi="David"/>
          <w:sz w:val="26"/>
          <w:rtl/>
        </w:rPr>
        <w:t>הצעת חוק התכנון והבנייה (תיקון – פט</w:t>
      </w:r>
      <w:r w:rsidR="00EE797C">
        <w:rPr>
          <w:rFonts w:ascii="David" w:hAnsi="David"/>
          <w:sz w:val="26"/>
          <w:rtl/>
        </w:rPr>
        <w:t>ור מהיתר בנייה להקמת מערכת פוטו</w:t>
      </w:r>
      <w:r w:rsidR="00EE797C">
        <w:rPr>
          <w:rFonts w:ascii="David" w:hAnsi="David" w:hint="cs"/>
          <w:sz w:val="26"/>
          <w:rtl/>
        </w:rPr>
        <w:t>-</w:t>
      </w:r>
      <w:proofErr w:type="spellStart"/>
      <w:r>
        <w:rPr>
          <w:rFonts w:ascii="David" w:hAnsi="David"/>
          <w:sz w:val="26"/>
          <w:rtl/>
        </w:rPr>
        <w:t>וולטאית</w:t>
      </w:r>
      <w:proofErr w:type="spellEnd"/>
      <w:r>
        <w:rPr>
          <w:rFonts w:ascii="David" w:hAnsi="David"/>
          <w:sz w:val="26"/>
          <w:rtl/>
        </w:rPr>
        <w:t xml:space="preserve"> ומתקן לאגירת אנרגיה על גג בית ומבנה ציבור בנגב), </w:t>
      </w:r>
      <w:proofErr w:type="spellStart"/>
      <w:r>
        <w:rPr>
          <w:rFonts w:ascii="David" w:hAnsi="David"/>
          <w:sz w:val="26"/>
          <w:rtl/>
        </w:rPr>
        <w:t>התשפ"ה</w:t>
      </w:r>
      <w:proofErr w:type="spellEnd"/>
      <w:r>
        <w:rPr>
          <w:rFonts w:ascii="David" w:hAnsi="David"/>
          <w:sz w:val="26"/>
          <w:rtl/>
        </w:rPr>
        <w:t>–2025</w:t>
      </w:r>
      <w:bookmarkStart w:id="7" w:name="_Toc496614161"/>
      <w:bookmarkStart w:id="8" w:name="_Toc496622442"/>
      <w:bookmarkStart w:id="9" w:name="_Toc496622588"/>
      <w:bookmarkStart w:id="10" w:name="_Toc496622936"/>
      <w:bookmarkStart w:id="11" w:name="_Toc503130989"/>
      <w:bookmarkEnd w:id="6"/>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7143"/>
      </w:tblGrid>
      <w:tr w:rsidR="00AC30D0" w:rsidRPr="00D059D8" w14:paraId="77C8B979" w14:textId="77777777" w:rsidTr="00E30A20">
        <w:trPr>
          <w:cantSplit/>
        </w:trPr>
        <w:tc>
          <w:tcPr>
            <w:tcW w:w="1870" w:type="dxa"/>
          </w:tcPr>
          <w:p w14:paraId="2A9D2C49" w14:textId="77777777" w:rsidR="00AC30D0" w:rsidRPr="00D059D8" w:rsidRDefault="00AC30D0" w:rsidP="00A4224E">
            <w:pPr>
              <w:pStyle w:val="TableSideHeading"/>
              <w:rPr>
                <w:rFonts w:ascii="David" w:hAnsi="David"/>
                <w:sz w:val="26"/>
              </w:rPr>
            </w:pPr>
            <w:r>
              <w:rPr>
                <w:rFonts w:ascii="David" w:hAnsi="David" w:hint="cs"/>
                <w:sz w:val="26"/>
                <w:rtl/>
              </w:rPr>
              <w:t>תיקון סעיף 145ג</w:t>
            </w:r>
          </w:p>
        </w:tc>
        <w:tc>
          <w:tcPr>
            <w:tcW w:w="624" w:type="dxa"/>
          </w:tcPr>
          <w:p w14:paraId="6AB8B9C5" w14:textId="77777777" w:rsidR="00AC30D0" w:rsidRPr="00D059D8" w:rsidRDefault="00AC30D0" w:rsidP="00A4224E">
            <w:pPr>
              <w:pStyle w:val="TableText"/>
              <w:rPr>
                <w:rFonts w:ascii="David" w:hAnsi="David"/>
                <w:sz w:val="26"/>
              </w:rPr>
            </w:pPr>
            <w:r w:rsidRPr="00D059D8">
              <w:rPr>
                <w:rFonts w:ascii="David" w:hAnsi="David"/>
                <w:sz w:val="26"/>
                <w:rtl/>
              </w:rPr>
              <w:t>1.</w:t>
            </w:r>
          </w:p>
        </w:tc>
        <w:tc>
          <w:tcPr>
            <w:tcW w:w="7143" w:type="dxa"/>
          </w:tcPr>
          <w:p w14:paraId="4BBB9ED2" w14:textId="47591C1E" w:rsidR="00AC30D0" w:rsidRPr="00D059D8" w:rsidRDefault="00AC30D0" w:rsidP="00E30A20">
            <w:pPr>
              <w:pStyle w:val="TableBlock"/>
              <w:rPr>
                <w:rFonts w:ascii="David" w:hAnsi="David"/>
                <w:sz w:val="26"/>
              </w:rPr>
            </w:pPr>
            <w:r>
              <w:rPr>
                <w:rFonts w:ascii="David" w:hAnsi="David" w:hint="cs"/>
                <w:sz w:val="26"/>
                <w:rtl/>
              </w:rPr>
              <w:t xml:space="preserve">בחוק התכנון והבנייה, </w:t>
            </w:r>
            <w:proofErr w:type="spellStart"/>
            <w:r>
              <w:rPr>
                <w:rFonts w:ascii="David" w:hAnsi="David" w:hint="cs"/>
                <w:sz w:val="26"/>
                <w:rtl/>
              </w:rPr>
              <w:t>ה</w:t>
            </w:r>
            <w:r w:rsidRPr="00D059D8">
              <w:rPr>
                <w:rFonts w:ascii="David" w:hAnsi="David"/>
                <w:sz w:val="26"/>
                <w:rtl/>
              </w:rPr>
              <w:t>תשכ"ה</w:t>
            </w:r>
            <w:proofErr w:type="spellEnd"/>
            <w:r w:rsidRPr="00D059D8">
              <w:rPr>
                <w:rFonts w:ascii="David" w:hAnsi="David"/>
                <w:sz w:val="26"/>
                <w:rtl/>
              </w:rPr>
              <w:t>–1965</w:t>
            </w:r>
            <w:r w:rsidRPr="00E30A20">
              <w:rPr>
                <w:rStyle w:val="a6"/>
                <w:rFonts w:ascii="David" w:hAnsi="David"/>
                <w:sz w:val="26"/>
                <w:rtl/>
              </w:rPr>
              <w:footnoteReference w:id="2"/>
            </w:r>
            <w:r>
              <w:rPr>
                <w:rFonts w:ascii="David" w:hAnsi="David" w:hint="cs"/>
                <w:sz w:val="26"/>
                <w:rtl/>
              </w:rPr>
              <w:t xml:space="preserve">, בסעיף 145ג(ד), האמור בו יסומן </w:t>
            </w:r>
            <w:r w:rsidR="00EE797C">
              <w:rPr>
                <w:rFonts w:ascii="David" w:hAnsi="David" w:hint="cs"/>
                <w:sz w:val="26"/>
                <w:rtl/>
              </w:rPr>
              <w:t xml:space="preserve">כפסקה </w:t>
            </w:r>
            <w:r>
              <w:rPr>
                <w:rFonts w:ascii="David" w:hAnsi="David" w:hint="cs"/>
                <w:sz w:val="26"/>
                <w:rtl/>
              </w:rPr>
              <w:t>(1) ואחריו יבוא:</w:t>
            </w:r>
          </w:p>
        </w:tc>
      </w:tr>
      <w:tr w:rsidR="00AC30D0" w:rsidRPr="00D059D8" w14:paraId="51370D48" w14:textId="77777777" w:rsidTr="00E30A20">
        <w:trPr>
          <w:cantSplit/>
        </w:trPr>
        <w:tc>
          <w:tcPr>
            <w:tcW w:w="1870" w:type="dxa"/>
          </w:tcPr>
          <w:p w14:paraId="6A805954" w14:textId="77777777" w:rsidR="00AC30D0" w:rsidRPr="00D059D8" w:rsidDel="00FA3048" w:rsidRDefault="00AC30D0" w:rsidP="00A4224E">
            <w:pPr>
              <w:pStyle w:val="TableSideHeading"/>
              <w:rPr>
                <w:rFonts w:ascii="David" w:hAnsi="David"/>
                <w:sz w:val="26"/>
                <w:rtl/>
              </w:rPr>
            </w:pPr>
          </w:p>
        </w:tc>
        <w:tc>
          <w:tcPr>
            <w:tcW w:w="624" w:type="dxa"/>
          </w:tcPr>
          <w:p w14:paraId="58EFEDD1" w14:textId="77777777" w:rsidR="00AC30D0" w:rsidRPr="00D059D8" w:rsidRDefault="00AC30D0" w:rsidP="00A4224E">
            <w:pPr>
              <w:pStyle w:val="TableText"/>
              <w:rPr>
                <w:rtl/>
              </w:rPr>
            </w:pPr>
          </w:p>
        </w:tc>
        <w:tc>
          <w:tcPr>
            <w:tcW w:w="7143" w:type="dxa"/>
          </w:tcPr>
          <w:p w14:paraId="07833FE6" w14:textId="77777777" w:rsidR="00AC30D0" w:rsidRPr="00D059D8" w:rsidDel="00FA3048" w:rsidRDefault="00AC30D0" w:rsidP="00E30A20">
            <w:pPr>
              <w:pStyle w:val="TableBlock"/>
              <w:rPr>
                <w:rFonts w:ascii="David" w:hAnsi="David"/>
                <w:sz w:val="26"/>
                <w:rtl/>
              </w:rPr>
            </w:pPr>
            <w:r>
              <w:rPr>
                <w:rFonts w:ascii="David" w:hAnsi="David" w:hint="cs"/>
                <w:sz w:val="26"/>
                <w:rtl/>
              </w:rPr>
              <w:t>"(2)</w:t>
            </w:r>
            <w:r>
              <w:rPr>
                <w:rFonts w:ascii="David" w:hAnsi="David"/>
                <w:sz w:val="26"/>
                <w:rtl/>
              </w:rPr>
              <w:tab/>
            </w:r>
            <w:r>
              <w:rPr>
                <w:rFonts w:ascii="David" w:hAnsi="David" w:hint="cs"/>
                <w:sz w:val="26"/>
                <w:rtl/>
              </w:rPr>
              <w:t xml:space="preserve">פסקה (1) לא תחול לעניין הקמת </w:t>
            </w:r>
            <w:r w:rsidRPr="00FA3048">
              <w:rPr>
                <w:rFonts w:ascii="David" w:hAnsi="David"/>
                <w:sz w:val="26"/>
                <w:rtl/>
              </w:rPr>
              <w:t>מיתקן פוטו-</w:t>
            </w:r>
            <w:proofErr w:type="spellStart"/>
            <w:r w:rsidRPr="00FA3048">
              <w:rPr>
                <w:rFonts w:ascii="David" w:hAnsi="David"/>
                <w:sz w:val="26"/>
                <w:rtl/>
              </w:rPr>
              <w:t>וולטאי</w:t>
            </w:r>
            <w:proofErr w:type="spellEnd"/>
            <w:r>
              <w:rPr>
                <w:rFonts w:ascii="David" w:hAnsi="David" w:hint="cs"/>
                <w:sz w:val="26"/>
                <w:rtl/>
              </w:rPr>
              <w:t xml:space="preserve"> או </w:t>
            </w:r>
            <w:r w:rsidRPr="00FA3048">
              <w:rPr>
                <w:rFonts w:ascii="David" w:hAnsi="David"/>
                <w:sz w:val="26"/>
                <w:rtl/>
              </w:rPr>
              <w:t>מיתקן לאגירת אנרגיה</w:t>
            </w:r>
            <w:r>
              <w:rPr>
                <w:rFonts w:ascii="David" w:hAnsi="David" w:hint="cs"/>
                <w:sz w:val="26"/>
                <w:rtl/>
              </w:rPr>
              <w:t xml:space="preserve"> על גג בית או מבנה ציבור </w:t>
            </w:r>
            <w:r w:rsidRPr="00C66E6B">
              <w:rPr>
                <w:rFonts w:ascii="David" w:hAnsi="David" w:hint="cs"/>
                <w:sz w:val="26"/>
                <w:rtl/>
              </w:rPr>
              <w:t>בנגב.</w:t>
            </w:r>
            <w:r>
              <w:rPr>
                <w:rFonts w:ascii="David" w:hAnsi="David" w:hint="cs"/>
                <w:sz w:val="26"/>
                <w:rtl/>
              </w:rPr>
              <w:t xml:space="preserve"> </w:t>
            </w:r>
          </w:p>
        </w:tc>
      </w:tr>
      <w:tr w:rsidR="00AC30D0" w:rsidRPr="00D059D8" w14:paraId="57A3918A" w14:textId="77777777" w:rsidTr="00E30A20">
        <w:trPr>
          <w:cantSplit/>
        </w:trPr>
        <w:tc>
          <w:tcPr>
            <w:tcW w:w="1870" w:type="dxa"/>
          </w:tcPr>
          <w:p w14:paraId="48055BDF" w14:textId="77777777" w:rsidR="00AC30D0" w:rsidRPr="00D059D8" w:rsidRDefault="00AC30D0" w:rsidP="00A4224E">
            <w:pPr>
              <w:pStyle w:val="TableSideHeading"/>
              <w:rPr>
                <w:rFonts w:ascii="David" w:hAnsi="David"/>
                <w:sz w:val="26"/>
                <w:rtl/>
              </w:rPr>
            </w:pPr>
          </w:p>
        </w:tc>
        <w:tc>
          <w:tcPr>
            <w:tcW w:w="624" w:type="dxa"/>
          </w:tcPr>
          <w:p w14:paraId="10A25640" w14:textId="77777777" w:rsidR="00AC30D0" w:rsidRPr="00D059D8" w:rsidRDefault="00AC30D0" w:rsidP="00A4224E">
            <w:pPr>
              <w:pStyle w:val="TableText"/>
              <w:rPr>
                <w:rFonts w:ascii="David" w:hAnsi="David"/>
                <w:sz w:val="26"/>
              </w:rPr>
            </w:pPr>
          </w:p>
        </w:tc>
        <w:tc>
          <w:tcPr>
            <w:tcW w:w="7143" w:type="dxa"/>
          </w:tcPr>
          <w:p w14:paraId="3ED39FBB" w14:textId="77777777" w:rsidR="00AC30D0" w:rsidRPr="00D059D8" w:rsidRDefault="00AC30D0" w:rsidP="00E30A20">
            <w:pPr>
              <w:pStyle w:val="TableBlock"/>
              <w:rPr>
                <w:rFonts w:ascii="David" w:hAnsi="David"/>
                <w:sz w:val="26"/>
                <w:rtl/>
              </w:rPr>
            </w:pPr>
            <w:r>
              <w:rPr>
                <w:rFonts w:ascii="David" w:hAnsi="David" w:hint="cs"/>
                <w:sz w:val="26"/>
                <w:rtl/>
              </w:rPr>
              <w:t>(3)</w:t>
            </w:r>
            <w:r>
              <w:rPr>
                <w:rFonts w:ascii="David" w:hAnsi="David"/>
                <w:sz w:val="26"/>
                <w:rtl/>
              </w:rPr>
              <w:tab/>
            </w:r>
            <w:r>
              <w:rPr>
                <w:rFonts w:ascii="David" w:hAnsi="David" w:hint="cs"/>
                <w:sz w:val="26"/>
                <w:rtl/>
              </w:rPr>
              <w:t xml:space="preserve">בסעיף קטן זה </w:t>
            </w:r>
            <w:r>
              <w:rPr>
                <w:rFonts w:ascii="David" w:hAnsi="David" w:hint="eastAsia"/>
                <w:sz w:val="26"/>
                <w:rtl/>
              </w:rPr>
              <w:t>–</w:t>
            </w:r>
          </w:p>
        </w:tc>
      </w:tr>
      <w:tr w:rsidR="00AC30D0" w:rsidRPr="00D059D8" w14:paraId="5AA85D7A" w14:textId="77777777" w:rsidTr="00E30A20">
        <w:trPr>
          <w:cantSplit/>
        </w:trPr>
        <w:tc>
          <w:tcPr>
            <w:tcW w:w="1870" w:type="dxa"/>
          </w:tcPr>
          <w:p w14:paraId="39133559" w14:textId="77777777" w:rsidR="00AC30D0" w:rsidRPr="00D059D8" w:rsidRDefault="00AC30D0" w:rsidP="00A4224E">
            <w:pPr>
              <w:pStyle w:val="TableSideHeading"/>
              <w:rPr>
                <w:rFonts w:ascii="David" w:hAnsi="David"/>
                <w:sz w:val="26"/>
                <w:rtl/>
              </w:rPr>
            </w:pPr>
          </w:p>
        </w:tc>
        <w:tc>
          <w:tcPr>
            <w:tcW w:w="624" w:type="dxa"/>
          </w:tcPr>
          <w:p w14:paraId="30F2657C" w14:textId="77777777" w:rsidR="00AC30D0" w:rsidRPr="00D059D8" w:rsidRDefault="00AC30D0" w:rsidP="00A4224E">
            <w:pPr>
              <w:pStyle w:val="TableText"/>
              <w:rPr>
                <w:rFonts w:ascii="David" w:hAnsi="David"/>
                <w:sz w:val="26"/>
              </w:rPr>
            </w:pPr>
          </w:p>
        </w:tc>
        <w:tc>
          <w:tcPr>
            <w:tcW w:w="7143" w:type="dxa"/>
          </w:tcPr>
          <w:p w14:paraId="5E2C0AD4" w14:textId="77777777" w:rsidR="00AC30D0" w:rsidRPr="00D059D8" w:rsidRDefault="00AC30D0" w:rsidP="00E30A20">
            <w:pPr>
              <w:pStyle w:val="TableBlockOutdent"/>
              <w:rPr>
                <w:rFonts w:ascii="David" w:hAnsi="David"/>
                <w:sz w:val="26"/>
                <w:rtl/>
              </w:rPr>
            </w:pPr>
            <w:r>
              <w:rPr>
                <w:rFonts w:ascii="David" w:hAnsi="David" w:hint="cs"/>
                <w:sz w:val="26"/>
                <w:rtl/>
              </w:rPr>
              <w:t>"</w:t>
            </w:r>
            <w:r w:rsidRPr="00420A25">
              <w:rPr>
                <w:rFonts w:ascii="David" w:hAnsi="David"/>
                <w:sz w:val="26"/>
                <w:rtl/>
              </w:rPr>
              <w:t>מבנה ציבור" – מבנה לשימושים ציבוריים לצורכי חינוך, תרבות, דת, רווחה ושירותים חברתיים, בריאות, ספורט, מקלט ומחסה ציבורי, תחנה לתחבורה ציבורית, ושי</w:t>
            </w:r>
            <w:r>
              <w:rPr>
                <w:rFonts w:ascii="David" w:hAnsi="David"/>
                <w:sz w:val="26"/>
                <w:rtl/>
              </w:rPr>
              <w:t xml:space="preserve">מושים ציבוריים נוספים כפי שקבע </w:t>
            </w:r>
            <w:r w:rsidRPr="00420A25">
              <w:rPr>
                <w:rFonts w:ascii="David" w:hAnsi="David"/>
                <w:sz w:val="26"/>
                <w:rtl/>
              </w:rPr>
              <w:t>שר</w:t>
            </w:r>
            <w:r>
              <w:rPr>
                <w:rFonts w:ascii="David" w:hAnsi="David" w:hint="cs"/>
                <w:sz w:val="26"/>
                <w:rtl/>
              </w:rPr>
              <w:t xml:space="preserve"> הפנים</w:t>
            </w:r>
            <w:r w:rsidRPr="00420A25">
              <w:rPr>
                <w:rFonts w:ascii="David" w:hAnsi="David"/>
                <w:sz w:val="26"/>
                <w:rtl/>
              </w:rPr>
              <w:t>;</w:t>
            </w:r>
          </w:p>
        </w:tc>
      </w:tr>
      <w:tr w:rsidR="00AC30D0" w:rsidRPr="00D059D8" w14:paraId="4AAABD99" w14:textId="77777777" w:rsidTr="00E30A20">
        <w:trPr>
          <w:cantSplit/>
        </w:trPr>
        <w:tc>
          <w:tcPr>
            <w:tcW w:w="1870" w:type="dxa"/>
          </w:tcPr>
          <w:p w14:paraId="0816F1D5" w14:textId="77777777" w:rsidR="00AC30D0" w:rsidRPr="00D059D8" w:rsidRDefault="00AC30D0" w:rsidP="00A4224E">
            <w:pPr>
              <w:pStyle w:val="TableSideHeading"/>
              <w:rPr>
                <w:rFonts w:ascii="David" w:hAnsi="David"/>
                <w:sz w:val="26"/>
                <w:rtl/>
              </w:rPr>
            </w:pPr>
          </w:p>
        </w:tc>
        <w:tc>
          <w:tcPr>
            <w:tcW w:w="624" w:type="dxa"/>
          </w:tcPr>
          <w:p w14:paraId="73482A0E" w14:textId="77777777" w:rsidR="00AC30D0" w:rsidRPr="00D059D8" w:rsidRDefault="00AC30D0" w:rsidP="00A4224E">
            <w:pPr>
              <w:pStyle w:val="TableText"/>
              <w:rPr>
                <w:rFonts w:ascii="David" w:hAnsi="David"/>
                <w:sz w:val="26"/>
              </w:rPr>
            </w:pPr>
          </w:p>
        </w:tc>
        <w:tc>
          <w:tcPr>
            <w:tcW w:w="7143" w:type="dxa"/>
          </w:tcPr>
          <w:p w14:paraId="32824556" w14:textId="40988304" w:rsidR="00AC30D0" w:rsidRPr="00C66E6B" w:rsidRDefault="00AC30D0" w:rsidP="00E30A20">
            <w:pPr>
              <w:pStyle w:val="TableBlockOutdent"/>
              <w:rPr>
                <w:rtl/>
              </w:rPr>
            </w:pPr>
            <w:r w:rsidRPr="00D059D8">
              <w:rPr>
                <w:rtl/>
              </w:rPr>
              <w:t>"נגב״</w:t>
            </w:r>
            <w:r>
              <w:rPr>
                <w:rFonts w:hint="cs"/>
                <w:rtl/>
              </w:rPr>
              <w:t xml:space="preserve"> </w:t>
            </w:r>
            <w:r>
              <w:rPr>
                <w:rFonts w:hint="eastAsia"/>
                <w:rtl/>
              </w:rPr>
              <w:t>–</w:t>
            </w:r>
            <w:r w:rsidRPr="00D059D8">
              <w:t xml:space="preserve"> </w:t>
            </w:r>
            <w:r w:rsidRPr="00D059D8">
              <w:rPr>
                <w:rtl/>
              </w:rPr>
              <w:t>כהגדרתו</w:t>
            </w:r>
            <w:r w:rsidRPr="00D059D8">
              <w:rPr>
                <w:rtl/>
                <w:lang w:bidi="ar-SA"/>
              </w:rPr>
              <w:t xml:space="preserve"> </w:t>
            </w:r>
            <w:r w:rsidRPr="00D059D8">
              <w:rPr>
                <w:rtl/>
              </w:rPr>
              <w:t>בחוק</w:t>
            </w:r>
            <w:r w:rsidRPr="00D059D8">
              <w:rPr>
                <w:rtl/>
                <w:lang w:bidi="ar-SA"/>
              </w:rPr>
              <w:t xml:space="preserve"> </w:t>
            </w:r>
            <w:r w:rsidRPr="00D059D8">
              <w:rPr>
                <w:rtl/>
              </w:rPr>
              <w:t>הרשות</w:t>
            </w:r>
            <w:r w:rsidRPr="00D059D8">
              <w:rPr>
                <w:rtl/>
                <w:lang w:bidi="ar-SA"/>
              </w:rPr>
              <w:t xml:space="preserve"> </w:t>
            </w:r>
            <w:r w:rsidRPr="00D059D8">
              <w:rPr>
                <w:rtl/>
              </w:rPr>
              <w:t>לפיתוח</w:t>
            </w:r>
            <w:r w:rsidRPr="00D059D8">
              <w:rPr>
                <w:rtl/>
                <w:lang w:bidi="ar-SA"/>
              </w:rPr>
              <w:t xml:space="preserve"> </w:t>
            </w:r>
            <w:r w:rsidRPr="00D059D8">
              <w:rPr>
                <w:rtl/>
              </w:rPr>
              <w:t>הנגב</w:t>
            </w:r>
            <w:r>
              <w:rPr>
                <w:rFonts w:hint="cs"/>
                <w:rtl/>
              </w:rPr>
              <w:t xml:space="preserve">, </w:t>
            </w:r>
            <w:proofErr w:type="spellStart"/>
            <w:r w:rsidRPr="00D059D8">
              <w:rPr>
                <w:rtl/>
              </w:rPr>
              <w:t>התשנ</w:t>
            </w:r>
            <w:proofErr w:type="spellEnd"/>
            <w:r w:rsidRPr="00D059D8">
              <w:t>"</w:t>
            </w:r>
            <w:r w:rsidRPr="00D059D8">
              <w:rPr>
                <w:rtl/>
              </w:rPr>
              <w:t>ב–1991</w:t>
            </w:r>
            <w:r w:rsidRPr="00E30A20">
              <w:rPr>
                <w:rStyle w:val="a6"/>
                <w:rFonts w:ascii="David" w:hAnsi="David"/>
                <w:sz w:val="26"/>
                <w:rtl/>
              </w:rPr>
              <w:footnoteReference w:id="3"/>
            </w:r>
            <w:r w:rsidRPr="00D059D8">
              <w:rPr>
                <w:rtl/>
              </w:rPr>
              <w:t>;</w:t>
            </w:r>
            <w:r>
              <w:rPr>
                <w:rFonts w:hint="cs"/>
                <w:rtl/>
              </w:rPr>
              <w:t>"</w:t>
            </w:r>
            <w:r w:rsidR="00EE797C">
              <w:rPr>
                <w:rFonts w:hint="cs"/>
                <w:rtl/>
              </w:rPr>
              <w:t>.</w:t>
            </w:r>
          </w:p>
        </w:tc>
      </w:tr>
    </w:tbl>
    <w:p w14:paraId="214C697B" w14:textId="6B067B2A" w:rsidR="00883C0E" w:rsidRPr="00AC30D0" w:rsidRDefault="00883C0E" w:rsidP="00EE797C">
      <w:pPr>
        <w:pStyle w:val="HeadDivreiHesber"/>
        <w:spacing w:line="240" w:lineRule="auto"/>
        <w:rPr>
          <w:rtl/>
        </w:rPr>
      </w:pPr>
      <w:r w:rsidRPr="00AC30D0">
        <w:rPr>
          <w:rtl/>
        </w:rPr>
        <w:t>דברי הסבר</w:t>
      </w:r>
      <w:bookmarkEnd w:id="7"/>
      <w:bookmarkEnd w:id="8"/>
      <w:bookmarkEnd w:id="9"/>
      <w:bookmarkEnd w:id="10"/>
      <w:bookmarkEnd w:id="11"/>
    </w:p>
    <w:p w14:paraId="27FFF7DC" w14:textId="77777777" w:rsidR="006909CD" w:rsidRPr="00E30A20" w:rsidRDefault="006909CD" w:rsidP="00EE797C">
      <w:pPr>
        <w:pStyle w:val="Hesber"/>
        <w:spacing w:line="240" w:lineRule="auto"/>
        <w:rPr>
          <w:rtl/>
        </w:rPr>
      </w:pPr>
      <w:r w:rsidRPr="00E30A20">
        <w:rPr>
          <w:rtl/>
        </w:rPr>
        <w:t>הצעת חוק זו נועדה להסיר חסמים רגולטוריים וחברתיים המונעים את מימוש הפוטנציאל של ייצור אנרגיה מתחדשת באזורים שונים בנגב, ובפרט בקרב אוכלוסיות המתגוררות בכפרים לא מוכרים אשר אינם מחוברים לרשת החשמל הארצית</w:t>
      </w:r>
      <w:r w:rsidRPr="00E30A20">
        <w:t>.</w:t>
      </w:r>
    </w:p>
    <w:p w14:paraId="21D46F17" w14:textId="7943CAC8" w:rsidR="006909CD" w:rsidRPr="00E30A20" w:rsidRDefault="006909CD" w:rsidP="00EE797C">
      <w:pPr>
        <w:pStyle w:val="Hesber"/>
        <w:spacing w:line="240" w:lineRule="auto"/>
        <w:rPr>
          <w:rtl/>
        </w:rPr>
      </w:pPr>
      <w:r w:rsidRPr="00E30A20">
        <w:rPr>
          <w:rFonts w:hint="cs"/>
          <w:rtl/>
        </w:rPr>
        <w:t xml:space="preserve">חוק </w:t>
      </w:r>
      <w:r w:rsidRPr="00E30A20">
        <w:rPr>
          <w:rtl/>
        </w:rPr>
        <w:t>התכנון והבנייה</w:t>
      </w:r>
      <w:r w:rsidRPr="00E30A20">
        <w:rPr>
          <w:rFonts w:hint="cs"/>
          <w:rtl/>
        </w:rPr>
        <w:t xml:space="preserve">, </w:t>
      </w:r>
      <w:proofErr w:type="spellStart"/>
      <w:r w:rsidRPr="00E30A20">
        <w:rPr>
          <w:rFonts w:hint="cs"/>
          <w:rtl/>
        </w:rPr>
        <w:t>ה</w:t>
      </w:r>
      <w:r w:rsidRPr="00E30A20">
        <w:rPr>
          <w:rtl/>
        </w:rPr>
        <w:t>תשכ"ה</w:t>
      </w:r>
      <w:proofErr w:type="spellEnd"/>
      <w:r w:rsidRPr="00E30A20">
        <w:rPr>
          <w:rtl/>
        </w:rPr>
        <w:t>–1965</w:t>
      </w:r>
      <w:r w:rsidRPr="00E30A20">
        <w:rPr>
          <w:rFonts w:hint="cs"/>
          <w:rtl/>
        </w:rPr>
        <w:t xml:space="preserve"> (להלן </w:t>
      </w:r>
      <w:r w:rsidRPr="00E30A20">
        <w:rPr>
          <w:rFonts w:hint="eastAsia"/>
          <w:rtl/>
        </w:rPr>
        <w:t>–</w:t>
      </w:r>
      <w:r w:rsidRPr="00E30A20">
        <w:rPr>
          <w:rFonts w:hint="cs"/>
          <w:rtl/>
        </w:rPr>
        <w:t xml:space="preserve"> החוק)</w:t>
      </w:r>
      <w:r w:rsidR="00EE797C">
        <w:rPr>
          <w:rFonts w:hint="cs"/>
          <w:rtl/>
        </w:rPr>
        <w:t>,</w:t>
      </w:r>
      <w:r w:rsidRPr="00E30A20">
        <w:rPr>
          <w:rtl/>
        </w:rPr>
        <w:t xml:space="preserve"> </w:t>
      </w:r>
      <w:r w:rsidRPr="00E30A20">
        <w:rPr>
          <w:rFonts w:hint="cs"/>
          <w:rtl/>
        </w:rPr>
        <w:t>קובע פטור מהיתר להקמתם ש</w:t>
      </w:r>
      <w:r w:rsidRPr="00E30A20">
        <w:rPr>
          <w:rtl/>
        </w:rPr>
        <w:t>ל סוגי בניינים, לביצועם של סוגי עבודות ולסוגי שימושים שיקבע,</w:t>
      </w:r>
      <w:r w:rsidRPr="00E30A20">
        <w:rPr>
          <w:rFonts w:hint="cs"/>
          <w:rtl/>
        </w:rPr>
        <w:t xml:space="preserve"> </w:t>
      </w:r>
      <w:r w:rsidRPr="00E30A20">
        <w:rPr>
          <w:rtl/>
        </w:rPr>
        <w:t xml:space="preserve">בכפוף לשורה של תנאים, ובפרט הדרישה </w:t>
      </w:r>
      <w:r w:rsidRPr="00E30A20">
        <w:rPr>
          <w:rFonts w:hint="cs"/>
          <w:rtl/>
        </w:rPr>
        <w:t>ל</w:t>
      </w:r>
      <w:r w:rsidRPr="00E30A20">
        <w:rPr>
          <w:rtl/>
        </w:rPr>
        <w:t>מבנה שהוקם כדין.</w:t>
      </w:r>
      <w:r w:rsidRPr="00E30A20">
        <w:t xml:space="preserve"> </w:t>
      </w:r>
      <w:r w:rsidRPr="00E30A20">
        <w:rPr>
          <w:rtl/>
        </w:rPr>
        <w:t>דרישה זו מונעת בפועל את החלת הפטור על מבנים ביישובים בלתי מוסדרים, גם כאשר מדובר במתקנים לצרכים בסיסיים ביותר של תאורה, קירור, בריאות וחינוך</w:t>
      </w:r>
      <w:r w:rsidRPr="00E30A20">
        <w:t>.</w:t>
      </w:r>
    </w:p>
    <w:p w14:paraId="6DB699B9" w14:textId="2DED40EF" w:rsidR="006909CD" w:rsidRPr="00E30A20" w:rsidRDefault="006909CD" w:rsidP="00EE797C">
      <w:pPr>
        <w:pStyle w:val="Hesber"/>
        <w:spacing w:line="240" w:lineRule="auto"/>
      </w:pPr>
      <w:r w:rsidRPr="00E30A20">
        <w:rPr>
          <w:rtl/>
        </w:rPr>
        <w:t xml:space="preserve">הצעת חוק זו </w:t>
      </w:r>
      <w:r w:rsidR="00EE797C">
        <w:rPr>
          <w:rFonts w:hint="cs"/>
          <w:rtl/>
        </w:rPr>
        <w:t>נועדה</w:t>
      </w:r>
      <w:r w:rsidRPr="00E30A20">
        <w:rPr>
          <w:rtl/>
        </w:rPr>
        <w:t xml:space="preserve"> לתקן מצב זה באמצעות קביעה מפורשת כי הפטור מהיתר בנייה</w:t>
      </w:r>
      <w:r w:rsidRPr="00E30A20">
        <w:rPr>
          <w:rFonts w:hint="cs"/>
          <w:rtl/>
        </w:rPr>
        <w:t xml:space="preserve"> לעניין התקנת הקמת </w:t>
      </w:r>
      <w:r w:rsidRPr="00E30A20">
        <w:rPr>
          <w:rtl/>
        </w:rPr>
        <w:t>מיתקן פוטו-</w:t>
      </w:r>
      <w:proofErr w:type="spellStart"/>
      <w:r w:rsidRPr="00E30A20">
        <w:rPr>
          <w:rtl/>
        </w:rPr>
        <w:t>וולטאי</w:t>
      </w:r>
      <w:proofErr w:type="spellEnd"/>
      <w:r w:rsidRPr="00E30A20">
        <w:rPr>
          <w:rFonts w:hint="cs"/>
          <w:rtl/>
        </w:rPr>
        <w:t xml:space="preserve"> או </w:t>
      </w:r>
      <w:r w:rsidRPr="00E30A20">
        <w:rPr>
          <w:rtl/>
        </w:rPr>
        <w:t>מיתקן לאגירת אנרגיה</w:t>
      </w:r>
      <w:r w:rsidRPr="00E30A20">
        <w:rPr>
          <w:rFonts w:hint="cs"/>
          <w:rtl/>
        </w:rPr>
        <w:t xml:space="preserve"> על גג בית או מבנה ציבור בנגב</w:t>
      </w:r>
      <w:r w:rsidRPr="00E30A20">
        <w:rPr>
          <w:rtl/>
        </w:rPr>
        <w:t xml:space="preserve"> יחול גם על מבנים שאינם בנויים כדין</w:t>
      </w:r>
      <w:r w:rsidRPr="00E30A20">
        <w:rPr>
          <w:rFonts w:hint="cs"/>
          <w:rtl/>
        </w:rPr>
        <w:t xml:space="preserve">, </w:t>
      </w:r>
      <w:r w:rsidRPr="00E30A20">
        <w:rPr>
          <w:rtl/>
        </w:rPr>
        <w:t xml:space="preserve">ובלבד שהם עומדים בשאר </w:t>
      </w:r>
      <w:r w:rsidRPr="00E30A20">
        <w:rPr>
          <w:rFonts w:hint="cs"/>
          <w:rtl/>
        </w:rPr>
        <w:t>ה</w:t>
      </w:r>
      <w:r w:rsidRPr="00E30A20">
        <w:rPr>
          <w:rtl/>
        </w:rPr>
        <w:t>תנאי</w:t>
      </w:r>
      <w:r w:rsidRPr="00E30A20">
        <w:rPr>
          <w:rFonts w:hint="cs"/>
          <w:rtl/>
        </w:rPr>
        <w:t>ם שנקבעו בסעיף 145ג לחוק</w:t>
      </w:r>
      <w:r w:rsidRPr="00E30A20">
        <w:rPr>
          <w:rtl/>
        </w:rPr>
        <w:t>. בכך, היא מאפשרת לתושבים בפריפריה</w:t>
      </w:r>
      <w:r w:rsidRPr="00E30A20">
        <w:rPr>
          <w:rFonts w:hint="cs"/>
          <w:rtl/>
        </w:rPr>
        <w:t xml:space="preserve">, </w:t>
      </w:r>
      <w:r w:rsidRPr="00E30A20">
        <w:rPr>
          <w:rtl/>
        </w:rPr>
        <w:t>ובעיקר לאוכלוסייה הבדואית בנגב – גישה למערכות סולאריות לצריכה עצמית, תוך שמירה על פיקוח מקצועי</w:t>
      </w:r>
      <w:r w:rsidRPr="00E30A20">
        <w:t>.</w:t>
      </w:r>
      <w:r w:rsidRPr="00E30A20">
        <w:rPr>
          <w:rFonts w:hint="cs"/>
          <w:rtl/>
        </w:rPr>
        <w:t xml:space="preserve"> </w:t>
      </w:r>
      <w:r w:rsidRPr="00E30A20">
        <w:rPr>
          <w:rtl/>
        </w:rPr>
        <w:t>הצעה זו מקדמת צדק סביבתי, צמצום פערים אנרגטיים, ושילוב אוכלוסיות מודרות בתהליך המעבר למשק אנרגיה בר-קיימא. כמו כן, היא תורמת לעמידה ביעדי ממשלת ישראל בתחום האנרגיה המתחדשת, בהתאם להתחייבויותיה הבין-לאומיות, ובמיוחד הסכם פריז</w:t>
      </w:r>
      <w:r w:rsidRPr="00E30A20">
        <w:t>.</w:t>
      </w:r>
    </w:p>
    <w:p w14:paraId="555A9AA8" w14:textId="77777777" w:rsidR="00C5587C" w:rsidRDefault="00152985" w:rsidP="00EE797C">
      <w:pPr>
        <w:spacing w:line="240" w:lineRule="auto"/>
        <w:jc w:val="left"/>
      </w:pPr>
      <w:bookmarkStart w:id="13" w:name="selectedDocDateB"/>
      <w:bookmarkEnd w:id="13"/>
      <w:r>
        <w:rPr>
          <w:rFonts w:eastAsia="David" w:hint="cs"/>
          <w:sz w:val="26"/>
          <w:szCs w:val="26"/>
          <w:rtl/>
        </w:rPr>
        <w:t>--------------------------------</w:t>
      </w:r>
    </w:p>
    <w:p w14:paraId="0FEBF341" w14:textId="77777777" w:rsidR="00C5587C" w:rsidRDefault="00152985" w:rsidP="00EE797C">
      <w:pPr>
        <w:spacing w:line="240" w:lineRule="auto"/>
        <w:jc w:val="left"/>
      </w:pPr>
      <w:r>
        <w:rPr>
          <w:rFonts w:eastAsia="David" w:hint="cs"/>
          <w:sz w:val="26"/>
          <w:szCs w:val="26"/>
          <w:rtl/>
        </w:rPr>
        <w:t>הוגשה ליו"ר הכנסת והסגנים</w:t>
      </w:r>
    </w:p>
    <w:p w14:paraId="69DFBE61" w14:textId="77777777" w:rsidR="00C5587C" w:rsidRDefault="00152985" w:rsidP="00EE797C">
      <w:pPr>
        <w:spacing w:line="240" w:lineRule="auto"/>
        <w:jc w:val="left"/>
      </w:pPr>
      <w:r>
        <w:rPr>
          <w:rFonts w:eastAsia="David" w:hint="cs"/>
          <w:sz w:val="26"/>
          <w:szCs w:val="26"/>
          <w:rtl/>
        </w:rPr>
        <w:t>והונחה על שולחן הכנסת ביום</w:t>
      </w:r>
    </w:p>
    <w:p w14:paraId="5220F4C2" w14:textId="7E55FAB9" w:rsidR="00C5587C" w:rsidRDefault="00152985" w:rsidP="00EE797C">
      <w:pPr>
        <w:spacing w:line="240" w:lineRule="auto"/>
        <w:jc w:val="left"/>
      </w:pPr>
      <w:r>
        <w:rPr>
          <w:rFonts w:eastAsia="David" w:hint="cs"/>
          <w:sz w:val="26"/>
          <w:szCs w:val="26"/>
          <w:rtl/>
        </w:rPr>
        <w:t xml:space="preserve">י"א בתמוז </w:t>
      </w:r>
      <w:proofErr w:type="spellStart"/>
      <w:r>
        <w:rPr>
          <w:rFonts w:eastAsia="David" w:hint="cs"/>
          <w:sz w:val="26"/>
          <w:szCs w:val="26"/>
          <w:rtl/>
        </w:rPr>
        <w:t>התשפ"ה</w:t>
      </w:r>
      <w:proofErr w:type="spellEnd"/>
      <w:r>
        <w:rPr>
          <w:rFonts w:eastAsia="David" w:hint="cs"/>
          <w:sz w:val="26"/>
          <w:szCs w:val="26"/>
          <w:rtl/>
        </w:rPr>
        <w:t xml:space="preserve"> (07.07.2025) </w:t>
      </w:r>
    </w:p>
    <w:sectPr w:rsidR="00C5587C" w:rsidSect="00EE797C">
      <w:footerReference w:type="even" r:id="rId11"/>
      <w:footerReference w:type="default" r:id="rId12"/>
      <w:pgSz w:w="11907" w:h="16840" w:code="9"/>
      <w:pgMar w:top="1276" w:right="1134" w:bottom="993"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23F978A"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E797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30A2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33869C1" w14:textId="38C746A1" w:rsidR="00AC30D0" w:rsidRDefault="00AC30D0" w:rsidP="00AC30D0">
      <w:pPr>
        <w:pStyle w:val="a4"/>
      </w:pPr>
      <w:r>
        <w:rPr>
          <w:rStyle w:val="a6"/>
        </w:rPr>
        <w:footnoteRef/>
      </w:r>
      <w:r>
        <w:rPr>
          <w:rtl/>
        </w:rPr>
        <w:t xml:space="preserve"> </w:t>
      </w:r>
      <w:r>
        <w:rPr>
          <w:rFonts w:hint="cs"/>
          <w:rtl/>
        </w:rPr>
        <w:t xml:space="preserve">ס"ח </w:t>
      </w:r>
      <w:proofErr w:type="spellStart"/>
      <w:r>
        <w:rPr>
          <w:rFonts w:hint="cs"/>
          <w:rtl/>
        </w:rPr>
        <w:t>ה</w:t>
      </w:r>
      <w:r w:rsidRPr="000036AD">
        <w:rPr>
          <w:rtl/>
        </w:rPr>
        <w:t>תשכ"ה</w:t>
      </w:r>
      <w:proofErr w:type="spellEnd"/>
      <w:r>
        <w:rPr>
          <w:rFonts w:hint="cs"/>
          <w:rtl/>
        </w:rPr>
        <w:t>, עמ' 307</w:t>
      </w:r>
      <w:r w:rsidR="00EE797C">
        <w:rPr>
          <w:rFonts w:hint="cs"/>
          <w:rtl/>
        </w:rPr>
        <w:t>.</w:t>
      </w:r>
    </w:p>
  </w:footnote>
  <w:footnote w:id="3">
    <w:p w14:paraId="763DDC6A" w14:textId="0A1F9D5B" w:rsidR="00AC30D0" w:rsidRDefault="00AC30D0" w:rsidP="00AC30D0">
      <w:pPr>
        <w:pStyle w:val="a4"/>
      </w:pPr>
      <w:r>
        <w:rPr>
          <w:rStyle w:val="a6"/>
        </w:rPr>
        <w:footnoteRef/>
      </w:r>
      <w:r>
        <w:rPr>
          <w:rtl/>
        </w:rPr>
        <w:t xml:space="preserve"> </w:t>
      </w:r>
      <w:r w:rsidRPr="0093294A">
        <w:rPr>
          <w:rtl/>
        </w:rPr>
        <w:t>ס</w:t>
      </w:r>
      <w:r w:rsidRPr="0093294A">
        <w:t>"</w:t>
      </w:r>
      <w:r w:rsidRPr="0093294A">
        <w:rPr>
          <w:rtl/>
        </w:rPr>
        <w:t xml:space="preserve">ח </w:t>
      </w:r>
      <w:proofErr w:type="spellStart"/>
      <w:r w:rsidRPr="0093294A">
        <w:rPr>
          <w:rtl/>
        </w:rPr>
        <w:t>התשנ</w:t>
      </w:r>
      <w:proofErr w:type="spellEnd"/>
      <w:r w:rsidRPr="0093294A">
        <w:t>"</w:t>
      </w:r>
      <w:r w:rsidRPr="0093294A">
        <w:rPr>
          <w:rtl/>
        </w:rPr>
        <w:t>ב</w:t>
      </w:r>
      <w:r w:rsidR="00EE797C">
        <w:rPr>
          <w:rFonts w:hint="cs"/>
          <w:rtl/>
        </w:rPr>
        <w:t xml:space="preserve">, </w:t>
      </w:r>
      <w:r w:rsidRPr="0093294A">
        <w:rPr>
          <w:rtl/>
        </w:rPr>
        <w:t>עמ</w:t>
      </w:r>
      <w:r>
        <w:rPr>
          <w:rFonts w:hint="cs"/>
          <w:rtl/>
        </w:rPr>
        <w:t>' 26</w:t>
      </w:r>
      <w:r w:rsidR="00EE797C">
        <w:rPr>
          <w:rFonts w:hint="cs"/>
          <w:rtl/>
        </w:rPr>
        <w:t>.</w:t>
      </w:r>
      <w:bookmarkStart w:id="12" w:name="_GoBack"/>
      <w:bookmarkEnd w:id="1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406A"/>
    <w:rsid w:val="00063A3E"/>
    <w:rsid w:val="00072CAC"/>
    <w:rsid w:val="0007681A"/>
    <w:rsid w:val="000A542E"/>
    <w:rsid w:val="00102B6B"/>
    <w:rsid w:val="001052D4"/>
    <w:rsid w:val="0010644B"/>
    <w:rsid w:val="001207F8"/>
    <w:rsid w:val="00121924"/>
    <w:rsid w:val="001279A8"/>
    <w:rsid w:val="0014195F"/>
    <w:rsid w:val="00152609"/>
    <w:rsid w:val="00152985"/>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E0014"/>
    <w:rsid w:val="004033D8"/>
    <w:rsid w:val="004073F0"/>
    <w:rsid w:val="00412A7D"/>
    <w:rsid w:val="00416B4D"/>
    <w:rsid w:val="00417CFC"/>
    <w:rsid w:val="004A06DC"/>
    <w:rsid w:val="004B24ED"/>
    <w:rsid w:val="004B6625"/>
    <w:rsid w:val="004D2D82"/>
    <w:rsid w:val="004D3876"/>
    <w:rsid w:val="004E4552"/>
    <w:rsid w:val="004E6CDF"/>
    <w:rsid w:val="00544EFB"/>
    <w:rsid w:val="00553C9D"/>
    <w:rsid w:val="00562A66"/>
    <w:rsid w:val="005B064E"/>
    <w:rsid w:val="005D51AE"/>
    <w:rsid w:val="0062674B"/>
    <w:rsid w:val="006363B2"/>
    <w:rsid w:val="00644940"/>
    <w:rsid w:val="006818A9"/>
    <w:rsid w:val="006909CD"/>
    <w:rsid w:val="006A2D81"/>
    <w:rsid w:val="006C1D0D"/>
    <w:rsid w:val="00703F04"/>
    <w:rsid w:val="0070601E"/>
    <w:rsid w:val="00712C72"/>
    <w:rsid w:val="00716D84"/>
    <w:rsid w:val="00735FE9"/>
    <w:rsid w:val="00763CAA"/>
    <w:rsid w:val="00765F66"/>
    <w:rsid w:val="0078664F"/>
    <w:rsid w:val="007A27CE"/>
    <w:rsid w:val="007C3FA6"/>
    <w:rsid w:val="007D585A"/>
    <w:rsid w:val="007D5A12"/>
    <w:rsid w:val="007E59F9"/>
    <w:rsid w:val="007F4B09"/>
    <w:rsid w:val="00810BCD"/>
    <w:rsid w:val="00812C98"/>
    <w:rsid w:val="00814D92"/>
    <w:rsid w:val="0083181D"/>
    <w:rsid w:val="00843EB2"/>
    <w:rsid w:val="00865572"/>
    <w:rsid w:val="00874BBC"/>
    <w:rsid w:val="00883C0E"/>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0D0"/>
    <w:rsid w:val="00AC36F7"/>
    <w:rsid w:val="00AC63A4"/>
    <w:rsid w:val="00AD239E"/>
    <w:rsid w:val="00B10265"/>
    <w:rsid w:val="00B15E0D"/>
    <w:rsid w:val="00B16A99"/>
    <w:rsid w:val="00B21211"/>
    <w:rsid w:val="00B35784"/>
    <w:rsid w:val="00B57DB7"/>
    <w:rsid w:val="00B733A7"/>
    <w:rsid w:val="00B75C91"/>
    <w:rsid w:val="00B975AD"/>
    <w:rsid w:val="00BB7A29"/>
    <w:rsid w:val="00BC45FB"/>
    <w:rsid w:val="00BF148D"/>
    <w:rsid w:val="00C23B1A"/>
    <w:rsid w:val="00C310EB"/>
    <w:rsid w:val="00C5587C"/>
    <w:rsid w:val="00C9176A"/>
    <w:rsid w:val="00CF1AA2"/>
    <w:rsid w:val="00D059D8"/>
    <w:rsid w:val="00D142D3"/>
    <w:rsid w:val="00D17774"/>
    <w:rsid w:val="00D63620"/>
    <w:rsid w:val="00D8410D"/>
    <w:rsid w:val="00D867D7"/>
    <w:rsid w:val="00DB7060"/>
    <w:rsid w:val="00DE3153"/>
    <w:rsid w:val="00E06736"/>
    <w:rsid w:val="00E13C27"/>
    <w:rsid w:val="00E30A20"/>
    <w:rsid w:val="00E33BBD"/>
    <w:rsid w:val="00E374F2"/>
    <w:rsid w:val="00E45103"/>
    <w:rsid w:val="00E55A60"/>
    <w:rsid w:val="00E62778"/>
    <w:rsid w:val="00E635A2"/>
    <w:rsid w:val="00E63D38"/>
    <w:rsid w:val="00E665B9"/>
    <w:rsid w:val="00EA01E6"/>
    <w:rsid w:val="00EA3DE8"/>
    <w:rsid w:val="00EA758F"/>
    <w:rsid w:val="00ED4A6F"/>
    <w:rsid w:val="00EE797C"/>
    <w:rsid w:val="00EF3A3A"/>
    <w:rsid w:val="00EF67E0"/>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D24A0CD-CC0C-491F-8B53-CAC77FE7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A2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30A2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30A2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30A2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30A20"/>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30A20"/>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30A2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30A20"/>
    <w:rPr>
      <w:sz w:val="36"/>
      <w:szCs w:val="52"/>
    </w:rPr>
  </w:style>
  <w:style w:type="paragraph" w:customStyle="1" w:styleId="Cover3-Haknesset">
    <w:name w:val="Cover 3-Haknesset"/>
    <w:basedOn w:val="Cover1-Reshumot"/>
    <w:rsid w:val="00E30A20"/>
    <w:rPr>
      <w:b/>
      <w:bCs/>
      <w:spacing w:val="60"/>
    </w:rPr>
  </w:style>
  <w:style w:type="paragraph" w:customStyle="1" w:styleId="Cover4-Date">
    <w:name w:val="Cover 4-Date"/>
    <w:basedOn w:val="a"/>
    <w:rsid w:val="00E30A2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30A2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30A2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30A20"/>
    <w:pPr>
      <w:spacing w:before="120" w:after="120"/>
    </w:pPr>
    <w:rPr>
      <w:color w:val="FF0000"/>
      <w:w w:val="80"/>
    </w:rPr>
  </w:style>
  <w:style w:type="paragraph" w:styleId="a3">
    <w:name w:val="endnote text"/>
    <w:basedOn w:val="a"/>
    <w:semiHidden/>
    <w:rsid w:val="00E30A20"/>
    <w:pPr>
      <w:ind w:left="227" w:hanging="227"/>
    </w:pPr>
    <w:rPr>
      <w:sz w:val="14"/>
      <w:szCs w:val="22"/>
    </w:rPr>
  </w:style>
  <w:style w:type="paragraph" w:customStyle="1" w:styleId="TableText">
    <w:name w:val="Table Text"/>
    <w:basedOn w:val="a"/>
    <w:rsid w:val="00E30A2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30A20"/>
    <w:pPr>
      <w:outlineLvl w:val="2"/>
    </w:pPr>
  </w:style>
  <w:style w:type="paragraph" w:customStyle="1" w:styleId="TableBlock">
    <w:name w:val="Table Block"/>
    <w:basedOn w:val="TableText"/>
    <w:rsid w:val="00E30A20"/>
    <w:pPr>
      <w:jc w:val="both"/>
    </w:pPr>
  </w:style>
  <w:style w:type="paragraph" w:customStyle="1" w:styleId="TableHead">
    <w:name w:val="Table Head"/>
    <w:basedOn w:val="TableText"/>
    <w:rsid w:val="00E30A2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30A20"/>
    <w:pPr>
      <w:outlineLvl w:val="9"/>
    </w:pPr>
  </w:style>
  <w:style w:type="paragraph" w:customStyle="1" w:styleId="Hesber">
    <w:name w:val="Hesber"/>
    <w:basedOn w:val="a"/>
    <w:rsid w:val="00E30A20"/>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E30A20"/>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_0,Footnote Reference"/>
    <w:basedOn w:val="a0"/>
    <w:semiHidden/>
    <w:rsid w:val="00E30A20"/>
    <w:rPr>
      <w:vertAlign w:val="superscript"/>
    </w:rPr>
  </w:style>
  <w:style w:type="paragraph" w:customStyle="1" w:styleId="HesberHeading">
    <w:name w:val="Hesber Heading"/>
    <w:basedOn w:val="Hesber"/>
    <w:rsid w:val="00E30A20"/>
    <w:pPr>
      <w:tabs>
        <w:tab w:val="left" w:pos="624"/>
        <w:tab w:val="left" w:pos="1247"/>
      </w:tabs>
    </w:pPr>
    <w:rPr>
      <w:b/>
      <w:bCs/>
    </w:rPr>
  </w:style>
  <w:style w:type="paragraph" w:customStyle="1" w:styleId="HesberWriters">
    <w:name w:val="Hesber Writers"/>
    <w:basedOn w:val="Hesber"/>
    <w:rsid w:val="00E30A20"/>
    <w:pPr>
      <w:spacing w:before="120" w:after="120"/>
      <w:ind w:left="1418"/>
      <w:jc w:val="right"/>
    </w:pPr>
    <w:rPr>
      <w:b/>
      <w:bCs/>
    </w:rPr>
  </w:style>
  <w:style w:type="paragraph" w:customStyle="1" w:styleId="Hesber1st">
    <w:name w:val="Hesber 1st"/>
    <w:basedOn w:val="Hesber"/>
    <w:rsid w:val="00E30A20"/>
    <w:pPr>
      <w:tabs>
        <w:tab w:val="left" w:pos="680"/>
        <w:tab w:val="left" w:pos="1020"/>
      </w:tabs>
      <w:ind w:firstLine="0"/>
    </w:pPr>
  </w:style>
  <w:style w:type="character" w:styleId="a7">
    <w:name w:val="endnote reference"/>
    <w:basedOn w:val="a0"/>
    <w:semiHidden/>
    <w:rsid w:val="00E30A20"/>
    <w:rPr>
      <w:vertAlign w:val="superscript"/>
    </w:rPr>
  </w:style>
  <w:style w:type="paragraph" w:customStyle="1" w:styleId="TableBlockOutdent">
    <w:name w:val="Table BlockOutdent"/>
    <w:basedOn w:val="TableBlock"/>
    <w:rsid w:val="00E30A20"/>
    <w:pPr>
      <w:ind w:left="624" w:hanging="624"/>
    </w:pPr>
  </w:style>
  <w:style w:type="paragraph" w:styleId="a8">
    <w:name w:val="header"/>
    <w:basedOn w:val="a"/>
    <w:rsid w:val="00E30A20"/>
    <w:pPr>
      <w:tabs>
        <w:tab w:val="center" w:pos="4153"/>
        <w:tab w:val="right" w:pos="8306"/>
      </w:tabs>
    </w:pPr>
  </w:style>
  <w:style w:type="paragraph" w:styleId="a9">
    <w:name w:val="footer"/>
    <w:basedOn w:val="a"/>
    <w:rsid w:val="00E30A20"/>
    <w:pPr>
      <w:tabs>
        <w:tab w:val="center" w:pos="4153"/>
        <w:tab w:val="right" w:pos="8306"/>
      </w:tabs>
    </w:pPr>
  </w:style>
  <w:style w:type="paragraph" w:customStyle="1" w:styleId="HeadDivreiHesber">
    <w:name w:val="Head DivreiHesber"/>
    <w:basedOn w:val="a"/>
    <w:rsid w:val="00E30A2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30A20"/>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30A2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883C0E"/>
    <w:rPr>
      <w:rFonts w:ascii="Arial" w:eastAsia="Arial Unicode MS" w:hAnsi="Arial" w:cs="David"/>
      <w:snapToGrid w:val="0"/>
      <w:sz w:val="14"/>
    </w:rPr>
  </w:style>
  <w:style w:type="character" w:styleId="ae">
    <w:name w:val="annotation reference"/>
    <w:basedOn w:val="a0"/>
    <w:semiHidden/>
    <w:unhideWhenUsed/>
    <w:rsid w:val="00544EFB"/>
    <w:rPr>
      <w:sz w:val="16"/>
      <w:szCs w:val="16"/>
    </w:rPr>
  </w:style>
  <w:style w:type="paragraph" w:styleId="af">
    <w:name w:val="annotation text"/>
    <w:basedOn w:val="a"/>
    <w:link w:val="af0"/>
    <w:semiHidden/>
    <w:unhideWhenUsed/>
    <w:rsid w:val="00544EFB"/>
    <w:pPr>
      <w:spacing w:line="240" w:lineRule="auto"/>
    </w:pPr>
    <w:rPr>
      <w:sz w:val="20"/>
      <w:szCs w:val="20"/>
    </w:rPr>
  </w:style>
  <w:style w:type="character" w:customStyle="1" w:styleId="af0">
    <w:name w:val="טקסט הערה תו"/>
    <w:basedOn w:val="a0"/>
    <w:link w:val="af"/>
    <w:semiHidden/>
    <w:rsid w:val="00544EFB"/>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544EFB"/>
    <w:rPr>
      <w:b/>
      <w:bCs/>
    </w:rPr>
  </w:style>
  <w:style w:type="character" w:customStyle="1" w:styleId="af2">
    <w:name w:val="נושא הערה תו"/>
    <w:basedOn w:val="af0"/>
    <w:link w:val="af1"/>
    <w:semiHidden/>
    <w:rsid w:val="00544EFB"/>
    <w:rPr>
      <w:rFonts w:ascii="Hadasa Roso SL" w:hAnsi="Hadasa Roso SL" w:cs="Hadasa Roso SL"/>
      <w:b/>
      <w:bCs/>
      <w:color w:val="000000"/>
      <w:spacing w:val="1"/>
      <w:lang w:eastAsia="ja-JP"/>
    </w:rPr>
  </w:style>
  <w:style w:type="paragraph" w:styleId="af3">
    <w:name w:val="Revision"/>
    <w:hidden/>
    <w:uiPriority w:val="99"/>
    <w:semiHidden/>
    <w:rsid w:val="00544EFB"/>
    <w:rPr>
      <w:rFonts w:ascii="Hadasa Roso SL" w:hAnsi="Hadasa Roso SL" w:cs="Hadasa Roso SL"/>
      <w:color w:val="000000"/>
      <w:spacing w:val="1"/>
      <w:sz w:val="17"/>
      <w:szCs w:val="17"/>
      <w:lang w:eastAsia="ja-JP"/>
    </w:rPr>
  </w:style>
  <w:style w:type="character" w:customStyle="1" w:styleId="10">
    <w:name w:val="כותרת 1 תו"/>
    <w:basedOn w:val="a0"/>
    <w:link w:val="1"/>
    <w:uiPriority w:val="9"/>
    <w:rsid w:val="00E30A20"/>
    <w:rPr>
      <w:rFonts w:asciiTheme="majorHAnsi" w:eastAsiaTheme="majorEastAsia" w:hAnsiTheme="majorHAnsi" w:cs="David"/>
      <w:bCs/>
      <w:sz w:val="32"/>
      <w:szCs w:val="36"/>
    </w:rPr>
  </w:style>
  <w:style w:type="character" w:customStyle="1" w:styleId="20">
    <w:name w:val="כותרת 2 תו"/>
    <w:basedOn w:val="a0"/>
    <w:link w:val="2"/>
    <w:rsid w:val="00E30A20"/>
    <w:rPr>
      <w:rFonts w:asciiTheme="majorHAnsi" w:eastAsiaTheme="majorEastAsia" w:hAnsiTheme="majorHAnsi" w:cs="David"/>
      <w:bCs/>
      <w:sz w:val="26"/>
      <w:szCs w:val="36"/>
      <w:u w:val="single"/>
    </w:rPr>
  </w:style>
  <w:style w:type="character" w:customStyle="1" w:styleId="30">
    <w:name w:val="כותרת 3 תו"/>
    <w:basedOn w:val="a0"/>
    <w:link w:val="3"/>
    <w:rsid w:val="00E30A20"/>
    <w:rPr>
      <w:rFonts w:asciiTheme="majorHAnsi" w:eastAsiaTheme="majorEastAsia" w:hAnsiTheme="majorHAnsi" w:cs="David"/>
      <w:sz w:val="24"/>
      <w:szCs w:val="28"/>
      <w:u w:val="double"/>
    </w:rPr>
  </w:style>
  <w:style w:type="character" w:customStyle="1" w:styleId="40">
    <w:name w:val="כותרת 4 תו"/>
    <w:basedOn w:val="a0"/>
    <w:link w:val="4"/>
    <w:uiPriority w:val="9"/>
    <w:rsid w:val="00E30A2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30A20"/>
    <w:rPr>
      <w:rFonts w:ascii="David" w:eastAsiaTheme="minorHAnsi" w:hAnsi="David" w:cs="David"/>
      <w:color w:val="000000" w:themeColor="text1"/>
      <w:sz w:val="24"/>
      <w:szCs w:val="24"/>
    </w:rPr>
  </w:style>
  <w:style w:type="paragraph" w:styleId="af4">
    <w:name w:val="TOC Heading"/>
    <w:basedOn w:val="1"/>
    <w:next w:val="a"/>
    <w:uiPriority w:val="39"/>
    <w:unhideWhenUsed/>
    <w:qFormat/>
    <w:rsid w:val="00E30A20"/>
    <w:pPr>
      <w:widowControl/>
      <w:spacing w:before="120" w:after="120"/>
      <w:outlineLvl w:val="9"/>
    </w:pPr>
    <w:rPr>
      <w:rtl/>
      <w:cs/>
    </w:rPr>
  </w:style>
  <w:style w:type="paragraph" w:styleId="TOC1">
    <w:name w:val="toc 1"/>
    <w:basedOn w:val="a"/>
    <w:next w:val="a"/>
    <w:autoRedefine/>
    <w:uiPriority w:val="39"/>
    <w:unhideWhenUsed/>
    <w:rsid w:val="00E30A20"/>
    <w:pPr>
      <w:tabs>
        <w:tab w:val="right" w:leader="dot" w:pos="9629"/>
      </w:tabs>
      <w:spacing w:after="100"/>
    </w:pPr>
    <w:rPr>
      <w:bCs/>
      <w:szCs w:val="22"/>
    </w:rPr>
  </w:style>
  <w:style w:type="paragraph" w:styleId="TOC2">
    <w:name w:val="toc 2"/>
    <w:basedOn w:val="a"/>
    <w:next w:val="a"/>
    <w:uiPriority w:val="39"/>
    <w:unhideWhenUsed/>
    <w:rsid w:val="00E30A20"/>
    <w:pPr>
      <w:tabs>
        <w:tab w:val="right" w:leader="dot" w:pos="9628"/>
      </w:tabs>
      <w:spacing w:after="100"/>
    </w:pPr>
    <w:rPr>
      <w:szCs w:val="22"/>
    </w:rPr>
  </w:style>
  <w:style w:type="character" w:styleId="Hyperlink">
    <w:name w:val="Hyperlink"/>
    <w:basedOn w:val="a0"/>
    <w:uiPriority w:val="99"/>
    <w:unhideWhenUsed/>
    <w:rsid w:val="00E30A20"/>
    <w:rPr>
      <w:color w:val="0000FF" w:themeColor="hyperlink"/>
      <w:u w:val="single"/>
    </w:rPr>
  </w:style>
  <w:style w:type="paragraph" w:styleId="TOC3">
    <w:name w:val="toc 3"/>
    <w:basedOn w:val="a"/>
    <w:next w:val="a"/>
    <w:uiPriority w:val="39"/>
    <w:unhideWhenUsed/>
    <w:rsid w:val="00E30A20"/>
    <w:pPr>
      <w:tabs>
        <w:tab w:val="right" w:leader="dot" w:pos="9629"/>
      </w:tabs>
      <w:spacing w:after="100"/>
      <w:ind w:left="567"/>
    </w:pPr>
    <w:rPr>
      <w:szCs w:val="22"/>
    </w:rPr>
  </w:style>
  <w:style w:type="paragraph" w:styleId="TOC4">
    <w:name w:val="toc 4"/>
    <w:basedOn w:val="a"/>
    <w:next w:val="a"/>
    <w:autoRedefine/>
    <w:unhideWhenUsed/>
    <w:qFormat/>
    <w:rsid w:val="00E30A2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30A20"/>
    <w:pPr>
      <w:tabs>
        <w:tab w:val="right" w:leader="dot" w:pos="9628"/>
      </w:tabs>
      <w:spacing w:after="100"/>
      <w:ind w:left="567"/>
    </w:pPr>
    <w:rPr>
      <w:szCs w:val="22"/>
    </w:rPr>
  </w:style>
  <w:style w:type="paragraph" w:styleId="TOC6">
    <w:name w:val="toc 6"/>
    <w:basedOn w:val="a"/>
    <w:next w:val="a"/>
    <w:autoRedefine/>
    <w:semiHidden/>
    <w:unhideWhenUsed/>
    <w:rsid w:val="00E30A20"/>
    <w:pPr>
      <w:spacing w:after="100"/>
      <w:ind w:left="850"/>
    </w:pPr>
  </w:style>
  <w:style w:type="paragraph" w:styleId="TOC7">
    <w:name w:val="toc 7"/>
    <w:basedOn w:val="a"/>
    <w:next w:val="a"/>
    <w:autoRedefine/>
    <w:semiHidden/>
    <w:unhideWhenUsed/>
    <w:rsid w:val="00E30A20"/>
    <w:pPr>
      <w:spacing w:after="100"/>
      <w:ind w:left="1020"/>
    </w:pPr>
  </w:style>
  <w:style w:type="paragraph" w:styleId="TOC8">
    <w:name w:val="toc 8"/>
    <w:basedOn w:val="a"/>
    <w:next w:val="a"/>
    <w:autoRedefine/>
    <w:semiHidden/>
    <w:unhideWhenUsed/>
    <w:rsid w:val="00E30A20"/>
    <w:pPr>
      <w:spacing w:after="100"/>
      <w:ind w:left="1190"/>
    </w:pPr>
  </w:style>
  <w:style w:type="paragraph" w:styleId="TOC9">
    <w:name w:val="toc 9"/>
    <w:basedOn w:val="a"/>
    <w:next w:val="a"/>
    <w:autoRedefine/>
    <w:semiHidden/>
    <w:unhideWhenUsed/>
    <w:rsid w:val="00E30A20"/>
    <w:pPr>
      <w:spacing w:after="100"/>
      <w:ind w:left="1360"/>
    </w:pPr>
  </w:style>
  <w:style w:type="paragraph" w:customStyle="1" w:styleId="TableHead2">
    <w:name w:val="Table Head2"/>
    <w:basedOn w:val="TableHead"/>
    <w:qFormat/>
    <w:rsid w:val="00E30A20"/>
    <w:pPr>
      <w:outlineLvl w:val="9"/>
    </w:pPr>
  </w:style>
  <w:style w:type="paragraph" w:customStyle="1" w:styleId="TableSideHeading2">
    <w:name w:val="Table SideHeading2"/>
    <w:basedOn w:val="TableSideHeading"/>
    <w:autoRedefine/>
    <w:qFormat/>
    <w:rsid w:val="00E30A20"/>
    <w:pPr>
      <w:keepLines w:val="0"/>
      <w:outlineLvl w:val="9"/>
    </w:pPr>
  </w:style>
  <w:style w:type="paragraph" w:customStyle="1" w:styleId="0">
    <w:name w:val="סגנון שורה ראשונה:  0  ס''מ"/>
    <w:basedOn w:val="2"/>
    <w:rsid w:val="00E30A20"/>
    <w:rPr>
      <w:rFonts w:eastAsia="Times New Roman"/>
    </w:rPr>
  </w:style>
  <w:style w:type="paragraph" w:styleId="af5">
    <w:name w:val="List Paragraph"/>
    <w:basedOn w:val="a"/>
    <w:uiPriority w:val="34"/>
    <w:qFormat/>
    <w:rsid w:val="00E30A20"/>
    <w:pPr>
      <w:widowControl/>
      <w:spacing w:line="259" w:lineRule="auto"/>
    </w:pPr>
    <w:rPr>
      <w:rFonts w:asciiTheme="minorHAnsi" w:hAnsiTheme="minorHAnsi"/>
      <w:sz w:val="22"/>
    </w:rPr>
  </w:style>
  <w:style w:type="table" w:styleId="af6">
    <w:name w:val="Table Grid"/>
    <w:basedOn w:val="a1"/>
    <w:rsid w:val="00E30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30A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30A2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7">
    <w:name w:val="טבלת חקיקה"/>
    <w:basedOn w:val="a1"/>
    <w:uiPriority w:val="99"/>
    <w:rsid w:val="00E30A2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30A2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63F7A1D7-2169-4303-B6A6-905963AE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290d5b49-c690-4c6f-bbb9-1e50dab33eee"/>
    <ds:schemaRef ds:uri="http://www.w3.org/XML/1998/namespace"/>
  </ds:schemaRefs>
</ds:datastoreItem>
</file>

<file path=customXml/itemProps4.xml><?xml version="1.0" encoding="utf-8"?>
<ds:datastoreItem xmlns:ds="http://schemas.openxmlformats.org/officeDocument/2006/customXml" ds:itemID="{0427EF8F-93A4-4552-9D80-DBD471F3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304</Words>
  <Characters>1734</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14</cp:revision>
  <cp:lastPrinted>2025-07-06T11:28:00Z</cp:lastPrinted>
  <dcterms:created xsi:type="dcterms:W3CDTF">2015-04-20T09:58:00Z</dcterms:created>
  <dcterms:modified xsi:type="dcterms:W3CDTF">2025-07-06T11:31:00Z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2232246</vt:r8>
  </property>
</Properties>
</file>