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4ECCC" w14:textId="77777777" w:rsidR="00A23C89" w:rsidRPr="00E635A2" w:rsidRDefault="00A23C89" w:rsidP="00A23C89">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2230790</w:t>
      </w:r>
      <w:bookmarkEnd w:id="0"/>
    </w:p>
    <w:p w14:paraId="363D3F67" w14:textId="77777777" w:rsidR="00A23C89" w:rsidRPr="00DB7060" w:rsidRDefault="00A23C89" w:rsidP="00A23C89">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66B61E78" w14:textId="77777777" w:rsidR="00A23C89" w:rsidRPr="00F67051" w:rsidRDefault="00A23C89" w:rsidP="00A23C89">
      <w:pPr>
        <w:rPr>
          <w:b/>
          <w:bCs/>
          <w:sz w:val="26"/>
          <w:szCs w:val="26"/>
          <w:rtl/>
        </w:rPr>
      </w:pPr>
    </w:p>
    <w:p w14:paraId="73BBC971" w14:textId="77777777" w:rsidR="00A23C89" w:rsidRDefault="00A23C89" w:rsidP="00A23C89">
      <w:pPr>
        <w:pStyle w:val="David"/>
        <w:ind w:left="3544"/>
        <w:rPr>
          <w:b/>
          <w:bCs/>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אבי מעוז</w:t>
      </w:r>
      <w:bookmarkEnd w:id="3"/>
    </w:p>
    <w:p w14:paraId="062BEAD1" w14:textId="77777777" w:rsidR="00A23C89" w:rsidRPr="00CF1AA2" w:rsidRDefault="00A23C89" w:rsidP="00A23C89">
      <w:pPr>
        <w:pStyle w:val="David"/>
        <w:ind w:left="3544"/>
        <w:rPr>
          <w:b/>
          <w:bCs/>
          <w:sz w:val="16"/>
          <w:szCs w:val="16"/>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5DDC03A7" w14:textId="77777777" w:rsidR="00A23C89" w:rsidRPr="00904591" w:rsidRDefault="00A23C89" w:rsidP="00A23C89">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5C85128E" w14:textId="7BDBB55D" w:rsidR="00A23C89" w:rsidRPr="00E06736" w:rsidRDefault="00A23C89" w:rsidP="00A23C89">
      <w:pPr>
        <w:pStyle w:val="David"/>
        <w:spacing w:line="240" w:lineRule="auto"/>
        <w:ind w:left="3544"/>
        <w:rPr>
          <w:rtl/>
        </w:rPr>
      </w:pPr>
      <w:r>
        <w:t xml:space="preserve">                                             </w:t>
      </w:r>
      <w:bookmarkStart w:id="6" w:name="Private_Number"/>
      <w:r w:rsidR="00F22C98">
        <w:rPr>
          <w:rtl/>
        </w:rPr>
        <w:tab/>
      </w:r>
      <w:r>
        <w:rPr>
          <w:rFonts w:hint="cs"/>
          <w:rtl/>
        </w:rPr>
        <w:t>פ/5766/25</w:t>
      </w:r>
      <w:bookmarkEnd w:id="6"/>
    </w:p>
    <w:p w14:paraId="5A3F2E79" w14:textId="77777777" w:rsidR="00A23C89" w:rsidRPr="00F67051" w:rsidRDefault="00A23C89" w:rsidP="00A23C89">
      <w:pPr>
        <w:pStyle w:val="HeadHatzaotHok"/>
        <w:rPr>
          <w:rtl/>
        </w:rPr>
      </w:pPr>
      <w:bookmarkStart w:id="7" w:name="LGS_Subject"/>
      <w:r>
        <w:rPr>
          <w:rFonts w:hint="cs"/>
          <w:rtl/>
        </w:rPr>
        <w:t>הצעת חוק עידוד עזיבה מרצון של תושבי חבל עזה, התשפ"ה–2025</w:t>
      </w:r>
      <w:bookmarkEnd w:id="7"/>
    </w:p>
    <w:p w14:paraId="44E6BA7D" w14:textId="77777777" w:rsidR="00A23C89" w:rsidRDefault="00A23C89" w:rsidP="00A23C89">
      <w:pPr>
        <w:pStyle w:val="HeadDivreiHesber"/>
        <w:spacing w:before="0" w:after="0"/>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7143"/>
      </w:tblGrid>
      <w:tr w:rsidR="00A23C89" w:rsidRPr="00456270" w14:paraId="7296210C" w14:textId="77777777" w:rsidTr="00456270">
        <w:trPr>
          <w:cantSplit/>
        </w:trPr>
        <w:tc>
          <w:tcPr>
            <w:tcW w:w="1871" w:type="dxa"/>
          </w:tcPr>
          <w:p w14:paraId="628D21C7" w14:textId="77777777" w:rsidR="00A23C89" w:rsidRPr="00456270" w:rsidRDefault="00A23C89" w:rsidP="00F91EE2">
            <w:pPr>
              <w:pStyle w:val="TableSideHeading"/>
              <w:rPr>
                <w:sz w:val="26"/>
                <w:rtl/>
              </w:rPr>
            </w:pPr>
            <w:r w:rsidRPr="00456270">
              <w:rPr>
                <w:rFonts w:hint="cs"/>
                <w:sz w:val="26"/>
                <w:rtl/>
              </w:rPr>
              <w:t>הגדרות</w:t>
            </w:r>
          </w:p>
        </w:tc>
        <w:tc>
          <w:tcPr>
            <w:tcW w:w="624" w:type="dxa"/>
          </w:tcPr>
          <w:p w14:paraId="5B55BD5C" w14:textId="77777777" w:rsidR="00A23C89" w:rsidRPr="00456270" w:rsidRDefault="00A23C89" w:rsidP="00F91EE2">
            <w:pPr>
              <w:pStyle w:val="TableText"/>
              <w:jc w:val="both"/>
              <w:rPr>
                <w:sz w:val="26"/>
                <w:rtl/>
              </w:rPr>
            </w:pPr>
            <w:r w:rsidRPr="00456270">
              <w:rPr>
                <w:rFonts w:hint="cs"/>
                <w:sz w:val="26"/>
                <w:rtl/>
              </w:rPr>
              <w:t>1.</w:t>
            </w:r>
          </w:p>
        </w:tc>
        <w:tc>
          <w:tcPr>
            <w:tcW w:w="7143" w:type="dxa"/>
          </w:tcPr>
          <w:p w14:paraId="034E6C1C" w14:textId="77777777" w:rsidR="00A23C89" w:rsidRPr="00456270" w:rsidRDefault="00A23C89" w:rsidP="00456270">
            <w:pPr>
              <w:pStyle w:val="TableBlock"/>
              <w:rPr>
                <w:sz w:val="26"/>
                <w:rtl/>
              </w:rPr>
            </w:pPr>
            <w:r w:rsidRPr="00456270">
              <w:rPr>
                <w:rFonts w:hint="cs"/>
                <w:sz w:val="26"/>
                <w:rtl/>
              </w:rPr>
              <w:t xml:space="preserve">בחוק זה </w:t>
            </w:r>
            <w:r w:rsidRPr="00456270">
              <w:rPr>
                <w:rFonts w:hint="eastAsia"/>
                <w:sz w:val="26"/>
                <w:rtl/>
              </w:rPr>
              <w:t>–</w:t>
            </w:r>
          </w:p>
        </w:tc>
      </w:tr>
      <w:tr w:rsidR="00A23C89" w:rsidRPr="00456270" w14:paraId="23E03C98" w14:textId="77777777" w:rsidTr="00456270">
        <w:trPr>
          <w:cantSplit/>
        </w:trPr>
        <w:tc>
          <w:tcPr>
            <w:tcW w:w="1871" w:type="dxa"/>
          </w:tcPr>
          <w:p w14:paraId="047EB004" w14:textId="77777777" w:rsidR="00A23C89" w:rsidRPr="00456270" w:rsidRDefault="00A23C89" w:rsidP="00F91EE2">
            <w:pPr>
              <w:pStyle w:val="TableSideHeading"/>
              <w:rPr>
                <w:sz w:val="26"/>
                <w:rtl/>
              </w:rPr>
            </w:pPr>
          </w:p>
        </w:tc>
        <w:tc>
          <w:tcPr>
            <w:tcW w:w="624" w:type="dxa"/>
          </w:tcPr>
          <w:p w14:paraId="0B334E2A" w14:textId="77777777" w:rsidR="00A23C89" w:rsidRPr="00456270" w:rsidRDefault="00A23C89" w:rsidP="00F91EE2">
            <w:pPr>
              <w:pStyle w:val="TableText"/>
              <w:rPr>
                <w:sz w:val="26"/>
                <w:rtl/>
              </w:rPr>
            </w:pPr>
          </w:p>
        </w:tc>
        <w:tc>
          <w:tcPr>
            <w:tcW w:w="7143" w:type="dxa"/>
          </w:tcPr>
          <w:p w14:paraId="4A4A6A63" w14:textId="77777777" w:rsidR="00A23C89" w:rsidRPr="00456270" w:rsidRDefault="00A23C89" w:rsidP="00456270">
            <w:pPr>
              <w:pStyle w:val="TableBlockOutdent"/>
              <w:rPr>
                <w:sz w:val="26"/>
                <w:rtl/>
              </w:rPr>
            </w:pPr>
            <w:r w:rsidRPr="00456270">
              <w:rPr>
                <w:sz w:val="26"/>
                <w:rtl/>
              </w:rPr>
              <w:t>"</w:t>
            </w:r>
            <w:r w:rsidRPr="00456270">
              <w:rPr>
                <w:rFonts w:hint="eastAsia"/>
                <w:sz w:val="26"/>
                <w:rtl/>
              </w:rPr>
              <w:t>אחראי</w:t>
            </w:r>
            <w:r w:rsidRPr="00456270">
              <w:rPr>
                <w:sz w:val="26"/>
                <w:rtl/>
              </w:rPr>
              <w:t xml:space="preserve"> </w:t>
            </w:r>
            <w:r w:rsidRPr="00456270">
              <w:rPr>
                <w:rFonts w:hint="eastAsia"/>
                <w:sz w:val="26"/>
                <w:rtl/>
              </w:rPr>
              <w:t>על</w:t>
            </w:r>
            <w:r w:rsidRPr="00456270">
              <w:rPr>
                <w:sz w:val="26"/>
                <w:rtl/>
              </w:rPr>
              <w:t xml:space="preserve"> </w:t>
            </w:r>
            <w:r w:rsidRPr="00456270">
              <w:rPr>
                <w:rFonts w:hint="eastAsia"/>
                <w:sz w:val="26"/>
                <w:rtl/>
              </w:rPr>
              <w:t>קטין</w:t>
            </w:r>
            <w:r w:rsidRPr="00456270">
              <w:rPr>
                <w:sz w:val="26"/>
                <w:rtl/>
              </w:rPr>
              <w:t xml:space="preserve">" </w:t>
            </w:r>
            <w:r w:rsidRPr="00456270">
              <w:rPr>
                <w:rFonts w:hint="eastAsia"/>
                <w:sz w:val="26"/>
                <w:rtl/>
              </w:rPr>
              <w:t>–</w:t>
            </w:r>
            <w:r w:rsidRPr="00456270">
              <w:rPr>
                <w:sz w:val="26"/>
                <w:rtl/>
              </w:rPr>
              <w:t xml:space="preserve"> כהגדרתו בחוק הנוער;</w:t>
            </w:r>
          </w:p>
        </w:tc>
      </w:tr>
      <w:tr w:rsidR="00A23C89" w:rsidRPr="00456270" w14:paraId="49A2DEE2" w14:textId="77777777" w:rsidTr="00456270">
        <w:trPr>
          <w:cantSplit/>
        </w:trPr>
        <w:tc>
          <w:tcPr>
            <w:tcW w:w="1871" w:type="dxa"/>
          </w:tcPr>
          <w:p w14:paraId="6C816AE2" w14:textId="77777777" w:rsidR="00A23C89" w:rsidRPr="00456270" w:rsidRDefault="00A23C89" w:rsidP="00F91EE2">
            <w:pPr>
              <w:pStyle w:val="TableSideHeading"/>
              <w:rPr>
                <w:sz w:val="26"/>
                <w:rtl/>
              </w:rPr>
            </w:pPr>
          </w:p>
        </w:tc>
        <w:tc>
          <w:tcPr>
            <w:tcW w:w="624" w:type="dxa"/>
          </w:tcPr>
          <w:p w14:paraId="3BEE4DDF" w14:textId="77777777" w:rsidR="00A23C89" w:rsidRPr="00456270" w:rsidRDefault="00A23C89" w:rsidP="00F91EE2">
            <w:pPr>
              <w:pStyle w:val="TableText"/>
              <w:jc w:val="both"/>
              <w:rPr>
                <w:sz w:val="26"/>
                <w:rtl/>
              </w:rPr>
            </w:pPr>
          </w:p>
        </w:tc>
        <w:tc>
          <w:tcPr>
            <w:tcW w:w="7143" w:type="dxa"/>
          </w:tcPr>
          <w:p w14:paraId="402E41E6" w14:textId="77777777" w:rsidR="00A23C89" w:rsidRPr="00456270" w:rsidRDefault="00A23C89" w:rsidP="00456270">
            <w:pPr>
              <w:pStyle w:val="TableBlockOutdent"/>
              <w:rPr>
                <w:sz w:val="26"/>
                <w:rtl/>
              </w:rPr>
            </w:pPr>
            <w:r w:rsidRPr="00456270">
              <w:rPr>
                <w:sz w:val="26"/>
                <w:rtl/>
              </w:rPr>
              <w:t xml:space="preserve">"חוק הנוער" </w:t>
            </w:r>
            <w:r w:rsidRPr="00456270">
              <w:rPr>
                <w:rFonts w:hint="eastAsia"/>
                <w:sz w:val="26"/>
                <w:rtl/>
              </w:rPr>
              <w:t>–</w:t>
            </w:r>
            <w:r w:rsidRPr="00456270">
              <w:rPr>
                <w:sz w:val="26"/>
                <w:rtl/>
              </w:rPr>
              <w:t xml:space="preserve"> חוק הנוער (טיפול והשגחה), </w:t>
            </w:r>
            <w:r w:rsidRPr="00456270">
              <w:rPr>
                <w:rFonts w:hint="eastAsia"/>
                <w:sz w:val="26"/>
                <w:rtl/>
              </w:rPr>
              <w:t>התש</w:t>
            </w:r>
            <w:r w:rsidRPr="00456270">
              <w:rPr>
                <w:sz w:val="26"/>
                <w:rtl/>
              </w:rPr>
              <w:t>"ך</w:t>
            </w:r>
            <w:r w:rsidRPr="00456270">
              <w:rPr>
                <w:rFonts w:hint="eastAsia"/>
                <w:sz w:val="26"/>
                <w:rtl/>
              </w:rPr>
              <w:t>–</w:t>
            </w:r>
            <w:r w:rsidRPr="00456270">
              <w:rPr>
                <w:sz w:val="26"/>
                <w:rtl/>
              </w:rPr>
              <w:t>1960</w:t>
            </w:r>
            <w:r w:rsidRPr="00456270">
              <w:rPr>
                <w:rStyle w:val="a6"/>
                <w:rFonts w:ascii="David" w:hAnsi="David"/>
                <w:sz w:val="26"/>
                <w:rtl/>
              </w:rPr>
              <w:footnoteReference w:id="2"/>
            </w:r>
            <w:r w:rsidRPr="00456270">
              <w:rPr>
                <w:sz w:val="26"/>
                <w:rtl/>
              </w:rPr>
              <w:t>;</w:t>
            </w:r>
          </w:p>
        </w:tc>
      </w:tr>
      <w:tr w:rsidR="00A23C89" w:rsidRPr="00456270" w14:paraId="67556CC5" w14:textId="77777777" w:rsidTr="00456270">
        <w:trPr>
          <w:cantSplit/>
        </w:trPr>
        <w:tc>
          <w:tcPr>
            <w:tcW w:w="1871" w:type="dxa"/>
          </w:tcPr>
          <w:p w14:paraId="084D6523" w14:textId="77777777" w:rsidR="00A23C89" w:rsidRPr="00456270" w:rsidRDefault="00A23C89" w:rsidP="00F91EE2">
            <w:pPr>
              <w:pStyle w:val="TableSideHeading"/>
              <w:rPr>
                <w:sz w:val="26"/>
                <w:rtl/>
              </w:rPr>
            </w:pPr>
          </w:p>
        </w:tc>
        <w:tc>
          <w:tcPr>
            <w:tcW w:w="624" w:type="dxa"/>
          </w:tcPr>
          <w:p w14:paraId="1C2DABCF" w14:textId="77777777" w:rsidR="00A23C89" w:rsidRPr="00456270" w:rsidRDefault="00A23C89" w:rsidP="00F91EE2">
            <w:pPr>
              <w:pStyle w:val="TableText"/>
              <w:jc w:val="both"/>
              <w:rPr>
                <w:sz w:val="26"/>
                <w:rtl/>
              </w:rPr>
            </w:pPr>
          </w:p>
        </w:tc>
        <w:tc>
          <w:tcPr>
            <w:tcW w:w="7143" w:type="dxa"/>
          </w:tcPr>
          <w:p w14:paraId="1F24F19A" w14:textId="77777777" w:rsidR="00A23C89" w:rsidRPr="00456270" w:rsidRDefault="00A23C89" w:rsidP="00456270">
            <w:pPr>
              <w:pStyle w:val="TableBlockOutdent"/>
              <w:rPr>
                <w:sz w:val="26"/>
                <w:rtl/>
              </w:rPr>
            </w:pPr>
            <w:r w:rsidRPr="00456270">
              <w:rPr>
                <w:sz w:val="26"/>
                <w:rtl/>
              </w:rPr>
              <w:t xml:space="preserve">"המפקד </w:t>
            </w:r>
            <w:r w:rsidRPr="00456270">
              <w:rPr>
                <w:rFonts w:hint="eastAsia"/>
                <w:sz w:val="26"/>
                <w:rtl/>
              </w:rPr>
              <w:t>הצבאי</w:t>
            </w:r>
            <w:r w:rsidRPr="00456270">
              <w:rPr>
                <w:sz w:val="26"/>
                <w:rtl/>
              </w:rPr>
              <w:t xml:space="preserve">" </w:t>
            </w:r>
            <w:r w:rsidRPr="00456270">
              <w:rPr>
                <w:rFonts w:hint="eastAsia"/>
                <w:sz w:val="26"/>
                <w:rtl/>
              </w:rPr>
              <w:t>–</w:t>
            </w:r>
            <w:r w:rsidRPr="00456270">
              <w:rPr>
                <w:sz w:val="26"/>
                <w:rtl/>
              </w:rPr>
              <w:t xml:space="preserve"> </w:t>
            </w:r>
            <w:r w:rsidRPr="00456270">
              <w:rPr>
                <w:rFonts w:hint="eastAsia"/>
                <w:sz w:val="26"/>
                <w:rtl/>
              </w:rPr>
              <w:t>מפקד</w:t>
            </w:r>
            <w:r w:rsidRPr="00456270">
              <w:rPr>
                <w:sz w:val="26"/>
                <w:rtl/>
              </w:rPr>
              <w:t xml:space="preserve"> </w:t>
            </w:r>
            <w:r w:rsidRPr="00456270">
              <w:rPr>
                <w:rFonts w:hint="eastAsia"/>
                <w:sz w:val="26"/>
                <w:rtl/>
              </w:rPr>
              <w:t>פיקוד</w:t>
            </w:r>
            <w:r w:rsidRPr="00456270">
              <w:rPr>
                <w:sz w:val="26"/>
                <w:rtl/>
              </w:rPr>
              <w:t xml:space="preserve"> </w:t>
            </w:r>
            <w:r w:rsidRPr="00456270">
              <w:rPr>
                <w:rFonts w:hint="eastAsia"/>
                <w:sz w:val="26"/>
                <w:rtl/>
              </w:rPr>
              <w:t>הדרום</w:t>
            </w:r>
            <w:r w:rsidRPr="00456270">
              <w:rPr>
                <w:sz w:val="26"/>
                <w:rtl/>
              </w:rPr>
              <w:t>;</w:t>
            </w:r>
          </w:p>
        </w:tc>
      </w:tr>
      <w:tr w:rsidR="00A23C89" w:rsidRPr="00456270" w14:paraId="1FA719CC" w14:textId="77777777" w:rsidTr="00456270">
        <w:trPr>
          <w:cantSplit/>
        </w:trPr>
        <w:tc>
          <w:tcPr>
            <w:tcW w:w="1871" w:type="dxa"/>
          </w:tcPr>
          <w:p w14:paraId="533ABAE0" w14:textId="77777777" w:rsidR="00A23C89" w:rsidRPr="00456270" w:rsidDel="009C1574" w:rsidRDefault="00A23C89" w:rsidP="00F91EE2">
            <w:pPr>
              <w:pStyle w:val="TableSideHeading"/>
              <w:rPr>
                <w:sz w:val="26"/>
                <w:rtl/>
              </w:rPr>
            </w:pPr>
          </w:p>
        </w:tc>
        <w:tc>
          <w:tcPr>
            <w:tcW w:w="624" w:type="dxa"/>
            <w:shd w:val="clear" w:color="auto" w:fill="auto"/>
          </w:tcPr>
          <w:p w14:paraId="0F200024" w14:textId="77777777" w:rsidR="00A23C89" w:rsidRPr="00456270" w:rsidRDefault="00A23C89" w:rsidP="00F91EE2">
            <w:pPr>
              <w:pStyle w:val="TableText"/>
              <w:jc w:val="both"/>
              <w:rPr>
                <w:sz w:val="26"/>
                <w:rtl/>
              </w:rPr>
            </w:pPr>
          </w:p>
        </w:tc>
        <w:tc>
          <w:tcPr>
            <w:tcW w:w="7143" w:type="dxa"/>
            <w:shd w:val="clear" w:color="auto" w:fill="auto"/>
          </w:tcPr>
          <w:p w14:paraId="59B2139B" w14:textId="77777777" w:rsidR="00A23C89" w:rsidRPr="00456270" w:rsidDel="0058516D" w:rsidRDefault="00A23C89" w:rsidP="00456270">
            <w:pPr>
              <w:pStyle w:val="TableBlockOutdent"/>
              <w:rPr>
                <w:sz w:val="26"/>
                <w:rtl/>
              </w:rPr>
            </w:pPr>
            <w:r w:rsidRPr="00456270">
              <w:rPr>
                <w:sz w:val="26"/>
                <w:rtl/>
              </w:rPr>
              <w:t xml:space="preserve">"סל </w:t>
            </w:r>
            <w:r w:rsidRPr="00456270">
              <w:rPr>
                <w:rFonts w:hint="eastAsia"/>
                <w:sz w:val="26"/>
                <w:rtl/>
              </w:rPr>
              <w:t>עזיבה</w:t>
            </w:r>
            <w:r w:rsidRPr="00456270">
              <w:rPr>
                <w:sz w:val="26"/>
                <w:rtl/>
              </w:rPr>
              <w:t xml:space="preserve">" – הסכום הכולל הניתן מאוצר המדינה </w:t>
            </w:r>
            <w:r w:rsidRPr="00456270">
              <w:rPr>
                <w:rFonts w:hint="eastAsia"/>
                <w:sz w:val="26"/>
                <w:rtl/>
              </w:rPr>
              <w:t>לתושב</w:t>
            </w:r>
            <w:r w:rsidRPr="00456270">
              <w:rPr>
                <w:sz w:val="26"/>
                <w:rtl/>
              </w:rPr>
              <w:t xml:space="preserve"> </w:t>
            </w:r>
            <w:r w:rsidRPr="00456270">
              <w:rPr>
                <w:rFonts w:hint="eastAsia"/>
                <w:sz w:val="26"/>
                <w:rtl/>
              </w:rPr>
              <w:t>זכאי</w:t>
            </w:r>
            <w:r w:rsidRPr="00456270">
              <w:rPr>
                <w:sz w:val="26"/>
                <w:rtl/>
              </w:rPr>
              <w:t xml:space="preserve"> </w:t>
            </w:r>
            <w:r w:rsidRPr="00456270">
              <w:rPr>
                <w:rFonts w:hint="eastAsia"/>
                <w:sz w:val="26"/>
                <w:rtl/>
              </w:rPr>
              <w:t>לאחר</w:t>
            </w:r>
            <w:r w:rsidRPr="00456270">
              <w:rPr>
                <w:sz w:val="26"/>
                <w:rtl/>
              </w:rPr>
              <w:t xml:space="preserve"> </w:t>
            </w:r>
            <w:r w:rsidRPr="00456270">
              <w:rPr>
                <w:rFonts w:hint="eastAsia"/>
                <w:sz w:val="26"/>
                <w:rtl/>
              </w:rPr>
              <w:t>הוכחת</w:t>
            </w:r>
            <w:r w:rsidRPr="00456270">
              <w:rPr>
                <w:sz w:val="26"/>
                <w:rtl/>
              </w:rPr>
              <w:t xml:space="preserve"> </w:t>
            </w:r>
            <w:r w:rsidRPr="00456270">
              <w:rPr>
                <w:rFonts w:hint="eastAsia"/>
                <w:sz w:val="26"/>
                <w:rtl/>
              </w:rPr>
              <w:t>עזיבה</w:t>
            </w:r>
            <w:r w:rsidRPr="00456270">
              <w:rPr>
                <w:sz w:val="26"/>
                <w:rtl/>
              </w:rPr>
              <w:t xml:space="preserve"> </w:t>
            </w:r>
            <w:r w:rsidRPr="00456270">
              <w:rPr>
                <w:rFonts w:hint="eastAsia"/>
                <w:sz w:val="26"/>
                <w:rtl/>
              </w:rPr>
              <w:t>מרצון</w:t>
            </w:r>
            <w:r w:rsidRPr="00456270">
              <w:rPr>
                <w:sz w:val="26"/>
                <w:rtl/>
              </w:rPr>
              <w:t>, בהתאם לסעיף 2;</w:t>
            </w:r>
          </w:p>
        </w:tc>
      </w:tr>
      <w:tr w:rsidR="00A23C89" w:rsidRPr="00456270" w14:paraId="456BB8A4" w14:textId="77777777" w:rsidTr="00456270">
        <w:trPr>
          <w:cantSplit/>
        </w:trPr>
        <w:tc>
          <w:tcPr>
            <w:tcW w:w="1871" w:type="dxa"/>
          </w:tcPr>
          <w:p w14:paraId="68955D95" w14:textId="77777777" w:rsidR="00A23C89" w:rsidRPr="00456270" w:rsidDel="009C1574" w:rsidRDefault="00A23C89" w:rsidP="00F91EE2">
            <w:pPr>
              <w:pStyle w:val="TableSideHeading"/>
              <w:rPr>
                <w:sz w:val="26"/>
                <w:rtl/>
              </w:rPr>
            </w:pPr>
          </w:p>
        </w:tc>
        <w:tc>
          <w:tcPr>
            <w:tcW w:w="624" w:type="dxa"/>
            <w:shd w:val="clear" w:color="auto" w:fill="auto"/>
          </w:tcPr>
          <w:p w14:paraId="4533F8FE" w14:textId="77777777" w:rsidR="00A23C89" w:rsidRPr="00456270" w:rsidRDefault="00A23C89" w:rsidP="00F91EE2">
            <w:pPr>
              <w:pStyle w:val="TableText"/>
              <w:jc w:val="both"/>
              <w:rPr>
                <w:sz w:val="26"/>
                <w:rtl/>
              </w:rPr>
            </w:pPr>
          </w:p>
        </w:tc>
        <w:tc>
          <w:tcPr>
            <w:tcW w:w="7143" w:type="dxa"/>
            <w:shd w:val="clear" w:color="auto" w:fill="auto"/>
          </w:tcPr>
          <w:p w14:paraId="75E3F645" w14:textId="77777777" w:rsidR="00A23C89" w:rsidRPr="00456270" w:rsidRDefault="00A23C89" w:rsidP="00456270">
            <w:pPr>
              <w:pStyle w:val="TableBlockOutdent"/>
              <w:rPr>
                <w:sz w:val="26"/>
                <w:rtl/>
              </w:rPr>
            </w:pPr>
            <w:r w:rsidRPr="00456270">
              <w:rPr>
                <w:sz w:val="26"/>
                <w:rtl/>
              </w:rPr>
              <w:t xml:space="preserve">"עבירת ביטחון" </w:t>
            </w:r>
            <w:r w:rsidRPr="00456270">
              <w:rPr>
                <w:rFonts w:hint="eastAsia"/>
                <w:sz w:val="26"/>
                <w:rtl/>
              </w:rPr>
              <w:t>–</w:t>
            </w:r>
            <w:r w:rsidRPr="00456270">
              <w:rPr>
                <w:sz w:val="26"/>
                <w:rtl/>
              </w:rPr>
              <w:t xml:space="preserve"> עבירה המנויה </w:t>
            </w:r>
            <w:r w:rsidRPr="00456270">
              <w:rPr>
                <w:rFonts w:hint="eastAsia"/>
                <w:sz w:val="26"/>
                <w:rtl/>
              </w:rPr>
              <w:t>בסעיף</w:t>
            </w:r>
            <w:r w:rsidRPr="00456270">
              <w:rPr>
                <w:sz w:val="26"/>
                <w:rtl/>
              </w:rPr>
              <w:t xml:space="preserve"> 68ג2(א) לפקודת בתי הסוהר [נוסח חדש], </w:t>
            </w:r>
            <w:r w:rsidRPr="00456270">
              <w:rPr>
                <w:rFonts w:hint="eastAsia"/>
                <w:sz w:val="26"/>
                <w:rtl/>
              </w:rPr>
              <w:t>התשל</w:t>
            </w:r>
            <w:r w:rsidRPr="00456270">
              <w:rPr>
                <w:sz w:val="26"/>
                <w:rtl/>
              </w:rPr>
              <w:t>"ב</w:t>
            </w:r>
            <w:r w:rsidRPr="00456270">
              <w:rPr>
                <w:rFonts w:hint="eastAsia"/>
                <w:sz w:val="26"/>
                <w:rtl/>
              </w:rPr>
              <w:t>–</w:t>
            </w:r>
            <w:r w:rsidRPr="00456270">
              <w:rPr>
                <w:sz w:val="26"/>
                <w:rtl/>
              </w:rPr>
              <w:t>1971</w:t>
            </w:r>
            <w:r w:rsidRPr="00456270">
              <w:rPr>
                <w:rStyle w:val="a6"/>
                <w:rFonts w:ascii="David" w:hAnsi="David"/>
                <w:sz w:val="26"/>
                <w:rtl/>
              </w:rPr>
              <w:footnoteReference w:id="3"/>
            </w:r>
            <w:r w:rsidRPr="00456270">
              <w:rPr>
                <w:sz w:val="26"/>
                <w:rtl/>
              </w:rPr>
              <w:t>;</w:t>
            </w:r>
          </w:p>
        </w:tc>
      </w:tr>
      <w:tr w:rsidR="00A23C89" w:rsidRPr="00456270" w14:paraId="1097EAA3" w14:textId="77777777" w:rsidTr="00456270">
        <w:trPr>
          <w:cantSplit/>
        </w:trPr>
        <w:tc>
          <w:tcPr>
            <w:tcW w:w="1871" w:type="dxa"/>
          </w:tcPr>
          <w:p w14:paraId="509743EB" w14:textId="77777777" w:rsidR="00A23C89" w:rsidRPr="00456270" w:rsidDel="009C1574" w:rsidRDefault="00A23C89" w:rsidP="00F91EE2">
            <w:pPr>
              <w:pStyle w:val="TableSideHeading"/>
              <w:rPr>
                <w:sz w:val="26"/>
                <w:rtl/>
              </w:rPr>
            </w:pPr>
          </w:p>
        </w:tc>
        <w:tc>
          <w:tcPr>
            <w:tcW w:w="624" w:type="dxa"/>
            <w:shd w:val="clear" w:color="auto" w:fill="auto"/>
          </w:tcPr>
          <w:p w14:paraId="56156E21" w14:textId="77777777" w:rsidR="00A23C89" w:rsidRPr="00456270" w:rsidRDefault="00A23C89" w:rsidP="00F91EE2">
            <w:pPr>
              <w:pStyle w:val="TableText"/>
              <w:jc w:val="both"/>
              <w:rPr>
                <w:sz w:val="26"/>
                <w:rtl/>
              </w:rPr>
            </w:pPr>
          </w:p>
        </w:tc>
        <w:tc>
          <w:tcPr>
            <w:tcW w:w="7143" w:type="dxa"/>
            <w:shd w:val="clear" w:color="auto" w:fill="auto"/>
          </w:tcPr>
          <w:p w14:paraId="0F2EC713" w14:textId="77777777" w:rsidR="00A23C89" w:rsidRPr="00456270" w:rsidRDefault="00A23C89" w:rsidP="00456270">
            <w:pPr>
              <w:pStyle w:val="TableBlockOutdent"/>
              <w:rPr>
                <w:sz w:val="26"/>
                <w:rtl/>
              </w:rPr>
            </w:pPr>
            <w:r w:rsidRPr="00456270">
              <w:rPr>
                <w:sz w:val="26"/>
                <w:rtl/>
              </w:rPr>
              <w:t>"</w:t>
            </w:r>
            <w:r w:rsidRPr="00456270">
              <w:rPr>
                <w:rFonts w:hint="eastAsia"/>
                <w:sz w:val="26"/>
                <w:rtl/>
              </w:rPr>
              <w:t>קטין</w:t>
            </w:r>
            <w:r w:rsidRPr="00456270">
              <w:rPr>
                <w:sz w:val="26"/>
                <w:rtl/>
              </w:rPr>
              <w:t xml:space="preserve">" </w:t>
            </w:r>
            <w:r w:rsidRPr="00456270">
              <w:rPr>
                <w:rFonts w:hint="eastAsia"/>
                <w:sz w:val="26"/>
                <w:rtl/>
              </w:rPr>
              <w:t>–</w:t>
            </w:r>
            <w:r w:rsidRPr="00456270">
              <w:rPr>
                <w:sz w:val="26"/>
                <w:rtl/>
              </w:rPr>
              <w:t xml:space="preserve"> כהגדרתו בחוק הנוער;</w:t>
            </w:r>
          </w:p>
        </w:tc>
      </w:tr>
      <w:tr w:rsidR="00A23C89" w:rsidRPr="00456270" w14:paraId="200B61B9" w14:textId="77777777" w:rsidTr="00456270">
        <w:trPr>
          <w:cantSplit/>
        </w:trPr>
        <w:tc>
          <w:tcPr>
            <w:tcW w:w="1871" w:type="dxa"/>
          </w:tcPr>
          <w:p w14:paraId="2F1134AD" w14:textId="77777777" w:rsidR="00A23C89" w:rsidRPr="00456270" w:rsidRDefault="00A23C89" w:rsidP="00F91EE2">
            <w:pPr>
              <w:pStyle w:val="TableSideHeading"/>
              <w:rPr>
                <w:sz w:val="26"/>
                <w:rtl/>
              </w:rPr>
            </w:pPr>
          </w:p>
        </w:tc>
        <w:tc>
          <w:tcPr>
            <w:tcW w:w="624" w:type="dxa"/>
            <w:shd w:val="clear" w:color="auto" w:fill="auto"/>
          </w:tcPr>
          <w:p w14:paraId="421E92EF" w14:textId="77777777" w:rsidR="00A23C89" w:rsidRPr="00456270" w:rsidRDefault="00A23C89" w:rsidP="00F91EE2">
            <w:pPr>
              <w:pStyle w:val="TableText"/>
              <w:jc w:val="both"/>
              <w:rPr>
                <w:sz w:val="26"/>
                <w:rtl/>
              </w:rPr>
            </w:pPr>
          </w:p>
        </w:tc>
        <w:tc>
          <w:tcPr>
            <w:tcW w:w="7143" w:type="dxa"/>
            <w:shd w:val="clear" w:color="auto" w:fill="auto"/>
          </w:tcPr>
          <w:p w14:paraId="29F7BC9B" w14:textId="77777777" w:rsidR="00A23C89" w:rsidRPr="00456270" w:rsidRDefault="00A23C89" w:rsidP="00456270">
            <w:pPr>
              <w:pStyle w:val="TableBlockOutdent"/>
              <w:rPr>
                <w:sz w:val="26"/>
                <w:rtl/>
              </w:rPr>
            </w:pPr>
            <w:r w:rsidRPr="00456270">
              <w:rPr>
                <w:sz w:val="26"/>
                <w:rtl/>
              </w:rPr>
              <w:t>"תושב</w:t>
            </w:r>
            <w:r w:rsidRPr="00456270">
              <w:rPr>
                <w:rFonts w:hint="cs"/>
                <w:sz w:val="26"/>
                <w:rtl/>
              </w:rPr>
              <w:t xml:space="preserve"> חבל עזה</w:t>
            </w:r>
            <w:r w:rsidRPr="00456270">
              <w:rPr>
                <w:sz w:val="26"/>
                <w:rtl/>
              </w:rPr>
              <w:t xml:space="preserve">" – מי שרשום במרשם האוכלוסין של </w:t>
            </w:r>
            <w:r w:rsidRPr="00456270">
              <w:rPr>
                <w:rFonts w:hint="cs"/>
                <w:sz w:val="26"/>
                <w:rtl/>
              </w:rPr>
              <w:t>חבל עזה</w:t>
            </w:r>
            <w:r w:rsidRPr="00456270">
              <w:rPr>
                <w:sz w:val="26"/>
                <w:rtl/>
              </w:rPr>
              <w:t xml:space="preserve">, וכן מי שמתגורר </w:t>
            </w:r>
            <w:r w:rsidRPr="00456270">
              <w:rPr>
                <w:rFonts w:hint="cs"/>
                <w:sz w:val="26"/>
                <w:rtl/>
              </w:rPr>
              <w:t>בחבל עזה</w:t>
            </w:r>
            <w:r w:rsidRPr="00456270">
              <w:rPr>
                <w:sz w:val="26"/>
                <w:rtl/>
              </w:rPr>
              <w:t xml:space="preserve"> אף שאינו רשום במרשם האוכלוסין של </w:t>
            </w:r>
            <w:r w:rsidRPr="00456270">
              <w:rPr>
                <w:rFonts w:hint="cs"/>
                <w:sz w:val="26"/>
                <w:rtl/>
              </w:rPr>
              <w:t>חבל עזה</w:t>
            </w:r>
            <w:r w:rsidRPr="00456270">
              <w:rPr>
                <w:sz w:val="26"/>
                <w:rtl/>
              </w:rPr>
              <w:t>;</w:t>
            </w:r>
          </w:p>
        </w:tc>
      </w:tr>
      <w:tr w:rsidR="00A23C89" w:rsidRPr="00456270" w14:paraId="1044824A" w14:textId="77777777" w:rsidTr="00456270">
        <w:trPr>
          <w:cantSplit/>
        </w:trPr>
        <w:tc>
          <w:tcPr>
            <w:tcW w:w="1871" w:type="dxa"/>
          </w:tcPr>
          <w:p w14:paraId="6FB0C0C2" w14:textId="77777777" w:rsidR="00A23C89" w:rsidRPr="00456270" w:rsidRDefault="00A23C89" w:rsidP="00F91EE2">
            <w:pPr>
              <w:pStyle w:val="TableSideHeading"/>
              <w:rPr>
                <w:sz w:val="26"/>
                <w:rtl/>
              </w:rPr>
            </w:pPr>
          </w:p>
        </w:tc>
        <w:tc>
          <w:tcPr>
            <w:tcW w:w="624" w:type="dxa"/>
          </w:tcPr>
          <w:p w14:paraId="6ADFC869" w14:textId="77777777" w:rsidR="00A23C89" w:rsidRPr="00456270" w:rsidRDefault="00A23C89" w:rsidP="00F91EE2">
            <w:pPr>
              <w:pStyle w:val="TableText"/>
              <w:jc w:val="both"/>
              <w:rPr>
                <w:sz w:val="26"/>
                <w:rtl/>
              </w:rPr>
            </w:pPr>
          </w:p>
        </w:tc>
        <w:tc>
          <w:tcPr>
            <w:tcW w:w="7143" w:type="dxa"/>
          </w:tcPr>
          <w:p w14:paraId="261860C1" w14:textId="77777777" w:rsidR="00A23C89" w:rsidRPr="00456270" w:rsidDel="0058516D" w:rsidRDefault="00A23C89" w:rsidP="00456270">
            <w:pPr>
              <w:pStyle w:val="TableBlockOutdent"/>
              <w:rPr>
                <w:sz w:val="26"/>
                <w:rtl/>
              </w:rPr>
            </w:pPr>
            <w:r w:rsidRPr="00456270">
              <w:rPr>
                <w:sz w:val="26"/>
                <w:rtl/>
              </w:rPr>
              <w:t xml:space="preserve">"השר" – </w:t>
            </w:r>
            <w:r w:rsidRPr="00456270">
              <w:rPr>
                <w:rFonts w:hint="eastAsia"/>
                <w:sz w:val="26"/>
                <w:rtl/>
              </w:rPr>
              <w:t>שר</w:t>
            </w:r>
            <w:r w:rsidRPr="00456270">
              <w:rPr>
                <w:sz w:val="26"/>
                <w:rtl/>
              </w:rPr>
              <w:t xml:space="preserve"> </w:t>
            </w:r>
            <w:r w:rsidRPr="00456270">
              <w:rPr>
                <w:rFonts w:hint="eastAsia"/>
                <w:sz w:val="26"/>
                <w:rtl/>
              </w:rPr>
              <w:t>הביטחון</w:t>
            </w:r>
            <w:r w:rsidRPr="00456270">
              <w:rPr>
                <w:sz w:val="26"/>
                <w:rtl/>
              </w:rPr>
              <w:t>.</w:t>
            </w:r>
          </w:p>
        </w:tc>
      </w:tr>
      <w:tr w:rsidR="00A23C89" w:rsidRPr="00456270" w14:paraId="4C948342" w14:textId="77777777" w:rsidTr="00456270">
        <w:trPr>
          <w:cantSplit/>
        </w:trPr>
        <w:tc>
          <w:tcPr>
            <w:tcW w:w="1871" w:type="dxa"/>
          </w:tcPr>
          <w:p w14:paraId="2F4710DF" w14:textId="77777777" w:rsidR="00A23C89" w:rsidRPr="00456270" w:rsidRDefault="00A23C89" w:rsidP="00F91EE2">
            <w:pPr>
              <w:pStyle w:val="TableSideHeading"/>
              <w:rPr>
                <w:sz w:val="26"/>
                <w:rtl/>
              </w:rPr>
            </w:pPr>
            <w:r w:rsidRPr="00456270">
              <w:rPr>
                <w:rFonts w:hint="cs"/>
                <w:sz w:val="26"/>
                <w:rtl/>
              </w:rPr>
              <w:t xml:space="preserve">זכאות                    </w:t>
            </w:r>
          </w:p>
        </w:tc>
        <w:tc>
          <w:tcPr>
            <w:tcW w:w="624" w:type="dxa"/>
          </w:tcPr>
          <w:p w14:paraId="545F197F" w14:textId="77777777" w:rsidR="00A23C89" w:rsidRPr="00456270" w:rsidRDefault="00A23C89" w:rsidP="00F91EE2">
            <w:pPr>
              <w:pStyle w:val="TableText"/>
              <w:jc w:val="both"/>
              <w:rPr>
                <w:sz w:val="26"/>
                <w:rtl/>
              </w:rPr>
            </w:pPr>
            <w:r w:rsidRPr="00456270">
              <w:rPr>
                <w:rFonts w:hint="cs"/>
                <w:sz w:val="26"/>
                <w:rtl/>
              </w:rPr>
              <w:t>2.</w:t>
            </w:r>
          </w:p>
        </w:tc>
        <w:tc>
          <w:tcPr>
            <w:tcW w:w="7143" w:type="dxa"/>
          </w:tcPr>
          <w:p w14:paraId="5F61F8D9" w14:textId="77777777" w:rsidR="00A23C89" w:rsidRPr="00456270" w:rsidRDefault="00A23C89" w:rsidP="00456270">
            <w:pPr>
              <w:pStyle w:val="TableBlock"/>
              <w:rPr>
                <w:sz w:val="26"/>
                <w:rtl/>
              </w:rPr>
            </w:pPr>
            <w:r w:rsidRPr="00456270">
              <w:rPr>
                <w:rFonts w:hint="cs"/>
                <w:sz w:val="26"/>
                <w:rtl/>
              </w:rPr>
              <w:t>(א)</w:t>
            </w:r>
            <w:r w:rsidRPr="00456270">
              <w:rPr>
                <w:sz w:val="26"/>
                <w:rtl/>
              </w:rPr>
              <w:tab/>
            </w:r>
            <w:r w:rsidRPr="00456270">
              <w:rPr>
                <w:rFonts w:hint="cs"/>
                <w:sz w:val="26"/>
                <w:rtl/>
              </w:rPr>
              <w:t xml:space="preserve">תושב חבל עזה שחתם על הצהרת עזיבה, וזמן סביר לאחר מכן עזב את חבל עזה, יהיה זכאי </w:t>
            </w:r>
            <w:r w:rsidRPr="00456270">
              <w:rPr>
                <w:sz w:val="26"/>
                <w:rtl/>
              </w:rPr>
              <w:t>לסל</w:t>
            </w:r>
            <w:r w:rsidRPr="00456270">
              <w:rPr>
                <w:rFonts w:hint="cs"/>
                <w:sz w:val="26"/>
                <w:rtl/>
              </w:rPr>
              <w:t xml:space="preserve"> עזיבה כפי שיקבע </w:t>
            </w:r>
            <w:r w:rsidRPr="00456270">
              <w:rPr>
                <w:rFonts w:hint="eastAsia"/>
                <w:sz w:val="26"/>
                <w:rtl/>
              </w:rPr>
              <w:t>שר</w:t>
            </w:r>
            <w:r w:rsidRPr="00456270">
              <w:rPr>
                <w:sz w:val="26"/>
                <w:rtl/>
              </w:rPr>
              <w:t xml:space="preserve"> </w:t>
            </w:r>
            <w:r w:rsidRPr="00456270">
              <w:rPr>
                <w:rFonts w:hint="eastAsia"/>
                <w:sz w:val="26"/>
                <w:rtl/>
              </w:rPr>
              <w:t>האוצר</w:t>
            </w:r>
            <w:r w:rsidRPr="00456270">
              <w:rPr>
                <w:sz w:val="26"/>
                <w:rtl/>
              </w:rPr>
              <w:t xml:space="preserve"> בהתייעצות עם השר</w:t>
            </w:r>
            <w:r w:rsidRPr="00456270">
              <w:rPr>
                <w:rFonts w:hint="cs"/>
                <w:sz w:val="26"/>
                <w:rtl/>
              </w:rPr>
              <w:t xml:space="preserve">; הצהרת עזיבה כאמור תהיה על גבי טופס שקבע המפקד הצבאי וכולל התחייבות לעזוב את שטחי חבל עזה </w:t>
            </w:r>
            <w:r w:rsidRPr="00456270">
              <w:rPr>
                <w:rFonts w:hint="eastAsia"/>
                <w:sz w:val="26"/>
                <w:rtl/>
              </w:rPr>
              <w:t>ולא</w:t>
            </w:r>
            <w:r w:rsidRPr="00456270">
              <w:rPr>
                <w:sz w:val="26"/>
                <w:rtl/>
              </w:rPr>
              <w:t xml:space="preserve"> </w:t>
            </w:r>
            <w:r w:rsidRPr="00456270">
              <w:rPr>
                <w:rFonts w:hint="eastAsia"/>
                <w:sz w:val="26"/>
                <w:rtl/>
              </w:rPr>
              <w:t>לשוב</w:t>
            </w:r>
            <w:r w:rsidRPr="00456270">
              <w:rPr>
                <w:sz w:val="26"/>
                <w:rtl/>
              </w:rPr>
              <w:t>.</w:t>
            </w:r>
          </w:p>
        </w:tc>
      </w:tr>
      <w:tr w:rsidR="00A23C89" w:rsidRPr="00456270" w14:paraId="06589AFC" w14:textId="77777777" w:rsidTr="00456270">
        <w:trPr>
          <w:cantSplit/>
        </w:trPr>
        <w:tc>
          <w:tcPr>
            <w:tcW w:w="1871" w:type="dxa"/>
          </w:tcPr>
          <w:p w14:paraId="787C606D" w14:textId="77777777" w:rsidR="00A23C89" w:rsidRPr="00456270" w:rsidRDefault="00A23C89" w:rsidP="00F91EE2">
            <w:pPr>
              <w:pStyle w:val="TableSideHeading"/>
              <w:rPr>
                <w:sz w:val="26"/>
                <w:rtl/>
              </w:rPr>
            </w:pPr>
          </w:p>
        </w:tc>
        <w:tc>
          <w:tcPr>
            <w:tcW w:w="624" w:type="dxa"/>
          </w:tcPr>
          <w:p w14:paraId="568C338D" w14:textId="77777777" w:rsidR="00A23C89" w:rsidRPr="00456270" w:rsidRDefault="00A23C89" w:rsidP="00F91EE2">
            <w:pPr>
              <w:pStyle w:val="TableText"/>
              <w:rPr>
                <w:sz w:val="26"/>
                <w:rtl/>
              </w:rPr>
            </w:pPr>
          </w:p>
        </w:tc>
        <w:tc>
          <w:tcPr>
            <w:tcW w:w="7143" w:type="dxa"/>
          </w:tcPr>
          <w:p w14:paraId="5BA28F19" w14:textId="77777777" w:rsidR="00A23C89" w:rsidRPr="00456270" w:rsidRDefault="00A23C89" w:rsidP="00456270">
            <w:pPr>
              <w:pStyle w:val="TableBlock"/>
              <w:rPr>
                <w:sz w:val="26"/>
                <w:rtl/>
              </w:rPr>
            </w:pPr>
            <w:r w:rsidRPr="00456270">
              <w:rPr>
                <w:rFonts w:hint="cs"/>
                <w:sz w:val="26"/>
                <w:rtl/>
              </w:rPr>
              <w:t>(ב)</w:t>
            </w:r>
            <w:r w:rsidRPr="00456270">
              <w:rPr>
                <w:sz w:val="26"/>
                <w:rtl/>
              </w:rPr>
              <w:tab/>
            </w:r>
            <w:r w:rsidRPr="00456270">
              <w:rPr>
                <w:rFonts w:hint="cs"/>
                <w:sz w:val="26"/>
                <w:rtl/>
              </w:rPr>
              <w:t>אחראי על קטין, יחתום בשמו על הצהרת עזיבה</w:t>
            </w:r>
            <w:r w:rsidRPr="00456270">
              <w:rPr>
                <w:sz w:val="26"/>
                <w:rtl/>
              </w:rPr>
              <w:t>.</w:t>
            </w:r>
            <w:r w:rsidRPr="00456270">
              <w:rPr>
                <w:rFonts w:hint="cs"/>
                <w:sz w:val="26"/>
                <w:rtl/>
              </w:rPr>
              <w:t xml:space="preserve">  </w:t>
            </w:r>
          </w:p>
        </w:tc>
      </w:tr>
      <w:tr w:rsidR="00A23C89" w:rsidRPr="00456270" w14:paraId="36B3978A" w14:textId="77777777" w:rsidTr="00456270">
        <w:trPr>
          <w:cantSplit/>
        </w:trPr>
        <w:tc>
          <w:tcPr>
            <w:tcW w:w="1871" w:type="dxa"/>
          </w:tcPr>
          <w:p w14:paraId="103E746A" w14:textId="77777777" w:rsidR="00A23C89" w:rsidRPr="00456270" w:rsidRDefault="00A23C89" w:rsidP="00F91EE2">
            <w:pPr>
              <w:pStyle w:val="TableSideHeading"/>
              <w:rPr>
                <w:sz w:val="26"/>
                <w:rtl/>
              </w:rPr>
            </w:pPr>
          </w:p>
        </w:tc>
        <w:tc>
          <w:tcPr>
            <w:tcW w:w="624" w:type="dxa"/>
          </w:tcPr>
          <w:p w14:paraId="4704C932" w14:textId="77777777" w:rsidR="00A23C89" w:rsidRPr="00456270" w:rsidRDefault="00A23C89" w:rsidP="00F91EE2">
            <w:pPr>
              <w:pStyle w:val="TableText"/>
              <w:jc w:val="both"/>
              <w:rPr>
                <w:sz w:val="26"/>
                <w:rtl/>
              </w:rPr>
            </w:pPr>
          </w:p>
        </w:tc>
        <w:tc>
          <w:tcPr>
            <w:tcW w:w="7143" w:type="dxa"/>
          </w:tcPr>
          <w:p w14:paraId="1DA74FF8" w14:textId="77777777" w:rsidR="00A23C89" w:rsidRPr="00456270" w:rsidRDefault="00A23C89" w:rsidP="00456270">
            <w:pPr>
              <w:pStyle w:val="TableBlock"/>
              <w:rPr>
                <w:sz w:val="26"/>
              </w:rPr>
            </w:pPr>
            <w:r w:rsidRPr="00456270">
              <w:rPr>
                <w:rFonts w:hint="cs"/>
                <w:sz w:val="26"/>
                <w:rtl/>
              </w:rPr>
              <w:t>(ג)</w:t>
            </w:r>
            <w:r w:rsidRPr="00456270">
              <w:rPr>
                <w:sz w:val="26"/>
                <w:rtl/>
              </w:rPr>
              <w:tab/>
            </w:r>
            <w:r w:rsidRPr="00456270">
              <w:rPr>
                <w:rFonts w:hint="cs"/>
                <w:sz w:val="26"/>
                <w:rtl/>
              </w:rPr>
              <w:t>הוראות סעיפים קטנים (א) ו-(ב) לא יחולו על תושב חבל עזה שהורשע בעבירת ביטחון או עצור בגין חשד לביצוע עבירת ביטחון</w:t>
            </w:r>
            <w:r w:rsidRPr="00456270">
              <w:rPr>
                <w:sz w:val="26"/>
              </w:rPr>
              <w:t>.</w:t>
            </w:r>
          </w:p>
        </w:tc>
      </w:tr>
      <w:tr w:rsidR="00A23C89" w:rsidRPr="00456270" w14:paraId="7BC65135" w14:textId="77777777" w:rsidTr="00456270">
        <w:trPr>
          <w:cantSplit/>
        </w:trPr>
        <w:tc>
          <w:tcPr>
            <w:tcW w:w="1871" w:type="dxa"/>
          </w:tcPr>
          <w:p w14:paraId="22C956B0" w14:textId="77777777" w:rsidR="00A23C89" w:rsidRPr="00456270" w:rsidRDefault="00A23C89" w:rsidP="00F91EE2">
            <w:pPr>
              <w:pStyle w:val="TableSideHeading"/>
              <w:rPr>
                <w:sz w:val="26"/>
                <w:rtl/>
              </w:rPr>
            </w:pPr>
            <w:r w:rsidRPr="00456270">
              <w:rPr>
                <w:rFonts w:hint="cs"/>
                <w:sz w:val="26"/>
                <w:rtl/>
              </w:rPr>
              <w:lastRenderedPageBreak/>
              <w:t>שלילת זכאות</w:t>
            </w:r>
          </w:p>
        </w:tc>
        <w:tc>
          <w:tcPr>
            <w:tcW w:w="624" w:type="dxa"/>
          </w:tcPr>
          <w:p w14:paraId="210F5157" w14:textId="77777777" w:rsidR="00A23C89" w:rsidRPr="00456270" w:rsidRDefault="00A23C89" w:rsidP="00F91EE2">
            <w:pPr>
              <w:pStyle w:val="TableText"/>
              <w:jc w:val="both"/>
              <w:rPr>
                <w:sz w:val="26"/>
                <w:rtl/>
              </w:rPr>
            </w:pPr>
            <w:r w:rsidRPr="00456270">
              <w:rPr>
                <w:rFonts w:hint="cs"/>
                <w:sz w:val="26"/>
                <w:rtl/>
              </w:rPr>
              <w:t>3.</w:t>
            </w:r>
          </w:p>
        </w:tc>
        <w:tc>
          <w:tcPr>
            <w:tcW w:w="7143" w:type="dxa"/>
          </w:tcPr>
          <w:p w14:paraId="63B0414F" w14:textId="77777777" w:rsidR="00A23C89" w:rsidRPr="00456270" w:rsidRDefault="00A23C89" w:rsidP="00456270">
            <w:pPr>
              <w:pStyle w:val="TableBlock"/>
              <w:rPr>
                <w:sz w:val="26"/>
              </w:rPr>
            </w:pPr>
            <w:r w:rsidRPr="00456270">
              <w:rPr>
                <w:rFonts w:hint="cs"/>
                <w:sz w:val="26"/>
                <w:rtl/>
              </w:rPr>
              <w:t>(א</w:t>
            </w:r>
            <w:r w:rsidRPr="00456270">
              <w:rPr>
                <w:sz w:val="26"/>
                <w:rtl/>
              </w:rPr>
              <w:t>)</w:t>
            </w:r>
            <w:r w:rsidRPr="00456270">
              <w:rPr>
                <w:sz w:val="26"/>
                <w:rtl/>
              </w:rPr>
              <w:tab/>
            </w:r>
            <w:r w:rsidRPr="00456270">
              <w:rPr>
                <w:rFonts w:hint="eastAsia"/>
                <w:sz w:val="26"/>
                <w:rtl/>
              </w:rPr>
              <w:t>הפר</w:t>
            </w:r>
            <w:r w:rsidRPr="00456270">
              <w:rPr>
                <w:sz w:val="26"/>
                <w:rtl/>
              </w:rPr>
              <w:t xml:space="preserve"> תושב </w:t>
            </w:r>
            <w:r w:rsidRPr="00456270">
              <w:rPr>
                <w:rFonts w:hint="cs"/>
                <w:sz w:val="26"/>
                <w:rtl/>
              </w:rPr>
              <w:t>חבל עזה</w:t>
            </w:r>
            <w:r w:rsidRPr="00456270">
              <w:rPr>
                <w:sz w:val="26"/>
                <w:rtl/>
              </w:rPr>
              <w:t xml:space="preserve"> את </w:t>
            </w:r>
            <w:r w:rsidRPr="00456270">
              <w:rPr>
                <w:rFonts w:hint="eastAsia"/>
                <w:sz w:val="26"/>
                <w:rtl/>
              </w:rPr>
              <w:t>אחד</w:t>
            </w:r>
            <w:r w:rsidRPr="00456270">
              <w:rPr>
                <w:sz w:val="26"/>
                <w:rtl/>
              </w:rPr>
              <w:t xml:space="preserve"> מהתנאים האמורים </w:t>
            </w:r>
            <w:r w:rsidRPr="00456270">
              <w:rPr>
                <w:rFonts w:hint="eastAsia"/>
                <w:sz w:val="26"/>
                <w:rtl/>
              </w:rPr>
              <w:t>בסעיף</w:t>
            </w:r>
            <w:r w:rsidRPr="00456270">
              <w:rPr>
                <w:sz w:val="26"/>
                <w:rtl/>
              </w:rPr>
              <w:t xml:space="preserve"> </w:t>
            </w:r>
            <w:r w:rsidRPr="00456270">
              <w:rPr>
                <w:rFonts w:hint="cs"/>
                <w:sz w:val="26"/>
                <w:rtl/>
              </w:rPr>
              <w:t>2</w:t>
            </w:r>
            <w:r w:rsidRPr="00456270">
              <w:rPr>
                <w:sz w:val="26"/>
                <w:rtl/>
              </w:rPr>
              <w:t>, תישלל זכאותו לסל עזיבה</w:t>
            </w:r>
            <w:r w:rsidRPr="00456270">
              <w:rPr>
                <w:rFonts w:hint="cs"/>
                <w:sz w:val="26"/>
                <w:rtl/>
              </w:rPr>
              <w:t>, ואם ניתן לו סל העזיבה –</w:t>
            </w:r>
            <w:r w:rsidRPr="00456270">
              <w:rPr>
                <w:sz w:val="26"/>
                <w:rtl/>
              </w:rPr>
              <w:t xml:space="preserve"> יחויב </w:t>
            </w:r>
            <w:r w:rsidRPr="00456270">
              <w:rPr>
                <w:rFonts w:hint="eastAsia"/>
                <w:sz w:val="26"/>
                <w:rtl/>
              </w:rPr>
              <w:t>בהחזרת</w:t>
            </w:r>
            <w:r w:rsidRPr="00456270">
              <w:rPr>
                <w:sz w:val="26"/>
                <w:rtl/>
              </w:rPr>
              <w:t xml:space="preserve"> </w:t>
            </w:r>
            <w:r w:rsidRPr="00456270">
              <w:rPr>
                <w:rFonts w:hint="eastAsia"/>
                <w:sz w:val="26"/>
                <w:rtl/>
              </w:rPr>
              <w:t>כפל</w:t>
            </w:r>
            <w:r w:rsidRPr="00456270">
              <w:rPr>
                <w:rFonts w:hint="cs"/>
                <w:sz w:val="26"/>
                <w:rtl/>
              </w:rPr>
              <w:t xml:space="preserve"> </w:t>
            </w:r>
            <w:r w:rsidRPr="00456270">
              <w:rPr>
                <w:rFonts w:hint="eastAsia"/>
                <w:sz w:val="26"/>
                <w:rtl/>
              </w:rPr>
              <w:t>סל</w:t>
            </w:r>
            <w:r w:rsidRPr="00456270">
              <w:rPr>
                <w:sz w:val="26"/>
                <w:rtl/>
              </w:rPr>
              <w:t xml:space="preserve"> </w:t>
            </w:r>
            <w:r w:rsidRPr="00456270">
              <w:rPr>
                <w:rFonts w:hint="eastAsia"/>
                <w:sz w:val="26"/>
                <w:rtl/>
              </w:rPr>
              <w:t>העזיבה</w:t>
            </w:r>
            <w:r w:rsidRPr="00456270">
              <w:rPr>
                <w:rFonts w:hint="cs"/>
                <w:sz w:val="26"/>
                <w:rtl/>
              </w:rPr>
              <w:t>,</w:t>
            </w:r>
            <w:r w:rsidRPr="00456270">
              <w:rPr>
                <w:sz w:val="26"/>
                <w:rtl/>
              </w:rPr>
              <w:t xml:space="preserve"> בצירוף הפרשי הצמדה וריבית</w:t>
            </w:r>
            <w:r w:rsidRPr="00456270">
              <w:rPr>
                <w:rFonts w:hint="cs"/>
                <w:sz w:val="26"/>
                <w:rtl/>
              </w:rPr>
              <w:t>.</w:t>
            </w:r>
          </w:p>
        </w:tc>
      </w:tr>
      <w:tr w:rsidR="00A23C89" w:rsidRPr="00456270" w14:paraId="0FBBDC57" w14:textId="77777777" w:rsidTr="00456270">
        <w:trPr>
          <w:cantSplit/>
        </w:trPr>
        <w:tc>
          <w:tcPr>
            <w:tcW w:w="1871" w:type="dxa"/>
          </w:tcPr>
          <w:p w14:paraId="02265279" w14:textId="77777777" w:rsidR="00A23C89" w:rsidRPr="00456270" w:rsidRDefault="00A23C89" w:rsidP="00F91EE2">
            <w:pPr>
              <w:pStyle w:val="TableSideHeading"/>
              <w:rPr>
                <w:sz w:val="26"/>
                <w:rtl/>
              </w:rPr>
            </w:pPr>
          </w:p>
        </w:tc>
        <w:tc>
          <w:tcPr>
            <w:tcW w:w="624" w:type="dxa"/>
          </w:tcPr>
          <w:p w14:paraId="133694F2" w14:textId="77777777" w:rsidR="00A23C89" w:rsidRPr="00456270" w:rsidRDefault="00A23C89" w:rsidP="00F91EE2">
            <w:pPr>
              <w:pStyle w:val="TableText"/>
              <w:rPr>
                <w:sz w:val="26"/>
                <w:rtl/>
              </w:rPr>
            </w:pPr>
          </w:p>
        </w:tc>
        <w:tc>
          <w:tcPr>
            <w:tcW w:w="7143" w:type="dxa"/>
          </w:tcPr>
          <w:p w14:paraId="2FFCC91B" w14:textId="77777777" w:rsidR="00A23C89" w:rsidRPr="00456270" w:rsidRDefault="00A23C89" w:rsidP="00456270">
            <w:pPr>
              <w:pStyle w:val="TableBlock"/>
              <w:rPr>
                <w:sz w:val="26"/>
                <w:rtl/>
              </w:rPr>
            </w:pPr>
            <w:r w:rsidRPr="00456270">
              <w:rPr>
                <w:rFonts w:hint="cs"/>
                <w:sz w:val="26"/>
                <w:rtl/>
              </w:rPr>
              <w:t>(ב)</w:t>
            </w:r>
            <w:r w:rsidRPr="00456270">
              <w:rPr>
                <w:sz w:val="26"/>
                <w:rtl/>
              </w:rPr>
              <w:tab/>
            </w:r>
            <w:r w:rsidRPr="00456270">
              <w:rPr>
                <w:rFonts w:hint="cs"/>
                <w:sz w:val="26"/>
                <w:rtl/>
              </w:rPr>
              <w:t>לא תותר כניסתו של תושב חבל עזה לשטחי חבל עזה, מדינת ישראל ויהודה ושומרון, עד אשר יחזיר את סל העזיבה כאמור בסעיף 3(א), אף אם היה קטין בשעת עזיבתו.</w:t>
            </w:r>
          </w:p>
        </w:tc>
      </w:tr>
      <w:tr w:rsidR="00A23C89" w:rsidRPr="00456270" w14:paraId="59E6FAD1" w14:textId="77777777" w:rsidTr="00456270">
        <w:tblPrEx>
          <w:tblLook w:val="01E0" w:firstRow="1" w:lastRow="1" w:firstColumn="1" w:lastColumn="1" w:noHBand="0" w:noVBand="0"/>
        </w:tblPrEx>
        <w:trPr>
          <w:cantSplit/>
        </w:trPr>
        <w:tc>
          <w:tcPr>
            <w:tcW w:w="1871" w:type="dxa"/>
          </w:tcPr>
          <w:p w14:paraId="3500ACAE" w14:textId="77777777" w:rsidR="00A23C89" w:rsidRPr="00456270" w:rsidRDefault="00A23C89" w:rsidP="00F91EE2">
            <w:pPr>
              <w:pStyle w:val="TableSideHeading"/>
              <w:tabs>
                <w:tab w:val="clear" w:pos="1247"/>
                <w:tab w:val="left" w:pos="1176"/>
              </w:tabs>
              <w:rPr>
                <w:sz w:val="26"/>
                <w:rtl/>
              </w:rPr>
            </w:pPr>
            <w:r w:rsidRPr="00456270">
              <w:rPr>
                <w:rFonts w:hint="cs"/>
                <w:sz w:val="26"/>
                <w:rtl/>
              </w:rPr>
              <w:t xml:space="preserve">ביצוע ותקנות </w:t>
            </w:r>
            <w:r w:rsidRPr="00456270">
              <w:rPr>
                <w:sz w:val="26"/>
                <w:rtl/>
              </w:rPr>
              <w:tab/>
            </w:r>
            <w:r w:rsidRPr="00456270">
              <w:rPr>
                <w:rFonts w:hint="cs"/>
                <w:sz w:val="26"/>
                <w:rtl/>
              </w:rPr>
              <w:t xml:space="preserve"> </w:t>
            </w:r>
            <w:r w:rsidRPr="00456270">
              <w:rPr>
                <w:sz w:val="26"/>
                <w:rtl/>
              </w:rPr>
              <w:t xml:space="preserve"> </w:t>
            </w:r>
          </w:p>
        </w:tc>
        <w:tc>
          <w:tcPr>
            <w:tcW w:w="624" w:type="dxa"/>
          </w:tcPr>
          <w:p w14:paraId="75ED5617" w14:textId="77777777" w:rsidR="00A23C89" w:rsidRPr="00456270" w:rsidRDefault="00A23C89" w:rsidP="00F91EE2">
            <w:pPr>
              <w:pStyle w:val="TableText"/>
              <w:rPr>
                <w:sz w:val="26"/>
              </w:rPr>
            </w:pPr>
            <w:r w:rsidRPr="00456270">
              <w:rPr>
                <w:rFonts w:hint="cs"/>
                <w:sz w:val="26"/>
                <w:rtl/>
              </w:rPr>
              <w:t>4.</w:t>
            </w:r>
          </w:p>
        </w:tc>
        <w:tc>
          <w:tcPr>
            <w:tcW w:w="7143" w:type="dxa"/>
          </w:tcPr>
          <w:p w14:paraId="2D0CAA1E" w14:textId="77777777" w:rsidR="00A23C89" w:rsidRPr="00456270" w:rsidRDefault="00A23C89" w:rsidP="00456270">
            <w:pPr>
              <w:pStyle w:val="TableBlock"/>
              <w:rPr>
                <w:sz w:val="26"/>
                <w:rtl/>
              </w:rPr>
            </w:pPr>
            <w:r w:rsidRPr="00456270">
              <w:rPr>
                <w:rFonts w:hint="cs"/>
                <w:sz w:val="26"/>
                <w:rtl/>
              </w:rPr>
              <w:t xml:space="preserve">השר ממונה על ביצועו של חוק זה, והוא רשאי, בהתייעצות עם שר האוצר, להתקין תקנות בכל עניין הנוגע לביצועו. </w:t>
            </w:r>
          </w:p>
        </w:tc>
      </w:tr>
    </w:tbl>
    <w:p w14:paraId="0D310D6E" w14:textId="77777777" w:rsidR="00A23C89" w:rsidRPr="00BB125C" w:rsidRDefault="00A23C89" w:rsidP="00A23C89">
      <w:pPr>
        <w:pStyle w:val="HeadDivreiHesber"/>
        <w:jc w:val="both"/>
        <w:rPr>
          <w:sz w:val="24"/>
          <w:szCs w:val="24"/>
          <w:rtl/>
        </w:rPr>
      </w:pPr>
    </w:p>
    <w:p w14:paraId="2DDCDED9" w14:textId="77777777" w:rsidR="00A23C89" w:rsidRPr="00BB125C" w:rsidRDefault="00A23C89" w:rsidP="00A23C89">
      <w:pPr>
        <w:pStyle w:val="HeadDivreiHesber"/>
        <w:rPr>
          <w:rtl/>
        </w:rPr>
      </w:pPr>
      <w:r w:rsidRPr="00BB125C">
        <w:rPr>
          <w:rFonts w:hint="cs"/>
          <w:rtl/>
        </w:rPr>
        <w:t>דברי הסבר</w:t>
      </w:r>
    </w:p>
    <w:p w14:paraId="0D5DF2EB" w14:textId="70ED8E23" w:rsidR="00A23C89" w:rsidRPr="00456270" w:rsidRDefault="00A23C89" w:rsidP="00456270">
      <w:pPr>
        <w:pStyle w:val="Hesber"/>
        <w:rPr>
          <w:rtl/>
        </w:rPr>
      </w:pPr>
      <w:r w:rsidRPr="00456270">
        <w:rPr>
          <w:rtl/>
        </w:rPr>
        <w:t xml:space="preserve">בקרב רבים התחדדה ההבנה כי רעיון הקמת מדינה פלסטינית נוספת, בשטחי </w:t>
      </w:r>
      <w:r w:rsidRPr="00456270">
        <w:rPr>
          <w:rFonts w:hint="eastAsia"/>
          <w:rtl/>
        </w:rPr>
        <w:t>ארץ</w:t>
      </w:r>
      <w:r w:rsidRPr="00456270">
        <w:rPr>
          <w:rtl/>
        </w:rPr>
        <w:t xml:space="preserve"> </w:t>
      </w:r>
      <w:r w:rsidRPr="00456270">
        <w:rPr>
          <w:rFonts w:hint="eastAsia"/>
          <w:rtl/>
        </w:rPr>
        <w:t>ישראל</w:t>
      </w:r>
      <w:r w:rsidRPr="00456270">
        <w:rPr>
          <w:rtl/>
        </w:rPr>
        <w:t xml:space="preserve"> </w:t>
      </w:r>
      <w:r w:rsidRPr="00456270">
        <w:rPr>
          <w:rFonts w:hint="eastAsia"/>
          <w:rtl/>
        </w:rPr>
        <w:t>השלמה</w:t>
      </w:r>
      <w:r w:rsidRPr="00456270">
        <w:rPr>
          <w:rtl/>
        </w:rPr>
        <w:t xml:space="preserve">, משמעותו השמדתה של מדינת ישראל. הצעת חוק זו נועדה לעודד עזיבה מרצון של תושבי </w:t>
      </w:r>
      <w:r w:rsidRPr="00456270">
        <w:rPr>
          <w:rFonts w:hint="eastAsia"/>
          <w:rtl/>
        </w:rPr>
        <w:t>חבל</w:t>
      </w:r>
      <w:r w:rsidRPr="00456270">
        <w:rPr>
          <w:rtl/>
        </w:rPr>
        <w:t xml:space="preserve"> </w:t>
      </w:r>
      <w:r w:rsidRPr="00456270">
        <w:rPr>
          <w:rFonts w:hint="eastAsia"/>
          <w:rtl/>
        </w:rPr>
        <w:t>עזה</w:t>
      </w:r>
      <w:r w:rsidRPr="00456270">
        <w:rPr>
          <w:rtl/>
        </w:rPr>
        <w:t xml:space="preserve">. </w:t>
      </w:r>
      <w:r w:rsidRPr="00456270">
        <w:rPr>
          <w:rFonts w:hint="eastAsia"/>
          <w:rtl/>
        </w:rPr>
        <w:t>תושב</w:t>
      </w:r>
      <w:r w:rsidRPr="00456270">
        <w:rPr>
          <w:rtl/>
        </w:rPr>
        <w:t xml:space="preserve"> </w:t>
      </w:r>
      <w:r w:rsidR="00366FE5" w:rsidRPr="00456270">
        <w:rPr>
          <w:rFonts w:hint="cs"/>
          <w:rtl/>
        </w:rPr>
        <w:t xml:space="preserve">עזה </w:t>
      </w:r>
      <w:r w:rsidRPr="00456270">
        <w:rPr>
          <w:rtl/>
        </w:rPr>
        <w:t xml:space="preserve">הבוחר לעשות כן מרצון, יידרש לחתום על הצהרת עזיבה תוך התחייבות שלא לחזור, כאשר עזיבתו זמן סביר לאחר מכן, תזכה אותו בסל סיוע כלכלי שייקבע על ידי שר האוצר בהתייעצות עם שר הביטחון. כמו כן, אחראים לקטינים יידרשו לחתום בשמם על הצהרת עזיבה ולהתחייב בדבר אי-חזרתם. </w:t>
      </w:r>
    </w:p>
    <w:p w14:paraId="683CCACE" w14:textId="77777777" w:rsidR="00A23C89" w:rsidRPr="00BB125C" w:rsidRDefault="00A23C89" w:rsidP="00A23C89">
      <w:pPr>
        <w:pStyle w:val="Hesber"/>
        <w:rPr>
          <w:rtl/>
        </w:rPr>
      </w:pPr>
      <w:r w:rsidRPr="00BB125C">
        <w:rPr>
          <w:rtl/>
        </w:rPr>
        <w:t xml:space="preserve">עם זאת, הזכאות לסל עזיבה תישלל מתושב </w:t>
      </w:r>
      <w:r w:rsidRPr="00BB125C">
        <w:rPr>
          <w:rFonts w:hint="cs"/>
          <w:rtl/>
        </w:rPr>
        <w:t xml:space="preserve">חבל עזה </w:t>
      </w:r>
      <w:r w:rsidRPr="00BB125C">
        <w:rPr>
          <w:rtl/>
        </w:rPr>
        <w:t xml:space="preserve">שהורשע </w:t>
      </w:r>
      <w:r>
        <w:rPr>
          <w:rFonts w:hint="cs"/>
          <w:rtl/>
        </w:rPr>
        <w:t>בעבירת ביטחון</w:t>
      </w:r>
      <w:r w:rsidRPr="00BB125C">
        <w:rPr>
          <w:rtl/>
        </w:rPr>
        <w:t xml:space="preserve"> או </w:t>
      </w:r>
      <w:r w:rsidRPr="00BB125C">
        <w:rPr>
          <w:rFonts w:hint="cs"/>
          <w:rtl/>
        </w:rPr>
        <w:t>עצור</w:t>
      </w:r>
      <w:r w:rsidRPr="00BB125C">
        <w:rPr>
          <w:rtl/>
        </w:rPr>
        <w:t xml:space="preserve"> ב</w:t>
      </w:r>
      <w:r w:rsidRPr="00BB125C">
        <w:rPr>
          <w:rFonts w:hint="cs"/>
          <w:rtl/>
        </w:rPr>
        <w:t xml:space="preserve">של </w:t>
      </w:r>
      <w:r>
        <w:rPr>
          <w:rFonts w:hint="cs"/>
          <w:rtl/>
        </w:rPr>
        <w:t>חשד לביצועה</w:t>
      </w:r>
      <w:r w:rsidRPr="00BB125C">
        <w:rPr>
          <w:rFonts w:hint="cs"/>
          <w:rtl/>
        </w:rPr>
        <w:t>. במקרה בו ניתן סל עזיבה לתושב המבקש לחזור, אף אם היה קטין בעת עזיבתו, יחויב התושב בהחזרת מכפלת סל העזיבה בצירוף הפרשי הצמדה וריבית. ויודגש כי כל עוד לא עמד בכך, לא תותר כניסתו לחבל עזה, יהודה ושומרון ומדינת ישראל.</w:t>
      </w:r>
    </w:p>
    <w:p w14:paraId="7F3D2BD4" w14:textId="3152C5E0" w:rsidR="00A23C89" w:rsidRDefault="00A23C89" w:rsidP="00456270">
      <w:pPr>
        <w:pStyle w:val="Hesber"/>
        <w:rPr>
          <w:rtl/>
        </w:rPr>
      </w:pPr>
      <w:r w:rsidRPr="00BB125C">
        <w:rPr>
          <w:rtl/>
        </w:rPr>
        <w:t xml:space="preserve">בנוסף, </w:t>
      </w:r>
      <w:r w:rsidR="00456270">
        <w:rPr>
          <w:rFonts w:hint="cs"/>
          <w:rtl/>
        </w:rPr>
        <w:t>מוצע</w:t>
      </w:r>
      <w:bookmarkStart w:id="8" w:name="_GoBack"/>
      <w:bookmarkEnd w:id="8"/>
      <w:r w:rsidRPr="00BB125C">
        <w:rPr>
          <w:rtl/>
        </w:rPr>
        <w:t xml:space="preserve"> להסמיך את שר ה</w:t>
      </w:r>
      <w:r w:rsidRPr="00BB125C">
        <w:rPr>
          <w:rFonts w:hint="cs"/>
          <w:rtl/>
        </w:rPr>
        <w:t>ביטחון</w:t>
      </w:r>
      <w:r w:rsidRPr="00BB125C">
        <w:rPr>
          <w:rtl/>
        </w:rPr>
        <w:t xml:space="preserve"> להתקין תקנות נוספות, בהיוועצות עם שר האוצר</w:t>
      </w:r>
      <w:r w:rsidRPr="00BB125C">
        <w:rPr>
          <w:rFonts w:hint="cs"/>
          <w:rtl/>
        </w:rPr>
        <w:t>.</w:t>
      </w:r>
    </w:p>
    <w:p w14:paraId="68C772E7" w14:textId="77777777" w:rsidR="00A23C89" w:rsidRDefault="00A23C89" w:rsidP="00A23C89">
      <w:pPr>
        <w:pStyle w:val="Hesber"/>
        <w:rPr>
          <w:rtl/>
        </w:rPr>
      </w:pPr>
      <w:r>
        <w:rPr>
          <w:rFonts w:hint="cs"/>
          <w:rtl/>
        </w:rPr>
        <w:t>הצעת חוק זהה הונחה על שולחן הכנסת העשרים וחמש על ידי חבר הכנסת איתמר בן גביר וקבוצת חברי הכנסת (פ/5451/25).</w:t>
      </w:r>
    </w:p>
    <w:p w14:paraId="7F6961CB" w14:textId="77777777" w:rsidR="00E13C27" w:rsidRPr="00A23C89" w:rsidRDefault="00E13C27" w:rsidP="00A23C89">
      <w:pPr>
        <w:rPr>
          <w:rtl/>
        </w:rPr>
      </w:pPr>
    </w:p>
    <w:p w14:paraId="062E951E" w14:textId="77777777" w:rsidR="00D77757" w:rsidRDefault="00F22C98">
      <w:pPr>
        <w:spacing w:line="276" w:lineRule="auto"/>
        <w:jc w:val="left"/>
      </w:pPr>
      <w:bookmarkStart w:id="9" w:name="selectedDocDateB"/>
      <w:bookmarkEnd w:id="9"/>
      <w:r>
        <w:rPr>
          <w:rFonts w:eastAsia="David" w:hint="cs"/>
          <w:sz w:val="26"/>
          <w:szCs w:val="26"/>
          <w:rtl/>
        </w:rPr>
        <w:t>--------------------------------</w:t>
      </w:r>
    </w:p>
    <w:p w14:paraId="441B5792" w14:textId="77777777" w:rsidR="00D77757" w:rsidRDefault="00F22C98">
      <w:pPr>
        <w:jc w:val="left"/>
      </w:pPr>
      <w:r>
        <w:rPr>
          <w:rFonts w:eastAsia="David" w:hint="cs"/>
          <w:sz w:val="26"/>
          <w:szCs w:val="26"/>
          <w:rtl/>
        </w:rPr>
        <w:t>הוגשה ליו"ר הכנסת והסגנים</w:t>
      </w:r>
    </w:p>
    <w:p w14:paraId="67FB544D" w14:textId="77777777" w:rsidR="00D77757" w:rsidRDefault="00F22C98">
      <w:pPr>
        <w:jc w:val="left"/>
      </w:pPr>
      <w:r>
        <w:rPr>
          <w:rFonts w:eastAsia="David" w:hint="cs"/>
          <w:sz w:val="26"/>
          <w:szCs w:val="26"/>
          <w:rtl/>
        </w:rPr>
        <w:t>והונחה על שולחן הכנסת ביום</w:t>
      </w:r>
    </w:p>
    <w:p w14:paraId="2FDE0D21" w14:textId="77777777" w:rsidR="00D77757" w:rsidRDefault="00F22C98">
      <w:pPr>
        <w:jc w:val="left"/>
      </w:pPr>
      <w:r>
        <w:rPr>
          <w:rFonts w:eastAsia="David" w:hint="cs"/>
          <w:sz w:val="26"/>
          <w:szCs w:val="26"/>
          <w:rtl/>
        </w:rPr>
        <w:t xml:space="preserve">ז' באייר התשפ"ה (05.05.2025) </w:t>
      </w:r>
    </w:p>
    <w:p w14:paraId="74AA67D4" w14:textId="77777777" w:rsidR="00D77757" w:rsidRDefault="00D77757"/>
    <w:sectPr w:rsidR="00D77757" w:rsidSect="00456270">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A95792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56270">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45627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739C253" w14:textId="77777777" w:rsidR="00A23C89" w:rsidRDefault="00A23C89" w:rsidP="00A23C89">
      <w:pPr>
        <w:pStyle w:val="a4"/>
      </w:pPr>
      <w:r>
        <w:rPr>
          <w:rStyle w:val="a6"/>
        </w:rPr>
        <w:footnoteRef/>
      </w:r>
      <w:r>
        <w:rPr>
          <w:rtl/>
        </w:rPr>
        <w:t xml:space="preserve"> </w:t>
      </w:r>
      <w:r>
        <w:rPr>
          <w:rFonts w:hint="cs"/>
          <w:rtl/>
        </w:rPr>
        <w:t>ס"ח התש"ך, עמ' 52.</w:t>
      </w:r>
    </w:p>
  </w:footnote>
  <w:footnote w:id="3">
    <w:p w14:paraId="5DE0DCF1" w14:textId="77777777" w:rsidR="00A23C89" w:rsidRDefault="00A23C89" w:rsidP="00A23C89">
      <w:pPr>
        <w:pStyle w:val="a4"/>
        <w:rPr>
          <w:rtl/>
        </w:rPr>
      </w:pPr>
      <w:r>
        <w:rPr>
          <w:rStyle w:val="a6"/>
        </w:rPr>
        <w:footnoteRef/>
      </w:r>
      <w:r>
        <w:rPr>
          <w:rtl/>
        </w:rPr>
        <w:t xml:space="preserve"> </w:t>
      </w:r>
      <w:r>
        <w:rPr>
          <w:rFonts w:hint="cs"/>
          <w:rtl/>
        </w:rPr>
        <w:t>דיני מדינת ישראל, נוסח חדש 21, עמ' 459.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66FE5"/>
    <w:rsid w:val="003710F6"/>
    <w:rsid w:val="00386E88"/>
    <w:rsid w:val="00396585"/>
    <w:rsid w:val="003D6E38"/>
    <w:rsid w:val="003D74A0"/>
    <w:rsid w:val="004033D8"/>
    <w:rsid w:val="004073F0"/>
    <w:rsid w:val="00412A7D"/>
    <w:rsid w:val="00416B4D"/>
    <w:rsid w:val="00417CFC"/>
    <w:rsid w:val="00456270"/>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0E89"/>
    <w:rsid w:val="00A23C89"/>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0CAF"/>
    <w:rsid w:val="00BC45FB"/>
    <w:rsid w:val="00BF148D"/>
    <w:rsid w:val="00C23B1A"/>
    <w:rsid w:val="00C310EB"/>
    <w:rsid w:val="00C9176A"/>
    <w:rsid w:val="00CF1AA2"/>
    <w:rsid w:val="00D142D3"/>
    <w:rsid w:val="00D17774"/>
    <w:rsid w:val="00D63620"/>
    <w:rsid w:val="00D77757"/>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92815"/>
    <w:rsid w:val="00EA01E6"/>
    <w:rsid w:val="00EA3DE8"/>
    <w:rsid w:val="00EA758F"/>
    <w:rsid w:val="00ED4A6F"/>
    <w:rsid w:val="00EF3A3A"/>
    <w:rsid w:val="00F22C98"/>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FA77A28-E7FC-49D5-B8E0-01E299BD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270"/>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56270"/>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56270"/>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56270"/>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56270"/>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56270"/>
    <w:pPr>
      <w:spacing w:line="259" w:lineRule="auto"/>
      <w:outlineLvl w:val="4"/>
    </w:pPr>
    <w:rPr>
      <w:color w:val="000000" w:themeColor="text1"/>
    </w:rPr>
  </w:style>
  <w:style w:type="character" w:default="1" w:styleId="a0">
    <w:name w:val="Default Paragraph Font"/>
    <w:uiPriority w:val="1"/>
    <w:semiHidden/>
    <w:unhideWhenUsed/>
    <w:rsid w:val="0045627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56270"/>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56270"/>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56270"/>
    <w:rPr>
      <w:sz w:val="36"/>
      <w:szCs w:val="52"/>
    </w:rPr>
  </w:style>
  <w:style w:type="paragraph" w:customStyle="1" w:styleId="Cover3-Haknesset">
    <w:name w:val="Cover 3-Haknesset"/>
    <w:basedOn w:val="Cover1-Reshumot"/>
    <w:rsid w:val="00456270"/>
    <w:rPr>
      <w:b/>
      <w:bCs/>
      <w:spacing w:val="60"/>
    </w:rPr>
  </w:style>
  <w:style w:type="paragraph" w:customStyle="1" w:styleId="Cover4-Date">
    <w:name w:val="Cover 4-Date"/>
    <w:basedOn w:val="a"/>
    <w:rsid w:val="00456270"/>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56270"/>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56270"/>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56270"/>
    <w:pPr>
      <w:spacing w:before="120" w:after="120"/>
    </w:pPr>
    <w:rPr>
      <w:color w:val="FF0000"/>
      <w:w w:val="80"/>
    </w:rPr>
  </w:style>
  <w:style w:type="paragraph" w:styleId="a3">
    <w:name w:val="endnote text"/>
    <w:basedOn w:val="a"/>
    <w:semiHidden/>
    <w:rsid w:val="00456270"/>
    <w:pPr>
      <w:ind w:left="227" w:hanging="227"/>
    </w:pPr>
    <w:rPr>
      <w:sz w:val="14"/>
      <w:szCs w:val="22"/>
    </w:rPr>
  </w:style>
  <w:style w:type="paragraph" w:customStyle="1" w:styleId="TableText">
    <w:name w:val="Table Text"/>
    <w:basedOn w:val="a"/>
    <w:link w:val="TableText0"/>
    <w:rsid w:val="00456270"/>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56270"/>
    <w:pPr>
      <w:outlineLvl w:val="2"/>
    </w:pPr>
  </w:style>
  <w:style w:type="paragraph" w:customStyle="1" w:styleId="TableBlock">
    <w:name w:val="Table Block"/>
    <w:basedOn w:val="TableText"/>
    <w:link w:val="TableBlock0"/>
    <w:rsid w:val="00456270"/>
    <w:pPr>
      <w:jc w:val="both"/>
    </w:pPr>
  </w:style>
  <w:style w:type="paragraph" w:customStyle="1" w:styleId="TableHead">
    <w:name w:val="Table Head"/>
    <w:basedOn w:val="TableText"/>
    <w:rsid w:val="00456270"/>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56270"/>
    <w:pPr>
      <w:outlineLvl w:val="9"/>
    </w:pPr>
  </w:style>
  <w:style w:type="paragraph" w:customStyle="1" w:styleId="Hesber">
    <w:name w:val="Hesber"/>
    <w:basedOn w:val="a"/>
    <w:rsid w:val="00456270"/>
    <w:pPr>
      <w:snapToGrid w:val="0"/>
      <w:ind w:left="0" w:firstLine="340"/>
    </w:pPr>
    <w:rPr>
      <w:rFonts w:ascii="Arial" w:eastAsia="Arial Unicode MS" w:hAnsi="Arial"/>
      <w:snapToGrid w:val="0"/>
      <w:sz w:val="20"/>
      <w:szCs w:val="26"/>
    </w:rPr>
  </w:style>
  <w:style w:type="paragraph" w:styleId="a4">
    <w:name w:val="footnote text"/>
    <w:aliases w:val="Footnote Text Char1,Footnote Text Char Char,Footnote Text Char1 Char Char,Footnote Text Char Char Char Char,Footnote Text Char1 Char Char Char Char,Footnote Text Char Char Char Char Char Char"/>
    <w:basedOn w:val="a"/>
    <w:link w:val="a5"/>
    <w:autoRedefine/>
    <w:rsid w:val="00456270"/>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456270"/>
    <w:rPr>
      <w:vertAlign w:val="superscript"/>
    </w:rPr>
  </w:style>
  <w:style w:type="paragraph" w:customStyle="1" w:styleId="HesberHeading">
    <w:name w:val="Hesber Heading"/>
    <w:basedOn w:val="Hesber"/>
    <w:rsid w:val="00456270"/>
    <w:pPr>
      <w:tabs>
        <w:tab w:val="left" w:pos="624"/>
        <w:tab w:val="left" w:pos="1247"/>
      </w:tabs>
    </w:pPr>
    <w:rPr>
      <w:b/>
      <w:bCs/>
    </w:rPr>
  </w:style>
  <w:style w:type="paragraph" w:customStyle="1" w:styleId="HesberWriters">
    <w:name w:val="Hesber Writers"/>
    <w:basedOn w:val="Hesber"/>
    <w:rsid w:val="00456270"/>
    <w:pPr>
      <w:spacing w:before="120" w:after="120"/>
      <w:ind w:left="1418"/>
      <w:jc w:val="right"/>
    </w:pPr>
    <w:rPr>
      <w:b/>
      <w:bCs/>
    </w:rPr>
  </w:style>
  <w:style w:type="paragraph" w:customStyle="1" w:styleId="Hesber1st">
    <w:name w:val="Hesber 1st"/>
    <w:basedOn w:val="Hesber"/>
    <w:rsid w:val="00456270"/>
    <w:pPr>
      <w:tabs>
        <w:tab w:val="left" w:pos="680"/>
        <w:tab w:val="left" w:pos="1020"/>
      </w:tabs>
      <w:ind w:firstLine="0"/>
    </w:pPr>
  </w:style>
  <w:style w:type="character" w:styleId="a7">
    <w:name w:val="endnote reference"/>
    <w:basedOn w:val="a0"/>
    <w:semiHidden/>
    <w:rsid w:val="00456270"/>
    <w:rPr>
      <w:vertAlign w:val="superscript"/>
    </w:rPr>
  </w:style>
  <w:style w:type="paragraph" w:customStyle="1" w:styleId="TableBlockOutdent">
    <w:name w:val="Table BlockOutdent"/>
    <w:basedOn w:val="TableBlock"/>
    <w:rsid w:val="00456270"/>
    <w:pPr>
      <w:ind w:left="624" w:hanging="624"/>
    </w:pPr>
  </w:style>
  <w:style w:type="paragraph" w:styleId="a8">
    <w:name w:val="header"/>
    <w:basedOn w:val="a"/>
    <w:rsid w:val="00456270"/>
    <w:pPr>
      <w:tabs>
        <w:tab w:val="center" w:pos="4153"/>
        <w:tab w:val="right" w:pos="8306"/>
      </w:tabs>
    </w:pPr>
  </w:style>
  <w:style w:type="paragraph" w:styleId="a9">
    <w:name w:val="footer"/>
    <w:basedOn w:val="a"/>
    <w:rsid w:val="00456270"/>
    <w:pPr>
      <w:tabs>
        <w:tab w:val="center" w:pos="4153"/>
        <w:tab w:val="right" w:pos="8306"/>
      </w:tabs>
    </w:pPr>
  </w:style>
  <w:style w:type="paragraph" w:customStyle="1" w:styleId="HeadDivreiHesber">
    <w:name w:val="Head DivreiHesber"/>
    <w:basedOn w:val="a"/>
    <w:rsid w:val="00456270"/>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56270"/>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456270"/>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TableText0">
    <w:name w:val="Table Text תו"/>
    <w:link w:val="TableText"/>
    <w:rsid w:val="00A20E89"/>
    <w:rPr>
      <w:rFonts w:ascii="Arial" w:eastAsia="Arial Unicode MS" w:hAnsi="Arial" w:cs="David"/>
      <w:snapToGrid w:val="0"/>
      <w:szCs w:val="26"/>
    </w:rPr>
  </w:style>
  <w:style w:type="character" w:customStyle="1" w:styleId="a5">
    <w:name w:val="טקסט הערת שוליים תו"/>
    <w:aliases w:val="Footnote Text Char1 תו,Footnote Text Char Char תו,Footnote Text Char1 Char Char תו,Footnote Text Char Char Char Char תו,Footnote Text Char1 Char Char Char Char תו,Footnote Text Char Char Char Char Char Char תו"/>
    <w:basedOn w:val="a0"/>
    <w:link w:val="a4"/>
    <w:rsid w:val="00A20E89"/>
    <w:rPr>
      <w:rFonts w:ascii="Arial" w:eastAsia="Arial Unicode MS" w:hAnsi="Arial" w:cs="David"/>
      <w:snapToGrid w:val="0"/>
      <w:sz w:val="14"/>
    </w:rPr>
  </w:style>
  <w:style w:type="character" w:customStyle="1" w:styleId="TableBlock0">
    <w:name w:val="Table Block תו"/>
    <w:link w:val="TableBlock"/>
    <w:rsid w:val="00A20E89"/>
    <w:rPr>
      <w:rFonts w:ascii="Arial" w:eastAsia="Arial Unicode MS" w:hAnsi="Arial" w:cs="David"/>
      <w:snapToGrid w:val="0"/>
      <w:szCs w:val="26"/>
    </w:rPr>
  </w:style>
  <w:style w:type="character" w:customStyle="1" w:styleId="10">
    <w:name w:val="כותרת 1 תו"/>
    <w:basedOn w:val="a0"/>
    <w:link w:val="1"/>
    <w:uiPriority w:val="9"/>
    <w:rsid w:val="00456270"/>
    <w:rPr>
      <w:rFonts w:asciiTheme="majorHAnsi" w:eastAsiaTheme="majorEastAsia" w:hAnsiTheme="majorHAnsi" w:cs="David"/>
      <w:bCs/>
      <w:sz w:val="32"/>
      <w:szCs w:val="36"/>
    </w:rPr>
  </w:style>
  <w:style w:type="character" w:customStyle="1" w:styleId="20">
    <w:name w:val="כותרת 2 תו"/>
    <w:basedOn w:val="a0"/>
    <w:link w:val="2"/>
    <w:rsid w:val="00456270"/>
    <w:rPr>
      <w:rFonts w:asciiTheme="majorHAnsi" w:eastAsiaTheme="majorEastAsia" w:hAnsiTheme="majorHAnsi" w:cs="David"/>
      <w:bCs/>
      <w:sz w:val="26"/>
      <w:szCs w:val="36"/>
      <w:u w:val="single"/>
    </w:rPr>
  </w:style>
  <w:style w:type="character" w:customStyle="1" w:styleId="30">
    <w:name w:val="כותרת 3 תו"/>
    <w:basedOn w:val="a0"/>
    <w:link w:val="3"/>
    <w:rsid w:val="00456270"/>
    <w:rPr>
      <w:rFonts w:asciiTheme="majorHAnsi" w:eastAsiaTheme="majorEastAsia" w:hAnsiTheme="majorHAnsi" w:cs="David"/>
      <w:sz w:val="24"/>
      <w:szCs w:val="28"/>
      <w:u w:val="double"/>
    </w:rPr>
  </w:style>
  <w:style w:type="character" w:customStyle="1" w:styleId="40">
    <w:name w:val="כותרת 4 תו"/>
    <w:basedOn w:val="a0"/>
    <w:link w:val="4"/>
    <w:uiPriority w:val="9"/>
    <w:rsid w:val="00456270"/>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56270"/>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456270"/>
    <w:pPr>
      <w:widowControl/>
      <w:spacing w:before="120" w:after="120"/>
      <w:outlineLvl w:val="9"/>
    </w:pPr>
    <w:rPr>
      <w:rtl/>
      <w:cs/>
    </w:rPr>
  </w:style>
  <w:style w:type="paragraph" w:styleId="TOC1">
    <w:name w:val="toc 1"/>
    <w:basedOn w:val="a"/>
    <w:next w:val="a"/>
    <w:autoRedefine/>
    <w:uiPriority w:val="39"/>
    <w:unhideWhenUsed/>
    <w:rsid w:val="00456270"/>
    <w:pPr>
      <w:tabs>
        <w:tab w:val="right" w:leader="dot" w:pos="9629"/>
      </w:tabs>
      <w:spacing w:after="100"/>
    </w:pPr>
    <w:rPr>
      <w:bCs/>
      <w:szCs w:val="22"/>
    </w:rPr>
  </w:style>
  <w:style w:type="paragraph" w:styleId="TOC2">
    <w:name w:val="toc 2"/>
    <w:basedOn w:val="a"/>
    <w:next w:val="a"/>
    <w:uiPriority w:val="39"/>
    <w:unhideWhenUsed/>
    <w:rsid w:val="00456270"/>
    <w:pPr>
      <w:tabs>
        <w:tab w:val="right" w:leader="dot" w:pos="9628"/>
      </w:tabs>
      <w:spacing w:after="100"/>
    </w:pPr>
    <w:rPr>
      <w:szCs w:val="22"/>
    </w:rPr>
  </w:style>
  <w:style w:type="character" w:styleId="Hyperlink">
    <w:name w:val="Hyperlink"/>
    <w:basedOn w:val="a0"/>
    <w:uiPriority w:val="99"/>
    <w:unhideWhenUsed/>
    <w:rsid w:val="00456270"/>
    <w:rPr>
      <w:color w:val="0000FF" w:themeColor="hyperlink"/>
      <w:u w:val="single"/>
    </w:rPr>
  </w:style>
  <w:style w:type="paragraph" w:styleId="TOC3">
    <w:name w:val="toc 3"/>
    <w:basedOn w:val="a"/>
    <w:next w:val="a"/>
    <w:uiPriority w:val="39"/>
    <w:unhideWhenUsed/>
    <w:rsid w:val="00456270"/>
    <w:pPr>
      <w:tabs>
        <w:tab w:val="right" w:leader="dot" w:pos="9629"/>
      </w:tabs>
      <w:spacing w:after="100"/>
      <w:ind w:left="567"/>
    </w:pPr>
    <w:rPr>
      <w:szCs w:val="22"/>
    </w:rPr>
  </w:style>
  <w:style w:type="paragraph" w:styleId="TOC4">
    <w:name w:val="toc 4"/>
    <w:basedOn w:val="a"/>
    <w:next w:val="a"/>
    <w:autoRedefine/>
    <w:unhideWhenUsed/>
    <w:qFormat/>
    <w:rsid w:val="00456270"/>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56270"/>
    <w:pPr>
      <w:tabs>
        <w:tab w:val="right" w:leader="dot" w:pos="9628"/>
      </w:tabs>
      <w:spacing w:after="100"/>
      <w:ind w:left="567"/>
    </w:pPr>
    <w:rPr>
      <w:szCs w:val="22"/>
    </w:rPr>
  </w:style>
  <w:style w:type="paragraph" w:styleId="TOC6">
    <w:name w:val="toc 6"/>
    <w:basedOn w:val="a"/>
    <w:next w:val="a"/>
    <w:autoRedefine/>
    <w:semiHidden/>
    <w:unhideWhenUsed/>
    <w:rsid w:val="00456270"/>
    <w:pPr>
      <w:spacing w:after="100"/>
      <w:ind w:left="850"/>
    </w:pPr>
  </w:style>
  <w:style w:type="paragraph" w:styleId="TOC7">
    <w:name w:val="toc 7"/>
    <w:basedOn w:val="a"/>
    <w:next w:val="a"/>
    <w:autoRedefine/>
    <w:semiHidden/>
    <w:unhideWhenUsed/>
    <w:rsid w:val="00456270"/>
    <w:pPr>
      <w:spacing w:after="100"/>
      <w:ind w:left="1020"/>
    </w:pPr>
  </w:style>
  <w:style w:type="paragraph" w:styleId="TOC8">
    <w:name w:val="toc 8"/>
    <w:basedOn w:val="a"/>
    <w:next w:val="a"/>
    <w:autoRedefine/>
    <w:semiHidden/>
    <w:unhideWhenUsed/>
    <w:rsid w:val="00456270"/>
    <w:pPr>
      <w:spacing w:after="100"/>
      <w:ind w:left="1190"/>
    </w:pPr>
  </w:style>
  <w:style w:type="paragraph" w:styleId="TOC9">
    <w:name w:val="toc 9"/>
    <w:basedOn w:val="a"/>
    <w:next w:val="a"/>
    <w:autoRedefine/>
    <w:semiHidden/>
    <w:unhideWhenUsed/>
    <w:rsid w:val="00456270"/>
    <w:pPr>
      <w:spacing w:after="100"/>
      <w:ind w:left="1360"/>
    </w:pPr>
  </w:style>
  <w:style w:type="paragraph" w:customStyle="1" w:styleId="TableHead2">
    <w:name w:val="Table Head2"/>
    <w:basedOn w:val="TableHead"/>
    <w:qFormat/>
    <w:rsid w:val="00456270"/>
    <w:pPr>
      <w:outlineLvl w:val="9"/>
    </w:pPr>
  </w:style>
  <w:style w:type="paragraph" w:customStyle="1" w:styleId="TableSideHeading2">
    <w:name w:val="Table SideHeading2"/>
    <w:basedOn w:val="TableSideHeading"/>
    <w:autoRedefine/>
    <w:qFormat/>
    <w:rsid w:val="00456270"/>
    <w:pPr>
      <w:keepLines w:val="0"/>
      <w:outlineLvl w:val="9"/>
    </w:pPr>
  </w:style>
  <w:style w:type="paragraph" w:customStyle="1" w:styleId="0">
    <w:name w:val="סגנון שורה ראשונה:  0  ס''מ"/>
    <w:basedOn w:val="2"/>
    <w:rsid w:val="00456270"/>
    <w:rPr>
      <w:rFonts w:eastAsia="Times New Roman"/>
    </w:rPr>
  </w:style>
  <w:style w:type="paragraph" w:styleId="af">
    <w:name w:val="List Paragraph"/>
    <w:basedOn w:val="a"/>
    <w:uiPriority w:val="34"/>
    <w:qFormat/>
    <w:rsid w:val="00456270"/>
    <w:pPr>
      <w:widowControl/>
      <w:spacing w:line="259" w:lineRule="auto"/>
    </w:pPr>
    <w:rPr>
      <w:rFonts w:asciiTheme="minorHAnsi" w:hAnsiTheme="minorHAnsi"/>
      <w:sz w:val="22"/>
    </w:rPr>
  </w:style>
  <w:style w:type="table" w:styleId="af0">
    <w:name w:val="Table Grid"/>
    <w:basedOn w:val="a1"/>
    <w:rsid w:val="0045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562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562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45627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56270"/>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290d5b49-c690-4c6f-bbb9-1e50dab33eee"/>
    <ds:schemaRef ds:uri="http://purl.org/dc/dcmitype/"/>
  </ds:schemaRefs>
</ds:datastoreItem>
</file>

<file path=customXml/itemProps3.xml><?xml version="1.0" encoding="utf-8"?>
<ds:datastoreItem xmlns:ds="http://schemas.openxmlformats.org/officeDocument/2006/customXml" ds:itemID="{BB28B605-FDEA-4E37-9E03-67A7CA0F5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1E43F-BBE7-43D3-9A1D-EAA5F9F0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403</Words>
  <Characters>2300</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2025-04-28T07:38:00Z</cp:lastPrinted>
  <dcterms:created xsi:type="dcterms:W3CDTF">2015-04-20T09:58:00Z</dcterms:created>
  <dcterms:modified xsi:type="dcterms:W3CDTF">2025-04-28T07:39:00Z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2230790</vt:r8>
  </property>
</Properties>
</file>