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635A2" w:rsidR="002C2E29" w:rsidP="00E635A2" w:rsidRDefault="004033D8" w14:paraId="7F6961A1" w14:textId="77777777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name="LGS_Internal_ID" w:id="0"/>
      <w:r>
        <w:rPr>
          <w:rFonts w:hint="cs"/>
          <w:sz w:val="20"/>
          <w:szCs w:val="20"/>
          <w:rtl/>
        </w:rPr>
        <w:t>2230608</w:t>
      </w:r>
      <w:bookmarkEnd w:id="0"/>
    </w:p>
    <w:p w:rsidRPr="00DB7060" w:rsidR="00E13C27" w:rsidP="00A443CF" w:rsidRDefault="00E13C27" w14:paraId="7F6961A2" w14:textId="53D639AE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name="LGS_Knesset_Num" w:id="1"/>
      <w:r>
        <w:rPr>
          <w:rFonts w:hint="cs"/>
          <w:sz w:val="28"/>
          <w:szCs w:val="28"/>
          <w:rtl/>
        </w:rPr>
        <w:t>העשרים וחמש</w:t>
      </w:r>
      <w:bookmarkEnd w:id="1"/>
    </w:p>
    <w:p w:rsidRPr="00F67051" w:rsidR="00E13C27" w:rsidP="00E13C27" w:rsidRDefault="00E13C27" w14:paraId="7F6961A3" w14:textId="77777777">
      <w:pPr>
        <w:rPr>
          <w:b/>
          <w:bCs/>
          <w:sz w:val="26"/>
          <w:szCs w:val="26"/>
          <w:rtl/>
        </w:rPr>
      </w:pPr>
    </w:p>
    <w:p w:rsidRPr="00CF1AA2" w:rsidR="00E13C27" w:rsidP="008F0590" w:rsidRDefault="008F6665" w14:paraId="7F6961AA" w14:textId="1F70B3F8">
      <w:pPr>
        <w:pStyle w:val="David"/>
        <w:ind w:left="3544"/>
        <w:rPr>
          <w:b/>
          <w:bCs/>
          <w:sz w:val="16"/>
          <w:szCs w:val="16"/>
          <w:rtl/>
        </w:rPr>
      </w:pPr>
      <w:bookmarkStart w:name="LGS_Initiators_List" w:id="2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Pr="00F67051" w:rsidR="00B35784">
        <w:rPr>
          <w:b/>
          <w:bCs/>
        </w:rPr>
        <w:tab/>
      </w:r>
      <w:bookmarkStart w:name="LGS_PM_Names" w:id="3"/>
      <w:r>
        <w:rPr>
          <w:rFonts w:hint="cs"/>
          <w:b/>
          <w:bCs/>
          <w:rtl/>
        </w:rPr>
        <w:t>אבי מעוז</w:t>
      </w:r>
      <w:bookmarkStart w:name="LGS_Join_List" w:id="4"/>
      <w:bookmarkEnd w:id="3"/>
      <w:r w:rsidR="007D585A">
        <w:rPr>
          <w:rtl/>
        </w:rPr>
        <w:t xml:space="preserve"> </w:t>
      </w:r>
      <w:bookmarkEnd w:id="4"/>
      <w:r w:rsidRPr="00CF1AA2" w:rsidR="002200A1">
        <w:rPr>
          <w:rFonts w:hint="cs"/>
          <w:rtl/>
        </w:rPr>
        <w:tab/>
      </w:r>
      <w:bookmarkStart w:name="LGS_PM_NamesJoin" w:id="5"/>
      <w:r w:rsidR="007D585A">
        <w:rPr>
          <w:rFonts w:hint="cs"/>
          <w:rtl/>
        </w:rPr>
        <w:t xml:space="preserve"> </w:t>
      </w:r>
      <w:bookmarkEnd w:id="5"/>
    </w:p>
    <w:p w:rsidRPr="00904591" w:rsidR="00904591" w:rsidP="0036422C" w:rsidRDefault="00266D86" w14:paraId="34DB4103" w14:textId="77777777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Pr="00E06736" w:rsidR="00E06736"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="00904591">
        <w:t xml:space="preserve">           </w:t>
      </w:r>
    </w:p>
    <w:p w:rsidR="00E13C27" w:rsidP="00C23C70" w:rsidRDefault="00904591" w14:paraId="7F6961AC" w14:textId="78AC0AAE">
      <w:pPr>
        <w:pStyle w:val="David"/>
        <w:spacing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name="Private_Number" w:id="6"/>
      <w:r w:rsidR="009313EF">
        <w:rPr>
          <w:rtl/>
        </w:rPr>
        <w:tab/>
      </w:r>
      <w:r>
        <w:rPr>
          <w:rFonts w:hint="cs"/>
          <w:rtl/>
        </w:rPr>
        <w:t>פ/574</w:t>
      </w:r>
      <w:r w:rsidR="009313EF">
        <w:rPr>
          <w:rFonts w:hint="cs"/>
          <w:rtl/>
        </w:rPr>
        <w:t>8</w:t>
      </w:r>
      <w:r>
        <w:rPr>
          <w:rFonts w:hint="cs"/>
          <w:rtl/>
        </w:rPr>
        <w:t>/25</w:t>
      </w:r>
      <w:bookmarkEnd w:id="6"/>
    </w:p>
    <w:p w:rsidR="00E13C27" w:rsidP="008F0590" w:rsidRDefault="000E717C" w14:paraId="7F6961AE" w14:textId="64FACD3A">
      <w:pPr>
        <w:pStyle w:val="HeadHatzaotHok"/>
        <w:rPr>
          <w:rtl/>
        </w:rPr>
      </w:pPr>
      <w:bookmarkStart w:name="LGS_Subject" w:id="7"/>
      <w:r xmlns:w="http://schemas.openxmlformats.org/wordprocessingml/2006/main">
        <w:rPr xmlns:w="http://schemas.openxmlformats.org/wordprocessingml/2006/main">
          <w:rFonts w:hint="cs"/>
          <w:rtl/>
        </w:rPr>
        <w:t xml:space="preserve">הצעת חוק ביטול הזכאות לנסיעה חינם בתחבורה ציבורית לחברי הכנסת ולחברי הכנסת לשעבר (תיקוני חקיקה), התשפ"ה–2025 </w:t>
      </w:r>
      <w:bookmarkStart w:name="_GoBack" w:id="8"/>
      <w:bookmarkEnd w:id="7"/>
      <w:bookmarkEnd w:id="8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Pr="00C34DE2" w:rsidR="004D0579" w:rsidTr="008F0590" w14:paraId="09FDAD70" w14:textId="77777777">
        <w:trPr>
          <w:cantSplit/>
        </w:trPr>
        <w:tc>
          <w:tcPr>
            <w:tcW w:w="1871" w:type="dxa"/>
          </w:tcPr>
          <w:p w:rsidR="004D0579" w:rsidP="00F479B8" w:rsidRDefault="004536CC" w14:paraId="670949B7" w14:textId="43BA812F">
            <w:pPr>
              <w:pStyle w:val="TableSideHeading"/>
              <w:keepLines w:val="0"/>
            </w:pPr>
            <w:r>
              <w:rPr>
                <w:rFonts w:hint="cs"/>
                <w:sz w:val="26"/>
                <w:rtl/>
              </w:rPr>
              <w:t xml:space="preserve">תיקון </w:t>
            </w:r>
            <w:r w:rsidR="008F0590">
              <w:rPr>
                <w:rFonts w:hint="cs"/>
                <w:sz w:val="26"/>
                <w:rtl/>
              </w:rPr>
              <w:t xml:space="preserve">חוק </w:t>
            </w:r>
            <w:r w:rsidR="008F0590">
              <w:rPr>
                <w:rFonts w:hint="cs"/>
                <w:sz w:val="26"/>
                <w:rtl/>
              </w:rPr>
              <w:t>חסינות חברי הכנסת, זכויותיהם וחובותיהם</w:t>
            </w:r>
          </w:p>
        </w:tc>
        <w:tc>
          <w:tcPr>
            <w:tcW w:w="624" w:type="dxa"/>
          </w:tcPr>
          <w:p w:rsidR="004D0579" w:rsidP="00F479B8" w:rsidRDefault="004D0579" w14:paraId="6A5DD2BC" w14:textId="77777777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:rsidRPr="00C34DE2" w:rsidR="004D0579" w:rsidP="008F0590" w:rsidRDefault="004D0579" w14:paraId="2C6A6DA9" w14:textId="4C18FEBB">
            <w:pPr>
              <w:pStyle w:val="TableBlock"/>
            </w:pPr>
            <w:r>
              <w:rPr>
                <w:rFonts w:hint="cs"/>
                <w:sz w:val="26"/>
                <w:rtl/>
              </w:rPr>
              <w:t>בחוק חסינות חברי הכנסת</w:t>
            </w:r>
            <w:r w:rsidR="004536CC">
              <w:rPr>
                <w:rFonts w:hint="cs"/>
                <w:sz w:val="26"/>
                <w:rtl/>
              </w:rPr>
              <w:t>, זכויותיהם וחובותיהם</w:t>
            </w:r>
            <w:r>
              <w:rPr>
                <w:rFonts w:hint="cs"/>
                <w:sz w:val="26"/>
                <w:rtl/>
              </w:rPr>
              <w:t>, התשי"א</w:t>
            </w:r>
            <w:r>
              <w:rPr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>1951</w:t>
            </w:r>
            <w:r w:rsidRPr="008F0590" w:rsidR="004536CC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>
              <w:rPr>
                <w:rFonts w:hint="cs"/>
                <w:sz w:val="26"/>
                <w:rtl/>
              </w:rPr>
              <w:t xml:space="preserve">, </w:t>
            </w:r>
            <w:r w:rsidR="004536CC">
              <w:rPr>
                <w:rFonts w:hint="cs"/>
                <w:sz w:val="26"/>
                <w:rtl/>
              </w:rPr>
              <w:t>בסעיף 9, סעיף קטן (ב)</w:t>
            </w:r>
            <w:r>
              <w:rPr>
                <w:rFonts w:hint="cs"/>
                <w:sz w:val="26"/>
                <w:rtl/>
              </w:rPr>
              <w:t xml:space="preserve"> </w:t>
            </w:r>
            <w:r>
              <w:rPr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 xml:space="preserve"> </w:t>
            </w:r>
            <w:r w:rsidR="004536CC">
              <w:rPr>
                <w:rFonts w:hint="cs"/>
                <w:sz w:val="26"/>
                <w:rtl/>
              </w:rPr>
              <w:t>בטל</w:t>
            </w:r>
            <w:r>
              <w:rPr>
                <w:rFonts w:hint="cs"/>
                <w:sz w:val="26"/>
                <w:rtl/>
              </w:rPr>
              <w:t>.</w:t>
            </w:r>
          </w:p>
        </w:tc>
      </w:tr>
      <w:tr w:rsidRPr="00C34DE2" w:rsidR="007A6B4D" w:rsidTr="008F0590" w14:paraId="18ED6A64" w14:textId="77777777">
        <w:trPr>
          <w:cantSplit/>
        </w:trPr>
        <w:tc>
          <w:tcPr>
            <w:tcW w:w="1871" w:type="dxa"/>
          </w:tcPr>
          <w:p w:rsidR="007A6B4D" w:rsidP="00F479B8" w:rsidRDefault="00F3608D" w14:paraId="4F009D1F" w14:textId="6CBA22FF">
            <w:pPr>
              <w:pStyle w:val="TableSideHeading"/>
              <w:keepLines w:val="0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תיקון חוק גמלאות לנושאי משרה ברשויות השלטון</w:t>
            </w:r>
          </w:p>
        </w:tc>
        <w:tc>
          <w:tcPr>
            <w:tcW w:w="624" w:type="dxa"/>
          </w:tcPr>
          <w:p w:rsidR="007A6B4D" w:rsidP="00F479B8" w:rsidRDefault="00BC2047" w14:paraId="659890F1" w14:textId="7FCC009C">
            <w:pPr>
              <w:pStyle w:val="TableText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</w:tcPr>
          <w:p w:rsidR="007A6B4D" w:rsidP="008F0590" w:rsidRDefault="00F3608D" w14:paraId="28FD4FDC" w14:textId="6427BA7F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בחוק</w:t>
            </w:r>
            <w:r w:rsidR="007A6B4D">
              <w:rPr>
                <w:rFonts w:hint="cs"/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 xml:space="preserve">גמלאות לנושאי משרה ברשויות השלטון, </w:t>
            </w:r>
            <w:proofErr w:type="spellStart"/>
            <w:r>
              <w:rPr>
                <w:rFonts w:hint="cs"/>
                <w:sz w:val="26"/>
                <w:rtl/>
              </w:rPr>
              <w:t>התשכ"ט</w:t>
            </w:r>
            <w:proofErr w:type="spellEnd"/>
            <w:r>
              <w:rPr>
                <w:rFonts w:hint="eastAsia"/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>1969</w:t>
            </w:r>
            <w:r w:rsidRPr="008F0590">
              <w:rPr>
                <w:rStyle w:val="a5"/>
                <w:rFonts w:ascii="David" w:hAnsi="David"/>
                <w:sz w:val="26"/>
                <w:rtl/>
              </w:rPr>
              <w:footnoteReference w:id="3"/>
            </w:r>
            <w:r>
              <w:rPr>
                <w:rFonts w:hint="cs"/>
                <w:sz w:val="26"/>
                <w:rtl/>
              </w:rPr>
              <w:t xml:space="preserve">, בסעיף 2(1), בסופו יבוא "ואולם לא תינתן טובת הנאה שעניינה נסיעה חינם בתחבורה ציבורית". </w:t>
            </w:r>
          </w:p>
        </w:tc>
      </w:tr>
      <w:tr w:rsidRPr="00C34DE2" w:rsidR="00F3608D" w:rsidTr="008F0590" w14:paraId="05453437" w14:textId="77777777">
        <w:trPr>
          <w:cantSplit/>
        </w:trPr>
        <w:tc>
          <w:tcPr>
            <w:tcW w:w="1871" w:type="dxa"/>
          </w:tcPr>
          <w:p w:rsidR="00F3608D" w:rsidP="00F479B8" w:rsidRDefault="00F3608D" w14:paraId="5B278187" w14:textId="4AF0E232">
            <w:pPr>
              <w:pStyle w:val="TableSideHeading"/>
              <w:keepLines w:val="0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תחולה</w:t>
            </w:r>
          </w:p>
        </w:tc>
        <w:tc>
          <w:tcPr>
            <w:tcW w:w="624" w:type="dxa"/>
          </w:tcPr>
          <w:p w:rsidR="00F3608D" w:rsidP="00C23C70" w:rsidRDefault="00F3608D" w14:paraId="15A0F6C1" w14:textId="16226531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3" w:type="dxa"/>
          </w:tcPr>
          <w:p w:rsidR="00F3608D" w:rsidDel="00F3608D" w:rsidP="008F0590" w:rsidRDefault="00C23C70" w14:paraId="5B27145E" w14:textId="15C5E67B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האמור בסעיף 2 יחול על מי שחדל לכהן כחבר הכנסת מיום תחילתו של חוק זה.</w:t>
            </w:r>
          </w:p>
        </w:tc>
      </w:tr>
    </w:tbl>
    <w:p w:rsidRPr="004536CC" w:rsidR="002D1EE3" w:rsidP="004536CC" w:rsidRDefault="002D1EE3" w14:paraId="7F6961CA" w14:textId="77777777">
      <w:pPr>
        <w:pStyle w:val="HeadDivreiHesber"/>
        <w:rPr>
          <w:rtl/>
        </w:rPr>
      </w:pPr>
      <w:r w:rsidRPr="004536CC">
        <w:rPr>
          <w:rFonts w:hint="cs"/>
          <w:rtl/>
        </w:rPr>
        <w:t>דברי הסבר</w:t>
      </w:r>
    </w:p>
    <w:p w:rsidR="00C23C70" w:rsidP="00C23C70" w:rsidRDefault="004D0579" w14:paraId="3181F062" w14:textId="77777777">
      <w:pPr>
        <w:pStyle w:val="Hesber"/>
        <w:spacing w:line="276" w:lineRule="auto"/>
        <w:rPr>
          <w:rtl/>
        </w:rPr>
      </w:pPr>
      <w:r w:rsidRPr="004536CC">
        <w:rPr>
          <w:rFonts w:hint="cs"/>
          <w:rtl/>
        </w:rPr>
        <w:t xml:space="preserve">בעקבות המלחמה שנכפתה עלינו לאחר מתקפת הטרור </w:t>
      </w:r>
      <w:r w:rsidR="001117AD">
        <w:rPr>
          <w:rFonts w:hint="cs"/>
          <w:rtl/>
        </w:rPr>
        <w:t>בכ"ב בתשרי</w:t>
      </w:r>
      <w:r w:rsidRPr="004536CC">
        <w:rPr>
          <w:rFonts w:hint="cs"/>
          <w:rtl/>
        </w:rPr>
        <w:t xml:space="preserve"> </w:t>
      </w:r>
      <w:r w:rsidR="001117AD">
        <w:rPr>
          <w:rFonts w:hint="cs"/>
          <w:rtl/>
        </w:rPr>
        <w:t>ה</w:t>
      </w:r>
      <w:r w:rsidRPr="004536CC">
        <w:rPr>
          <w:rFonts w:hint="cs"/>
          <w:rtl/>
        </w:rPr>
        <w:t xml:space="preserve">תשפ"ד (7 </w:t>
      </w:r>
      <w:r w:rsidRPr="004536CC" w:rsidR="004536CC">
        <w:rPr>
          <w:rFonts w:hint="cs"/>
          <w:rtl/>
        </w:rPr>
        <w:t>ב</w:t>
      </w:r>
      <w:r w:rsidRPr="004536CC">
        <w:rPr>
          <w:rFonts w:hint="cs"/>
          <w:rtl/>
        </w:rPr>
        <w:t xml:space="preserve">אוקטובר </w:t>
      </w:r>
      <w:r w:rsidRPr="004536CC" w:rsidR="004536CC">
        <w:rPr>
          <w:rFonts w:hint="cs"/>
          <w:rtl/>
        </w:rPr>
        <w:t>2023</w:t>
      </w:r>
      <w:r w:rsidRPr="004536CC">
        <w:rPr>
          <w:rFonts w:hint="cs"/>
          <w:rtl/>
        </w:rPr>
        <w:t>)</w:t>
      </w:r>
      <w:r w:rsidR="004536CC">
        <w:rPr>
          <w:rFonts w:hint="cs"/>
          <w:rtl/>
        </w:rPr>
        <w:t>,</w:t>
      </w:r>
      <w:r w:rsidRPr="004536CC">
        <w:rPr>
          <w:rFonts w:hint="cs"/>
          <w:rtl/>
        </w:rPr>
        <w:t xml:space="preserve"> ולמול החזיתות השונ</w:t>
      </w:r>
      <w:r w:rsidR="001117AD">
        <w:rPr>
          <w:rFonts w:hint="cs"/>
          <w:rtl/>
        </w:rPr>
        <w:t>ות איתן מדינת ישראל מתמודדת בימים אלו,</w:t>
      </w:r>
      <w:r w:rsidRPr="004536CC">
        <w:rPr>
          <w:rFonts w:hint="cs"/>
          <w:rtl/>
        </w:rPr>
        <w:t xml:space="preserve"> </w:t>
      </w:r>
      <w:r w:rsidR="001117AD">
        <w:rPr>
          <w:rFonts w:hint="cs"/>
          <w:rtl/>
        </w:rPr>
        <w:t>גבר הנטל הכלכלי על א</w:t>
      </w:r>
      <w:r w:rsidRPr="004536CC" w:rsidR="001117AD">
        <w:rPr>
          <w:rFonts w:hint="cs"/>
          <w:rtl/>
        </w:rPr>
        <w:t>זרחי ישראל בכלל והאוכלוסיות החלשות בפרט</w:t>
      </w:r>
      <w:r w:rsidR="001117AD">
        <w:rPr>
          <w:rFonts w:hint="cs"/>
          <w:rtl/>
        </w:rPr>
        <w:t xml:space="preserve"> </w:t>
      </w:r>
      <w:r w:rsidRPr="004536CC" w:rsidR="001117AD">
        <w:rPr>
          <w:rFonts w:hint="cs"/>
          <w:rtl/>
        </w:rPr>
        <w:t>במטרה לממן את ההוצאות הרבות של המלחמה</w:t>
      </w:r>
      <w:r w:rsidR="001117AD">
        <w:rPr>
          <w:rFonts w:hint="cs"/>
          <w:rtl/>
        </w:rPr>
        <w:t>, בין היתר, באמצעות העלאת המיסים</w:t>
      </w:r>
      <w:r w:rsidR="00C23C70">
        <w:rPr>
          <w:rFonts w:hint="cs"/>
          <w:rtl/>
        </w:rPr>
        <w:t xml:space="preserve"> והעלאת מחירי התחבורה הציבורית</w:t>
      </w:r>
      <w:r w:rsidR="001117AD">
        <w:rPr>
          <w:rFonts w:hint="cs"/>
          <w:rtl/>
        </w:rPr>
        <w:t xml:space="preserve">. </w:t>
      </w:r>
    </w:p>
    <w:p w:rsidR="00C23C70" w:rsidP="00C23C70" w:rsidRDefault="00C23C70" w14:paraId="202FD07A" w14:textId="0F2C4CFB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 xml:space="preserve">כיום זכאים חברי הכנסת לנסיעה חינם בתחבורה ציבורית לפי סעיף 9(ב) לחוק </w:t>
      </w:r>
      <w:r>
        <w:rPr>
          <w:rFonts w:hint="cs"/>
          <w:sz w:val="26"/>
          <w:rtl/>
        </w:rPr>
        <w:t xml:space="preserve">חסינות חברי הכנסת, זכויותיהם וחובותיהם, </w:t>
      </w:r>
      <w:proofErr w:type="spellStart"/>
      <w:r>
        <w:rPr>
          <w:rFonts w:hint="cs"/>
          <w:sz w:val="26"/>
          <w:rtl/>
        </w:rPr>
        <w:t>התשי"א</w:t>
      </w:r>
      <w:proofErr w:type="spellEnd"/>
      <w:r>
        <w:rPr>
          <w:sz w:val="26"/>
          <w:rtl/>
        </w:rPr>
        <w:t>–</w:t>
      </w:r>
      <w:r>
        <w:rPr>
          <w:rFonts w:hint="cs"/>
          <w:sz w:val="26"/>
          <w:rtl/>
        </w:rPr>
        <w:t>1951, הקובע כי "</w:t>
      </w:r>
      <w:r>
        <w:rPr>
          <w:rtl/>
        </w:rPr>
        <w:t>חבר הכנסת זכאי לנסיעה חינם בתחומי המדינה ברכבת ובאוטובוסים שבשירות ציבורי להסעת נוסעים</w:t>
      </w:r>
      <w:r>
        <w:rPr>
          <w:rFonts w:hint="cs"/>
          <w:rtl/>
        </w:rPr>
        <w:t xml:space="preserve">". לחברי הכנסת לשעבר זכות דומה בהתאם לסעיף 31 להחלטת </w:t>
      </w:r>
      <w:r>
        <w:rPr>
          <w:rtl/>
        </w:rPr>
        <w:t xml:space="preserve">גמלאות לנושאי משרה ברשויות השלטון </w:t>
      </w:r>
      <w:r>
        <w:rPr>
          <w:rFonts w:hint="cs"/>
          <w:rtl/>
        </w:rPr>
        <w:t>(</w:t>
      </w:r>
      <w:r>
        <w:rPr>
          <w:rtl/>
        </w:rPr>
        <w:t>חברי הכנסת ושאיריהם</w:t>
      </w:r>
      <w:r>
        <w:rPr>
          <w:rFonts w:hint="cs"/>
          <w:rtl/>
        </w:rPr>
        <w:t>)</w:t>
      </w:r>
      <w:r>
        <w:rPr>
          <w:rtl/>
        </w:rPr>
        <w:t xml:space="preserve">, </w:t>
      </w:r>
      <w:proofErr w:type="spellStart"/>
      <w:r>
        <w:rPr>
          <w:rtl/>
        </w:rPr>
        <w:t>התש"ל</w:t>
      </w:r>
      <w:proofErr w:type="spellEnd"/>
      <w:r>
        <w:rPr>
          <w:rFonts w:hint="eastAsia"/>
          <w:rtl/>
        </w:rPr>
        <w:t>–</w:t>
      </w:r>
      <w:r>
        <w:rPr>
          <w:rFonts w:hint="cs"/>
          <w:rtl/>
        </w:rPr>
        <w:t>1969, הקובע כי "</w:t>
      </w:r>
      <w:r>
        <w:rPr>
          <w:rtl/>
        </w:rPr>
        <w:t>חבר הכנסת לשעבר הזכאי לקצבה לפי החלטה זו זכאי לנסיעה חינם בתחומי המדינה ברכבת ובאוטובוסים שבשירות ציבורי להסעת נוסעים</w:t>
      </w:r>
      <w:r>
        <w:rPr>
          <w:rFonts w:hint="cs"/>
          <w:rtl/>
        </w:rPr>
        <w:t>".</w:t>
      </w:r>
    </w:p>
    <w:p w:rsidRPr="004536CC" w:rsidR="004D0579" w:rsidP="00C23C70" w:rsidRDefault="004D0579" w14:paraId="247E55AC" w14:textId="57D7462D">
      <w:pPr>
        <w:pStyle w:val="Hesber"/>
        <w:spacing w:line="276" w:lineRule="auto"/>
        <w:rPr>
          <w:rtl/>
        </w:rPr>
      </w:pPr>
      <w:r w:rsidRPr="004536CC">
        <w:rPr>
          <w:rFonts w:hint="cs"/>
          <w:rtl/>
        </w:rPr>
        <w:t xml:space="preserve">מן הראוי כי חברי </w:t>
      </w:r>
      <w:r w:rsidR="004536CC">
        <w:rPr>
          <w:rFonts w:hint="cs"/>
          <w:rtl/>
        </w:rPr>
        <w:t>ה</w:t>
      </w:r>
      <w:r w:rsidRPr="004536CC">
        <w:rPr>
          <w:rFonts w:hint="cs"/>
          <w:rtl/>
        </w:rPr>
        <w:t>כנסת</w:t>
      </w:r>
      <w:r w:rsidR="00C23C70">
        <w:rPr>
          <w:rFonts w:hint="cs"/>
          <w:rtl/>
        </w:rPr>
        <w:t xml:space="preserve"> וחברי הכנסת לשעבר</w:t>
      </w:r>
      <w:r w:rsidRPr="004536CC">
        <w:rPr>
          <w:rFonts w:hint="cs"/>
          <w:rtl/>
        </w:rPr>
        <w:t xml:space="preserve"> </w:t>
      </w:r>
      <w:r w:rsidR="00C23C70">
        <w:rPr>
          <w:rFonts w:hint="cs"/>
          <w:rtl/>
        </w:rPr>
        <w:t>שיפרשו לאחר תחילתו של ההסדר המוצע, יתנו</w:t>
      </w:r>
      <w:r w:rsidRPr="004536CC">
        <w:rPr>
          <w:rFonts w:hint="cs"/>
          <w:rtl/>
        </w:rPr>
        <w:t xml:space="preserve"> דוגמא אישית ויוותרו על </w:t>
      </w:r>
      <w:r w:rsidRPr="004536CC" w:rsidR="004536CC">
        <w:rPr>
          <w:rFonts w:hint="cs"/>
          <w:rtl/>
        </w:rPr>
        <w:t xml:space="preserve">זכאותם </w:t>
      </w:r>
      <w:r w:rsidRPr="004536CC">
        <w:rPr>
          <w:rFonts w:hint="cs"/>
          <w:rtl/>
        </w:rPr>
        <w:t xml:space="preserve">לנסיעה </w:t>
      </w:r>
      <w:r w:rsidRPr="004536CC" w:rsidR="004536CC">
        <w:rPr>
          <w:rFonts w:hint="cs"/>
          <w:rtl/>
        </w:rPr>
        <w:t xml:space="preserve">בחינם </w:t>
      </w:r>
      <w:r w:rsidRPr="004536CC">
        <w:rPr>
          <w:rFonts w:hint="cs"/>
          <w:rtl/>
        </w:rPr>
        <w:t xml:space="preserve">בתחבורה </w:t>
      </w:r>
      <w:r w:rsidR="009B1FDA">
        <w:rPr>
          <w:rFonts w:hint="cs"/>
          <w:rtl/>
        </w:rPr>
        <w:t>ה</w:t>
      </w:r>
      <w:r w:rsidRPr="004536CC">
        <w:rPr>
          <w:rFonts w:hint="cs"/>
          <w:rtl/>
        </w:rPr>
        <w:t>ציבורית.</w:t>
      </w:r>
    </w:p>
    <w:p w:rsidR="00B16900" w:rsidP="00C23C70" w:rsidRDefault="00913172" w14:paraId="68E00414" w14:textId="77777777">
      <w:pPr>
        <w:spacing w:line="276" w:lineRule="auto"/>
        <w:jc w:val="left"/>
      </w:pPr>
      <w:bookmarkStart w:name="selectedDocDateB" w:id="9"/>
      <w:bookmarkEnd w:id="9"/>
      <w:r>
        <w:rPr>
          <w:rFonts w:hint="cs" w:eastAsia="David"/>
          <w:sz w:val="26"/>
          <w:szCs w:val="26"/>
          <w:rtl/>
        </w:rPr>
        <w:t>--------------------------------</w:t>
      </w:r>
    </w:p>
    <w:p w:rsidR="00B16900" w:rsidP="00C23C70" w:rsidRDefault="00913172" w14:paraId="75097557" w14:textId="77777777">
      <w:pPr>
        <w:spacing w:line="276" w:lineRule="auto"/>
        <w:jc w:val="left"/>
      </w:pPr>
      <w:r>
        <w:rPr>
          <w:rFonts w:hint="cs" w:eastAsia="David"/>
          <w:sz w:val="26"/>
          <w:szCs w:val="26"/>
          <w:rtl/>
        </w:rPr>
        <w:t>הוגשה ליו"ר הכנסת והסגנים</w:t>
      </w:r>
    </w:p>
    <w:p w:rsidR="00B16900" w:rsidP="00C23C70" w:rsidRDefault="00913172" w14:paraId="06E77109" w14:textId="77777777">
      <w:pPr>
        <w:spacing w:line="276" w:lineRule="auto"/>
        <w:jc w:val="left"/>
      </w:pPr>
      <w:r>
        <w:rPr>
          <w:rFonts w:hint="cs" w:eastAsia="David"/>
          <w:sz w:val="26"/>
          <w:szCs w:val="26"/>
          <w:rtl/>
        </w:rPr>
        <w:t>והונחה על שולחן הכנסת ביום</w:t>
      </w:r>
    </w:p>
    <w:p w:rsidR="00B16900" w:rsidP="00C23C70" w:rsidRDefault="00913172" w14:paraId="1FF0F1E3" w14:textId="35D76685">
      <w:pPr>
        <w:spacing w:line="276" w:lineRule="auto"/>
        <w:jc w:val="left"/>
      </w:pPr>
      <w:r>
        <w:rPr>
          <w:rFonts w:hint="cs" w:eastAsia="David"/>
          <w:sz w:val="26"/>
          <w:szCs w:val="26"/>
          <w:rtl/>
        </w:rPr>
        <w:t xml:space="preserve">ז' באייר התשפ"ה (05.05.2025) </w:t>
      </w:r>
    </w:p>
    <w:sectPr w:rsidR="00B16900" w:rsidSect="00720030">
      <w:footerReference w:type="even" r:id="rId11"/>
      <w:footerReference w:type="default" r:id="rId12"/>
      <w:pgSz w:w="11907" w:h="16840" w:code="9"/>
      <w:pgMar w:top="1701" w:right="1134" w:bottom="1134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720030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8F0590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33CF0959" w14:textId="343B0644" w:rsidR="004536CC" w:rsidRDefault="004536CC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התשי"א, עמ' 228.</w:t>
      </w:r>
    </w:p>
  </w:footnote>
  <w:footnote w:id="3">
    <w:p w14:paraId="1B00139C" w14:textId="5CAAE540" w:rsidR="00F3608D" w:rsidRDefault="00F3608D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התשכ"ט</w:t>
      </w:r>
      <w:proofErr w:type="spellEnd"/>
      <w:r>
        <w:rPr>
          <w:rFonts w:hint="cs"/>
          <w:rtl/>
        </w:rPr>
        <w:t>, עמ' 98.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0E717C"/>
    <w:rsid w:val="00102B6B"/>
    <w:rsid w:val="001052D4"/>
    <w:rsid w:val="0010644B"/>
    <w:rsid w:val="001117AD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536CC"/>
    <w:rsid w:val="004A06DC"/>
    <w:rsid w:val="004B24ED"/>
    <w:rsid w:val="004B6625"/>
    <w:rsid w:val="004D0579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20030"/>
    <w:rsid w:val="00735FE9"/>
    <w:rsid w:val="00763CAA"/>
    <w:rsid w:val="00765F66"/>
    <w:rsid w:val="0078664F"/>
    <w:rsid w:val="007A27CE"/>
    <w:rsid w:val="007A6B4D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590"/>
    <w:rsid w:val="008F0D63"/>
    <w:rsid w:val="008F1308"/>
    <w:rsid w:val="008F2C35"/>
    <w:rsid w:val="008F6665"/>
    <w:rsid w:val="00904591"/>
    <w:rsid w:val="00905E5F"/>
    <w:rsid w:val="0091204F"/>
    <w:rsid w:val="00913172"/>
    <w:rsid w:val="009203DB"/>
    <w:rsid w:val="00923CD4"/>
    <w:rsid w:val="00930EFE"/>
    <w:rsid w:val="009313EF"/>
    <w:rsid w:val="00943386"/>
    <w:rsid w:val="009456B6"/>
    <w:rsid w:val="00957589"/>
    <w:rsid w:val="00966D06"/>
    <w:rsid w:val="00982412"/>
    <w:rsid w:val="00983A8D"/>
    <w:rsid w:val="009A0DB8"/>
    <w:rsid w:val="009A7257"/>
    <w:rsid w:val="009B1FDA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900"/>
    <w:rsid w:val="00B16A99"/>
    <w:rsid w:val="00B21211"/>
    <w:rsid w:val="00B35784"/>
    <w:rsid w:val="00B733A7"/>
    <w:rsid w:val="00B75C91"/>
    <w:rsid w:val="00B975AD"/>
    <w:rsid w:val="00BC2047"/>
    <w:rsid w:val="00BC45FB"/>
    <w:rsid w:val="00BF148D"/>
    <w:rsid w:val="00C23B1A"/>
    <w:rsid w:val="00C23C70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3608D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D55B1C0B-91B2-4964-A4BC-1C6D8232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590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590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8F0590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8F0590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8F0590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F0590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8F059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F0590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8F0590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8F0590"/>
    <w:rPr>
      <w:sz w:val="36"/>
      <w:szCs w:val="52"/>
    </w:rPr>
  </w:style>
  <w:style w:type="paragraph" w:customStyle="1" w:styleId="Cover3-Haknesset">
    <w:name w:val="Cover 3-Haknesset"/>
    <w:basedOn w:val="Cover1-Reshumot"/>
    <w:rsid w:val="008F0590"/>
    <w:rPr>
      <w:b/>
      <w:bCs/>
      <w:spacing w:val="60"/>
    </w:rPr>
  </w:style>
  <w:style w:type="paragraph" w:customStyle="1" w:styleId="Cover4-Date">
    <w:name w:val="Cover 4-Date"/>
    <w:basedOn w:val="a"/>
    <w:rsid w:val="008F0590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8F0590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8F0590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8F0590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8F0590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8F0590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8F0590"/>
    <w:pPr>
      <w:outlineLvl w:val="2"/>
    </w:pPr>
  </w:style>
  <w:style w:type="paragraph" w:customStyle="1" w:styleId="TableBlock">
    <w:name w:val="Table Block"/>
    <w:basedOn w:val="TableText"/>
    <w:rsid w:val="008F0590"/>
    <w:pPr>
      <w:jc w:val="both"/>
    </w:pPr>
  </w:style>
  <w:style w:type="paragraph" w:customStyle="1" w:styleId="TableHead">
    <w:name w:val="Table Head"/>
    <w:basedOn w:val="TableText"/>
    <w:rsid w:val="008F0590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8F0590"/>
    <w:pPr>
      <w:outlineLvl w:val="9"/>
    </w:pPr>
  </w:style>
  <w:style w:type="paragraph" w:customStyle="1" w:styleId="Hesber">
    <w:name w:val="Hesber"/>
    <w:basedOn w:val="a"/>
    <w:rsid w:val="008F0590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8F0590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8F0590"/>
    <w:rPr>
      <w:vertAlign w:val="superscript"/>
    </w:rPr>
  </w:style>
  <w:style w:type="paragraph" w:customStyle="1" w:styleId="HesberHeading">
    <w:name w:val="Hesber Heading"/>
    <w:basedOn w:val="Hesber"/>
    <w:rsid w:val="008F0590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8F0590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8F0590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8F0590"/>
    <w:rPr>
      <w:vertAlign w:val="superscript"/>
    </w:rPr>
  </w:style>
  <w:style w:type="paragraph" w:customStyle="1" w:styleId="TableBlockOutdent">
    <w:name w:val="Table BlockOutdent"/>
    <w:basedOn w:val="TableBlock"/>
    <w:rsid w:val="008F0590"/>
    <w:pPr>
      <w:ind w:left="624" w:hanging="624"/>
    </w:pPr>
  </w:style>
  <w:style w:type="paragraph" w:styleId="a7">
    <w:name w:val="header"/>
    <w:basedOn w:val="a"/>
    <w:rsid w:val="008F0590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8F0590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8F0590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8F0590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8F0590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8F0590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8F0590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8F0590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8F0590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8F0590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8F0590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8F0590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8F0590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8F0590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8F0590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8F0590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8F0590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8F0590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8F0590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8F0590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8F0590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8F0590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8F0590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8F0590"/>
    <w:rPr>
      <w:rFonts w:eastAsia="Times New Roman"/>
    </w:rPr>
  </w:style>
  <w:style w:type="paragraph" w:styleId="ae">
    <w:name w:val="List Paragraph"/>
    <w:basedOn w:val="a"/>
    <w:uiPriority w:val="34"/>
    <w:qFormat/>
    <w:rsid w:val="008F0590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8F0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8F059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8F05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8F0590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8F0590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www.w3.org/XML/1998/namespace"/>
    <ds:schemaRef ds:uri="http://schemas.microsoft.com/office/2006/documentManagement/types"/>
    <ds:schemaRef ds:uri="290d5b49-c690-4c6f-bbb9-1e50dab33ee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459AD9-355D-4FDC-ABAD-C4FAD0EBD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E5D7E4-2615-4A38-8967-B3E0DBC9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ווייס עמר</cp:lastModifiedBy>
  <cp:revision>14</cp:revision>
  <cp:lastPrinted>2013-07-04T08:25:00Z</cp:lastPrinted>
  <dcterms:created xsi:type="dcterms:W3CDTF">2015-04-20T09:58:00Z</dcterms:created>
  <dcterms:modified xsi:type="dcterms:W3CDTF">2025-04-28T10:44:00Z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2230608</vt:r8>
  </property>
</Properties>
</file>