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2229950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וחמש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2E4DF6">
      <w:pPr>
        <w:pStyle w:val="David"/>
        <w:spacing w:line="276" w:lineRule="auto"/>
        <w:ind w:left="1440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יצחק קרויזר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אופיר כץ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ינון אזולאי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פנינה תמנו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יצחק פינדרוס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אוהד טל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צביקה פוגל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עודד פורר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מישל בוסקילה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עידן רול</w:t>
      </w:r>
      <w:bookmarkEnd w:id="3"/>
    </w:p>
    <w:p w14:paraId="4B20EC38" w14:textId="77777777" w:rsidR="00D36951" w:rsidRDefault="007D585A" w:rsidP="0036422C">
      <w:pPr>
        <w:pStyle w:val="David"/>
        <w:ind w:left="3544"/>
        <w:rPr>
          <w:rtl/>
        </w:rPr>
      </w:pPr>
      <w:bookmarkStart w:id="4" w:name="LGS_Join_List"/>
      <w:r>
        <w:rPr>
          <w:rtl/>
        </w:rPr>
        <w:t>______________________________________________</w:t>
      </w:r>
    </w:p>
    <w:p w14:paraId="34DB4103" w14:textId="0B05D1D6" w:rsidR="00904591" w:rsidRPr="00904591" w:rsidRDefault="007D585A" w:rsidP="002E4DF6">
      <w:pPr>
        <w:pStyle w:val="David"/>
        <w:spacing w:line="240" w:lineRule="auto"/>
        <w:ind w:left="1417"/>
        <w:rPr>
          <w:sz w:val="4"/>
          <w:szCs w:val="4"/>
          <w:rtl/>
        </w:rPr>
      </w:pPr>
      <w:r>
        <w:rPr>
          <w:rtl/>
        </w:rPr>
        <w:t>מצטרפים: חברי הכנסת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>דוד ביטן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Fonts w:hint="cs"/>
          <w:rtl/>
        </w:rPr>
        <w:t>אברהם בצלאל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אליהו רביבו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Fonts w:hint="cs"/>
          <w:rtl/>
        </w:rPr>
        <w:t>יונתן מישרקי</w:t>
      </w:r>
      <w:r w:rsidR="00D36951">
        <w:rPr>
          <w:rtl/>
        </w:rPr>
        <w:tab/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גלית דיסטל אטבריאן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Fonts w:hint="cs"/>
          <w:rtl/>
        </w:rPr>
        <w:t>ארז מלול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ניסים ואטורי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Fonts w:hint="cs"/>
          <w:rtl/>
        </w:rPr>
        <w:t>סימון מושיאשוילי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שלום דנינו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Fonts w:hint="cs"/>
          <w:rtl/>
        </w:rPr>
        <w:t>מיכאל מרדכי ביטון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טלי גוטליב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Fonts w:hint="cs"/>
          <w:rtl/>
        </w:rPr>
        <w:t>מתן כהנא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חנוך דב מלביצקי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Fonts w:hint="cs"/>
          <w:rtl/>
        </w:rPr>
        <w:t>אורית פרקש הכהן</w:t>
      </w:r>
      <w:r w:rsidR="00D36951">
        <w:rPr>
          <w:rtl/>
        </w:rPr>
        <w:tab/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בועז ביסמוט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Fonts w:hint="cs"/>
          <w:rtl/>
        </w:rPr>
        <w:t>אלון שוסטר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משה סעדה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Fonts w:hint="cs"/>
          <w:rtl/>
        </w:rPr>
        <w:t>יעקב אשר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אלי דלל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Fonts w:hint="cs"/>
          <w:rtl/>
        </w:rPr>
        <w:t>ישראל אייכלר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דן אילוז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Fonts w:hint="cs"/>
          <w:rtl/>
        </w:rPr>
        <w:t>משה רוט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אריאל קלנר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tl/>
        </w:rPr>
        <w:tab/>
      </w:r>
      <w:r w:rsidR="002E4DF6">
        <w:rPr>
          <w:rFonts w:hint="cs"/>
          <w:rtl/>
        </w:rPr>
        <w:t>אליהו ברוכי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חוה אתי עטייה</w:t>
      </w:r>
      <w:r w:rsidR="00D36951">
        <w:rPr>
          <w:rtl/>
        </w:rPr>
        <w:tab/>
      </w:r>
      <w:r w:rsidR="00D36951">
        <w:rPr>
          <w:rtl/>
        </w:rPr>
        <w:tab/>
      </w:r>
      <w:r w:rsidR="00043B67">
        <w:rPr>
          <w:rtl/>
        </w:rPr>
        <w:tab/>
      </w:r>
      <w:r w:rsidR="002E4DF6">
        <w:rPr>
          <w:rFonts w:hint="cs"/>
          <w:rtl/>
        </w:rPr>
        <w:t>שמחה רוטמן</w:t>
      </w:r>
      <w:r w:rsidR="00D36951">
        <w:rPr>
          <w:rtl/>
        </w:rPr>
        <w:tab/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עמית הלוי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tl/>
        </w:rPr>
        <w:tab/>
      </w:r>
      <w:r w:rsidR="002E4DF6">
        <w:rPr>
          <w:rFonts w:hint="cs"/>
          <w:rtl/>
        </w:rPr>
        <w:t>מיכל מרים וולדיגר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צגה מלקו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tl/>
        </w:rPr>
        <w:tab/>
      </w:r>
      <w:r w:rsidR="002E4DF6">
        <w:rPr>
          <w:rFonts w:hint="cs"/>
          <w:rtl/>
        </w:rPr>
        <w:t>משה סולומון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אושר שקלים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tl/>
        </w:rPr>
        <w:tab/>
      </w:r>
      <w:r w:rsidR="002E4DF6">
        <w:rPr>
          <w:rFonts w:hint="cs"/>
          <w:rtl/>
        </w:rPr>
        <w:t>לימור סון הר מלך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קטי קטרין שטרית</w:t>
      </w:r>
      <w:r w:rsidR="00D36951">
        <w:rPr>
          <w:rtl/>
        </w:rPr>
        <w:tab/>
      </w:r>
      <w:r w:rsidR="00D36951">
        <w:rPr>
          <w:rtl/>
        </w:rPr>
        <w:tab/>
      </w:r>
      <w:r w:rsidR="002E4DF6">
        <w:rPr>
          <w:rFonts w:hint="cs"/>
          <w:rtl/>
        </w:rPr>
        <w:t>יבגני סובה</w:t>
      </w:r>
      <w:r w:rsidR="00D36951">
        <w:rPr>
          <w:rtl/>
        </w:rPr>
        <w:tab/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משה פסל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tl/>
        </w:rPr>
        <w:tab/>
      </w:r>
      <w:r w:rsidR="002E4DF6">
        <w:rPr>
          <w:rFonts w:hint="cs"/>
          <w:rtl/>
        </w:rPr>
        <w:t>שרון ניר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ששון ששי גואטה</w:t>
      </w:r>
      <w:r w:rsidR="00D36951">
        <w:rPr>
          <w:rtl/>
        </w:rPr>
        <w:tab/>
      </w:r>
      <w:r w:rsidR="00D36951">
        <w:rPr>
          <w:rtl/>
        </w:rPr>
        <w:tab/>
      </w:r>
      <w:r w:rsidR="002E4DF6">
        <w:rPr>
          <w:rFonts w:hint="cs"/>
          <w:rtl/>
        </w:rPr>
        <w:t>יוליה מלינובסקי</w:t>
      </w:r>
      <w:r w:rsidR="00D36951">
        <w:rPr>
          <w:rtl/>
        </w:rPr>
        <w:tab/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אביחי אברהם בוארון</w:t>
      </w:r>
      <w:r w:rsidR="00D36951">
        <w:rPr>
          <w:rtl/>
        </w:rPr>
        <w:tab/>
      </w:r>
      <w:r w:rsidR="00D36951">
        <w:rPr>
          <w:rtl/>
        </w:rPr>
        <w:tab/>
      </w:r>
      <w:r w:rsidR="002E4DF6">
        <w:rPr>
          <w:rFonts w:hint="cs"/>
          <w:rtl/>
        </w:rPr>
        <w:t>חמד עמאר</w:t>
      </w:r>
      <w:r w:rsidR="00D36951">
        <w:rPr>
          <w:rtl/>
        </w:rPr>
        <w:tab/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עפיף עבד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tl/>
        </w:rPr>
        <w:tab/>
      </w:r>
      <w:r w:rsidR="002E4DF6">
        <w:rPr>
          <w:rFonts w:hint="cs"/>
          <w:rtl/>
        </w:rPr>
        <w:t>אלמוג כהן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יוסף טייב</w:t>
      </w:r>
      <w:r w:rsidR="00D36951">
        <w:rPr>
          <w:rtl/>
        </w:rPr>
        <w:tab/>
      </w:r>
      <w:r w:rsidR="00D36951">
        <w:rPr>
          <w:rtl/>
        </w:rPr>
        <w:tab/>
      </w:r>
      <w:r w:rsidR="00D36951">
        <w:rPr>
          <w:rtl/>
        </w:rPr>
        <w:tab/>
      </w:r>
      <w:r w:rsidR="002E4DF6">
        <w:rPr>
          <w:rFonts w:hint="cs"/>
          <w:rtl/>
        </w:rPr>
        <w:t>אבי מעוז</w:t>
      </w:r>
      <w:r>
        <w:rPr>
          <w:rFonts w:hint="cs"/>
          <w:rtl/>
        </w:rPr>
        <w:t xml:space="preserve"> </w:t>
      </w:r>
      <w:r>
        <w:tab/>
      </w:r>
      <w:r>
        <w:tab/>
      </w:r>
      <w:r>
        <w:rPr>
          <w:rFonts w:hint="cs"/>
          <w:rtl/>
        </w:rPr>
        <w:t xml:space="preserve">   </w:t>
      </w:r>
      <w:r w:rsidR="002E4DF6">
        <w:rPr>
          <w:rtl/>
        </w:rPr>
        <w:tab/>
      </w:r>
      <w:r w:rsidR="002E4DF6">
        <w:rPr>
          <w:rtl/>
        </w:rPr>
        <w:tab/>
      </w:r>
      <w:r w:rsidR="002E4DF6">
        <w:rPr>
          <w:rtl/>
        </w:rPr>
        <w:tab/>
      </w:r>
      <w:r w:rsidR="002E4DF6">
        <w:rPr>
          <w:rtl/>
        </w:rPr>
        <w:tab/>
      </w:r>
      <w:bookmarkEnd w:id="5"/>
      <w:r w:rsidR="00266D86">
        <w:t>_</w:t>
      </w:r>
      <w:r w:rsidR="00E374F2">
        <w:t>__</w:t>
      </w:r>
      <w:r w:rsidR="00266D86">
        <w:t>________________________________________</w:t>
      </w:r>
      <w:r w:rsidR="002E4DF6">
        <w:rPr>
          <w:rtl/>
        </w:rPr>
        <w:tab/>
      </w:r>
      <w:r w:rsidR="002E4DF6">
        <w:rPr>
          <w:rtl/>
        </w:rPr>
        <w:tab/>
      </w:r>
      <w:r w:rsidR="002E4DF6">
        <w:rPr>
          <w:rtl/>
        </w:rPr>
        <w:tab/>
      </w:r>
      <w:r w:rsidR="002E4DF6">
        <w:rPr>
          <w:rtl/>
        </w:rPr>
        <w:tab/>
      </w:r>
      <w:r w:rsidR="002E4DF6">
        <w:rPr>
          <w:rtl/>
        </w:rPr>
        <w:tab/>
      </w:r>
      <w:r w:rsidR="002E4DF6">
        <w:rPr>
          <w:rtl/>
        </w:rPr>
        <w:tab/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6A2BF794" w:rsidR="00E13C27" w:rsidRPr="00E06736" w:rsidRDefault="002E4DF6" w:rsidP="002E4DF6">
      <w:pPr>
        <w:pStyle w:val="David"/>
        <w:spacing w:line="240" w:lineRule="auto"/>
        <w:ind w:left="720" w:firstLine="720"/>
        <w:rPr>
          <w:rtl/>
        </w:rPr>
      </w:pPr>
      <w:r>
        <w:rPr>
          <w:rFonts w:hint="cs"/>
          <w:rtl/>
        </w:rPr>
        <w:t xml:space="preserve">   </w:t>
      </w:r>
      <w:r w:rsidR="00904591">
        <w:t xml:space="preserve">            </w:t>
      </w:r>
      <w:bookmarkStart w:id="6" w:name="Private_Number"/>
      <w:r>
        <w:t xml:space="preserve">                         </w:t>
      </w:r>
      <w:r>
        <w:rPr>
          <w:rtl/>
        </w:rPr>
        <w:tab/>
      </w:r>
      <w:r w:rsidR="00904591">
        <w:rPr>
          <w:rFonts w:hint="cs"/>
          <w:rtl/>
        </w:rPr>
        <w:t>פ/5728/25</w:t>
      </w:r>
      <w:bookmarkEnd w:id="6"/>
    </w:p>
    <w:p w14:paraId="56350B54" w14:textId="42ABF657" w:rsidR="002E4DF6" w:rsidRDefault="00E87CA4" w:rsidP="002E4DF6">
      <w:pPr>
        <w:pStyle w:val="HeadHatzaotHok"/>
        <w:spacing w:line="240" w:lineRule="auto"/>
        <w:rPr>
          <w:rtl/>
        </w:rPr>
      </w:pPr>
      <w:bookmarkStart w:id="7" w:name="LGS_Subject"/>
      <w:r>
        <w:rPr>
          <w:rFonts w:hint="cs"/>
          <w:rtl/>
        </w:rPr>
        <w:t xml:space="preserve">הצעת חוק רמת הגולן (תיקון – פיתוח וחיזוק רמת הגולן, וקביעת יום לציון רמת הגולן), </w:t>
      </w:r>
    </w:p>
    <w:p w14:paraId="383F73BC" w14:textId="42ABF657" w:rsidR="00E87CA4" w:rsidRPr="00F67051" w:rsidRDefault="00E87CA4" w:rsidP="002E4DF6">
      <w:pPr>
        <w:pStyle w:val="HeadHatzaotHok"/>
        <w:spacing w:line="240" w:lineRule="auto"/>
        <w:rPr>
          <w:rtl/>
        </w:rPr>
      </w:pPr>
      <w:r>
        <w:rPr>
          <w:rFonts w:hint="cs"/>
          <w:rtl/>
        </w:rPr>
        <w:t>התשפ"ה–2025</w:t>
      </w:r>
      <w:bookmarkEnd w:id="7"/>
    </w:p>
    <w:tbl>
      <w:tblPr>
        <w:bidiVisual/>
        <w:tblW w:w="9637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624"/>
        <w:gridCol w:w="1871"/>
        <w:gridCol w:w="624"/>
        <w:gridCol w:w="4648"/>
      </w:tblGrid>
      <w:tr w:rsidR="00E87CA4" w14:paraId="703E75E8" w14:textId="77777777" w:rsidTr="002E4DF6">
        <w:trPr>
          <w:cantSplit/>
        </w:trPr>
        <w:tc>
          <w:tcPr>
            <w:tcW w:w="1870" w:type="dxa"/>
            <w:hideMark/>
          </w:tcPr>
          <w:p w14:paraId="7547BBAD" w14:textId="7192892A" w:rsidR="00E87CA4" w:rsidRPr="00E94498" w:rsidRDefault="00043B67" w:rsidP="00DB53B5">
            <w:pPr>
              <w:pStyle w:val="TableSideHeading"/>
              <w:keepLines w:val="0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הוספת סעיפים</w:t>
            </w:r>
            <w:r w:rsidR="00E87CA4">
              <w:rPr>
                <w:rFonts w:ascii="David" w:hAnsi="David" w:hint="cs"/>
                <w:sz w:val="26"/>
                <w:rtl/>
              </w:rPr>
              <w:t xml:space="preserve"> 1א ו-1ב</w:t>
            </w:r>
          </w:p>
        </w:tc>
        <w:tc>
          <w:tcPr>
            <w:tcW w:w="624" w:type="dxa"/>
            <w:hideMark/>
          </w:tcPr>
          <w:p w14:paraId="5BF7C785" w14:textId="77777777" w:rsidR="00E87CA4" w:rsidRPr="00E94498" w:rsidRDefault="00E87CA4" w:rsidP="00DB53B5">
            <w:pPr>
              <w:pStyle w:val="TableText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1.</w:t>
            </w:r>
          </w:p>
        </w:tc>
        <w:tc>
          <w:tcPr>
            <w:tcW w:w="7143" w:type="dxa"/>
            <w:gridSpan w:val="3"/>
            <w:hideMark/>
          </w:tcPr>
          <w:p w14:paraId="4BAE13E8" w14:textId="77777777" w:rsidR="00E87CA4" w:rsidRPr="00E94498" w:rsidRDefault="00E87CA4" w:rsidP="002E4DF6">
            <w:pPr>
              <w:pStyle w:val="TableBlock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בחוק רמת הגולן, התשמ"ב</w:t>
            </w:r>
            <w:r>
              <w:rPr>
                <w:rFonts w:ascii="David" w:hAnsi="David" w:hint="eastAsia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>1981</w:t>
            </w:r>
            <w:r w:rsidRPr="002E4DF6">
              <w:rPr>
                <w:rStyle w:val="a6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ascii="David" w:hAnsi="David" w:hint="cs"/>
                <w:sz w:val="26"/>
                <w:rtl/>
              </w:rPr>
              <w:t xml:space="preserve"> (להלן </w:t>
            </w:r>
            <w:r>
              <w:rPr>
                <w:rFonts w:ascii="David" w:hAnsi="David" w:hint="eastAsia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 xml:space="preserve"> החוק העיקרי), אחרי סעיף 1 יבוא:</w:t>
            </w:r>
          </w:p>
        </w:tc>
      </w:tr>
      <w:tr w:rsidR="00E87CA4" w14:paraId="38619029" w14:textId="77777777" w:rsidTr="002E4DF6">
        <w:trPr>
          <w:cantSplit/>
        </w:trPr>
        <w:tc>
          <w:tcPr>
            <w:tcW w:w="1870" w:type="dxa"/>
          </w:tcPr>
          <w:p w14:paraId="273E4230" w14:textId="77777777" w:rsidR="00E87CA4" w:rsidRDefault="00E87CA4" w:rsidP="00DB53B5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1A7DFD7D" w14:textId="77777777" w:rsidR="00E87CA4" w:rsidRDefault="00E87CA4" w:rsidP="00DB53B5">
            <w:pPr>
              <w:pStyle w:val="TableText"/>
              <w:keepLines w:val="0"/>
            </w:pPr>
          </w:p>
        </w:tc>
        <w:tc>
          <w:tcPr>
            <w:tcW w:w="1871" w:type="dxa"/>
          </w:tcPr>
          <w:p w14:paraId="6E7253EA" w14:textId="33C5CD8C" w:rsidR="00E87CA4" w:rsidRDefault="002E4DF6" w:rsidP="00DB53B5">
            <w:pPr>
              <w:pStyle w:val="TableInnerSideHeading"/>
            </w:pPr>
            <w:r>
              <w:rPr>
                <w:rFonts w:hint="cs"/>
                <w:rtl/>
              </w:rPr>
              <w:t>"</w:t>
            </w:r>
            <w:r w:rsidR="00E87CA4">
              <w:rPr>
                <w:rFonts w:hint="cs"/>
                <w:rtl/>
              </w:rPr>
              <w:t>מטרה</w:t>
            </w:r>
          </w:p>
        </w:tc>
        <w:tc>
          <w:tcPr>
            <w:tcW w:w="624" w:type="dxa"/>
          </w:tcPr>
          <w:p w14:paraId="330A17FE" w14:textId="77777777" w:rsidR="00E87CA4" w:rsidRDefault="00E87CA4" w:rsidP="00DB53B5">
            <w:pPr>
              <w:pStyle w:val="TableText"/>
            </w:pPr>
            <w:r>
              <w:rPr>
                <w:rFonts w:hint="cs"/>
                <w:rtl/>
              </w:rPr>
              <w:t>1א.</w:t>
            </w:r>
          </w:p>
        </w:tc>
        <w:tc>
          <w:tcPr>
            <w:tcW w:w="4648" w:type="dxa"/>
          </w:tcPr>
          <w:p w14:paraId="254738FA" w14:textId="617DC4B7" w:rsidR="00E87CA4" w:rsidRPr="00241AD1" w:rsidRDefault="00043B67" w:rsidP="002E4DF6">
            <w:pPr>
              <w:pStyle w:val="TableBlock"/>
              <w:rPr>
                <w:highlight w:val="cyan"/>
              </w:rPr>
            </w:pPr>
            <w:r>
              <w:rPr>
                <w:rFonts w:ascii="David" w:hAnsi="David"/>
                <w:sz w:val="26"/>
                <w:rtl/>
              </w:rPr>
              <w:t>חוק זה</w:t>
            </w:r>
            <w:r w:rsidR="00E87CA4" w:rsidRPr="00241AD1">
              <w:rPr>
                <w:rFonts w:ascii="David" w:hAnsi="David"/>
                <w:sz w:val="26"/>
                <w:rtl/>
              </w:rPr>
              <w:t xml:space="preserve"> מטרתו לעגן את מעמדה המיוחד של רמת הגולן </w:t>
            </w:r>
            <w:r w:rsidR="00E87CA4" w:rsidRPr="00241AD1">
              <w:rPr>
                <w:rFonts w:ascii="David" w:hAnsi="David" w:hint="eastAsia"/>
                <w:sz w:val="26"/>
                <w:rtl/>
              </w:rPr>
              <w:t>כחבל</w:t>
            </w:r>
            <w:r w:rsidR="00E87CA4" w:rsidRPr="00241AD1">
              <w:rPr>
                <w:rFonts w:ascii="David" w:hAnsi="David"/>
                <w:sz w:val="26"/>
                <w:rtl/>
              </w:rPr>
              <w:t xml:space="preserve"> </w:t>
            </w:r>
            <w:r w:rsidR="00E87CA4" w:rsidRPr="00241AD1">
              <w:rPr>
                <w:rFonts w:ascii="David" w:hAnsi="David" w:hint="eastAsia"/>
                <w:sz w:val="26"/>
                <w:rtl/>
              </w:rPr>
              <w:t>ארץ</w:t>
            </w:r>
            <w:r w:rsidR="00E87CA4" w:rsidRPr="00241AD1">
              <w:rPr>
                <w:rFonts w:ascii="David" w:hAnsi="David"/>
                <w:sz w:val="26"/>
                <w:rtl/>
              </w:rPr>
              <w:t xml:space="preserve"> אסטרטגי-</w:t>
            </w:r>
            <w:r w:rsidR="00E87CA4" w:rsidRPr="00241AD1">
              <w:rPr>
                <w:rFonts w:ascii="David" w:hAnsi="David" w:hint="eastAsia"/>
                <w:sz w:val="26"/>
                <w:rtl/>
              </w:rPr>
              <w:t>ביטחוני</w:t>
            </w:r>
            <w:r w:rsidR="00E87CA4" w:rsidRPr="00241AD1">
              <w:rPr>
                <w:rFonts w:ascii="David" w:hAnsi="David"/>
                <w:sz w:val="26"/>
                <w:rtl/>
              </w:rPr>
              <w:t xml:space="preserve"> </w:t>
            </w:r>
            <w:r w:rsidR="00E87CA4" w:rsidRPr="00241AD1">
              <w:rPr>
                <w:rFonts w:ascii="David" w:hAnsi="David" w:hint="eastAsia"/>
                <w:sz w:val="26"/>
                <w:rtl/>
              </w:rPr>
              <w:t>התורם</w:t>
            </w:r>
            <w:r w:rsidR="00E87CA4" w:rsidRPr="00241AD1">
              <w:rPr>
                <w:rFonts w:ascii="David" w:hAnsi="David"/>
                <w:sz w:val="26"/>
                <w:rtl/>
              </w:rPr>
              <w:t xml:space="preserve"> </w:t>
            </w:r>
            <w:r w:rsidR="00E87CA4" w:rsidRPr="00241AD1">
              <w:rPr>
                <w:rFonts w:ascii="David" w:hAnsi="David" w:hint="eastAsia"/>
                <w:sz w:val="26"/>
                <w:rtl/>
              </w:rPr>
              <w:t>ל</w:t>
            </w:r>
            <w:r w:rsidR="00E87CA4" w:rsidRPr="00241AD1">
              <w:rPr>
                <w:rFonts w:ascii="David" w:hAnsi="David"/>
                <w:sz w:val="26"/>
                <w:rtl/>
              </w:rPr>
              <w:t>חוסנה ו</w:t>
            </w:r>
            <w:r w:rsidR="00E87CA4" w:rsidRPr="00241AD1">
              <w:rPr>
                <w:rFonts w:ascii="David" w:hAnsi="David" w:hint="eastAsia"/>
                <w:sz w:val="26"/>
                <w:rtl/>
              </w:rPr>
              <w:t>ל</w:t>
            </w:r>
            <w:r w:rsidR="00E87CA4" w:rsidRPr="00241AD1">
              <w:rPr>
                <w:rFonts w:ascii="David" w:hAnsi="David"/>
                <w:sz w:val="26"/>
                <w:rtl/>
              </w:rPr>
              <w:t xml:space="preserve">ביטחונה של מדינת ישראל, </w:t>
            </w:r>
            <w:r w:rsidR="00E87CA4" w:rsidRPr="00241AD1">
              <w:rPr>
                <w:rFonts w:ascii="David" w:hAnsi="David" w:hint="eastAsia"/>
                <w:sz w:val="26"/>
                <w:rtl/>
              </w:rPr>
              <w:t>להחיל</w:t>
            </w:r>
            <w:r w:rsidR="00E87CA4" w:rsidRPr="00241AD1">
              <w:rPr>
                <w:rFonts w:ascii="David" w:hAnsi="David"/>
                <w:sz w:val="26"/>
                <w:rtl/>
              </w:rPr>
              <w:t xml:space="preserve"> עליו את המשפט, השיפוט והמינהל של מדינת ישראל </w:t>
            </w:r>
            <w:r w:rsidR="00E87CA4" w:rsidRPr="00241AD1">
              <w:rPr>
                <w:rFonts w:ascii="David" w:hAnsi="David" w:hint="eastAsia"/>
                <w:sz w:val="26"/>
                <w:rtl/>
              </w:rPr>
              <w:t>ולקבוע</w:t>
            </w:r>
            <w:r w:rsidR="00E87CA4" w:rsidRPr="00241AD1">
              <w:rPr>
                <w:rFonts w:ascii="David" w:hAnsi="David"/>
                <w:sz w:val="26"/>
                <w:rtl/>
              </w:rPr>
              <w:t xml:space="preserve"> יום לציון רמת </w:t>
            </w:r>
            <w:r w:rsidR="00E87CA4" w:rsidRPr="00241AD1">
              <w:rPr>
                <w:rFonts w:ascii="David" w:hAnsi="David" w:hint="eastAsia"/>
                <w:sz w:val="26"/>
                <w:rtl/>
              </w:rPr>
              <w:t>הגולן</w:t>
            </w:r>
            <w:r w:rsidR="00E87CA4" w:rsidRPr="00241AD1">
              <w:rPr>
                <w:rFonts w:ascii="David" w:hAnsi="David"/>
                <w:sz w:val="26"/>
                <w:rtl/>
              </w:rPr>
              <w:t>.</w:t>
            </w:r>
          </w:p>
        </w:tc>
      </w:tr>
      <w:tr w:rsidR="00E87CA4" w14:paraId="08FAA802" w14:textId="77777777" w:rsidTr="002E4DF6">
        <w:trPr>
          <w:cantSplit/>
        </w:trPr>
        <w:tc>
          <w:tcPr>
            <w:tcW w:w="1870" w:type="dxa"/>
          </w:tcPr>
          <w:p w14:paraId="11E4375C" w14:textId="77777777" w:rsidR="00E87CA4" w:rsidRDefault="00E87CA4" w:rsidP="00DB53B5">
            <w:pPr>
              <w:pStyle w:val="TableSideHeading"/>
            </w:pPr>
          </w:p>
        </w:tc>
        <w:tc>
          <w:tcPr>
            <w:tcW w:w="624" w:type="dxa"/>
          </w:tcPr>
          <w:p w14:paraId="7B2C7C51" w14:textId="77777777" w:rsidR="00E87CA4" w:rsidRDefault="00E87CA4" w:rsidP="00DB53B5">
            <w:pPr>
              <w:pStyle w:val="TableText"/>
              <w:keepLines w:val="0"/>
            </w:pPr>
          </w:p>
        </w:tc>
        <w:tc>
          <w:tcPr>
            <w:tcW w:w="1871" w:type="dxa"/>
          </w:tcPr>
          <w:p w14:paraId="74AA1C98" w14:textId="77777777" w:rsidR="00E87CA4" w:rsidRDefault="00E87CA4" w:rsidP="00DB53B5">
            <w:pPr>
              <w:pStyle w:val="TableInnerSideHeading"/>
            </w:pPr>
            <w:r>
              <w:rPr>
                <w:rFonts w:hint="cs"/>
                <w:rtl/>
              </w:rPr>
              <w:t>פיתוח רמת הגולן</w:t>
            </w:r>
          </w:p>
        </w:tc>
        <w:tc>
          <w:tcPr>
            <w:tcW w:w="624" w:type="dxa"/>
          </w:tcPr>
          <w:p w14:paraId="3D17E616" w14:textId="77777777" w:rsidR="00E87CA4" w:rsidRDefault="00E87CA4" w:rsidP="00DB53B5">
            <w:pPr>
              <w:pStyle w:val="TableText"/>
            </w:pPr>
            <w:r>
              <w:rPr>
                <w:rFonts w:hint="cs"/>
                <w:rtl/>
              </w:rPr>
              <w:t>1ב.</w:t>
            </w:r>
          </w:p>
        </w:tc>
        <w:tc>
          <w:tcPr>
            <w:tcW w:w="4648" w:type="dxa"/>
          </w:tcPr>
          <w:p w14:paraId="58E29F00" w14:textId="1D6AE9AE" w:rsidR="00E87CA4" w:rsidRDefault="00E87CA4" w:rsidP="002E4DF6">
            <w:pPr>
              <w:pStyle w:val="TableBlock"/>
            </w:pPr>
            <w:r w:rsidRPr="00E94498">
              <w:rPr>
                <w:rFonts w:ascii="David" w:eastAsia="Times New Roman" w:hAnsi="David"/>
                <w:sz w:val="26"/>
                <w:shd w:val="clear" w:color="auto" w:fill="FFFFFF"/>
                <w:rtl/>
              </w:rPr>
              <w:t>הממשלה תשקוד על פיתוחה ושגשוגה של רמת הגולן</w:t>
            </w:r>
            <w:r>
              <w:rPr>
                <w:rFonts w:ascii="David" w:eastAsia="Times New Roman" w:hAnsi="David" w:hint="cs"/>
                <w:sz w:val="26"/>
                <w:shd w:val="clear" w:color="auto" w:fill="FFFFFF"/>
                <w:rtl/>
              </w:rPr>
              <w:t>,</w:t>
            </w:r>
            <w:r w:rsidRPr="00E94498">
              <w:rPr>
                <w:rFonts w:ascii="David" w:eastAsia="Times New Roman" w:hAnsi="David"/>
                <w:sz w:val="26"/>
                <w:shd w:val="clear" w:color="auto" w:fill="FFFFFF"/>
                <w:rtl/>
              </w:rPr>
              <w:t xml:space="preserve"> על </w:t>
            </w:r>
            <w:r>
              <w:rPr>
                <w:rFonts w:ascii="David" w:eastAsia="Times New Roman" w:hAnsi="David" w:hint="cs"/>
                <w:sz w:val="26"/>
                <w:shd w:val="clear" w:color="auto" w:fill="FFFFFF"/>
                <w:rtl/>
              </w:rPr>
              <w:t xml:space="preserve">ההתיישבות היהודית ברמת הגולן ועל </w:t>
            </w:r>
            <w:r w:rsidRPr="00E94498">
              <w:rPr>
                <w:rFonts w:ascii="David" w:eastAsia="Times New Roman" w:hAnsi="David"/>
                <w:sz w:val="26"/>
                <w:shd w:val="clear" w:color="auto" w:fill="FFFFFF"/>
                <w:rtl/>
              </w:rPr>
              <w:t>רווחת תושביה</w:t>
            </w:r>
            <w:r>
              <w:rPr>
                <w:rFonts w:ascii="David" w:eastAsia="Times New Roman" w:hAnsi="David" w:hint="cs"/>
                <w:sz w:val="26"/>
                <w:shd w:val="clear" w:color="auto" w:fill="FFFFFF"/>
                <w:rtl/>
              </w:rPr>
              <w:t>, לרבות החקלאות והשמירה על הטבע,</w:t>
            </w:r>
            <w:r w:rsidR="00043B67">
              <w:rPr>
                <w:rFonts w:ascii="David" w:eastAsia="Times New Roman" w:hAnsi="David"/>
                <w:sz w:val="26"/>
                <w:shd w:val="clear" w:color="auto" w:fill="FFFFFF"/>
                <w:rtl/>
              </w:rPr>
              <w:t xml:space="preserve"> על</w:t>
            </w:r>
            <w:r w:rsidR="00043B67">
              <w:rPr>
                <w:rFonts w:ascii="David" w:eastAsia="Times New Roman" w:hAnsi="David" w:hint="cs"/>
                <w:sz w:val="26"/>
                <w:shd w:val="clear" w:color="auto" w:fill="FFFFFF"/>
                <w:rtl/>
              </w:rPr>
              <w:t xml:space="preserve"> </w:t>
            </w:r>
            <w:r w:rsidRPr="00E94498">
              <w:rPr>
                <w:rFonts w:ascii="David" w:eastAsia="Times New Roman" w:hAnsi="David"/>
                <w:sz w:val="26"/>
                <w:shd w:val="clear" w:color="auto" w:fill="FFFFFF"/>
                <w:rtl/>
              </w:rPr>
              <w:t xml:space="preserve">ידי </w:t>
            </w:r>
            <w:r w:rsidRPr="00573C67">
              <w:rPr>
                <w:rFonts w:ascii="David" w:eastAsia="Times New Roman" w:hAnsi="David"/>
                <w:sz w:val="26"/>
                <w:shd w:val="clear" w:color="auto" w:fill="FFFFFF"/>
                <w:rtl/>
              </w:rPr>
              <w:t>הקצאת משאבים מיוחדים</w:t>
            </w:r>
            <w:r w:rsidRPr="00E94498">
              <w:rPr>
                <w:rFonts w:ascii="David" w:eastAsia="Times New Roman" w:hAnsi="David"/>
                <w:sz w:val="26"/>
                <w:shd w:val="clear" w:color="auto" w:fill="FFFFFF"/>
                <w:rtl/>
              </w:rPr>
              <w:t>.</w:t>
            </w:r>
            <w:r>
              <w:rPr>
                <w:rFonts w:ascii="David" w:eastAsia="Times New Roman" w:hAnsi="David" w:hint="cs"/>
                <w:sz w:val="26"/>
                <w:shd w:val="clear" w:color="auto" w:fill="FFFFFF"/>
                <w:rtl/>
              </w:rPr>
              <w:t>"</w:t>
            </w:r>
          </w:p>
        </w:tc>
      </w:tr>
      <w:tr w:rsidR="00E87CA4" w14:paraId="54063534" w14:textId="77777777" w:rsidTr="002E4DF6">
        <w:trPr>
          <w:cantSplit/>
        </w:trPr>
        <w:tc>
          <w:tcPr>
            <w:tcW w:w="1870" w:type="dxa"/>
          </w:tcPr>
          <w:p w14:paraId="130C0283" w14:textId="77777777" w:rsidR="00E87CA4" w:rsidRDefault="00E87CA4" w:rsidP="00DB53B5">
            <w:pPr>
              <w:pStyle w:val="TableSideHeading"/>
              <w:keepLines w:val="0"/>
            </w:pPr>
            <w:r w:rsidRPr="00600E5D">
              <w:rPr>
                <w:rFonts w:hint="cs"/>
                <w:rtl/>
              </w:rPr>
              <w:t xml:space="preserve">הוספת </w:t>
            </w:r>
            <w:r>
              <w:rPr>
                <w:rFonts w:hint="cs"/>
                <w:rtl/>
              </w:rPr>
              <w:t>סעיף</w:t>
            </w:r>
            <w:r w:rsidRPr="00600E5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4 </w:t>
            </w:r>
          </w:p>
        </w:tc>
        <w:tc>
          <w:tcPr>
            <w:tcW w:w="624" w:type="dxa"/>
          </w:tcPr>
          <w:p w14:paraId="4EC90E64" w14:textId="77777777" w:rsidR="00E87CA4" w:rsidRDefault="00E87CA4" w:rsidP="00DB53B5">
            <w:pPr>
              <w:pStyle w:val="TableText"/>
              <w:keepLines w:val="0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  <w:gridSpan w:val="3"/>
          </w:tcPr>
          <w:p w14:paraId="1239F204" w14:textId="77777777" w:rsidR="00E87CA4" w:rsidRPr="00C34DE2" w:rsidRDefault="00E87CA4" w:rsidP="002E4DF6">
            <w:pPr>
              <w:pStyle w:val="TableBlock"/>
            </w:pPr>
            <w:r>
              <w:rPr>
                <w:rFonts w:hint="cs"/>
                <w:rtl/>
              </w:rPr>
              <w:t>אחרי סעיף 3 לחוק העיקרי יבוא:</w:t>
            </w:r>
          </w:p>
        </w:tc>
      </w:tr>
      <w:tr w:rsidR="00E87CA4" w:rsidRPr="00600E5D" w14:paraId="0FD881F0" w14:textId="77777777" w:rsidTr="002E4DF6">
        <w:trPr>
          <w:cantSplit/>
        </w:trPr>
        <w:tc>
          <w:tcPr>
            <w:tcW w:w="1870" w:type="dxa"/>
          </w:tcPr>
          <w:p w14:paraId="0D33FD1C" w14:textId="77777777" w:rsidR="00E87CA4" w:rsidRPr="00600E5D" w:rsidRDefault="00E87CA4" w:rsidP="00DB53B5">
            <w:pPr>
              <w:pStyle w:val="TableSideHeading"/>
            </w:pPr>
          </w:p>
        </w:tc>
        <w:tc>
          <w:tcPr>
            <w:tcW w:w="624" w:type="dxa"/>
          </w:tcPr>
          <w:p w14:paraId="1E81E042" w14:textId="77777777" w:rsidR="00E87CA4" w:rsidRPr="00600E5D" w:rsidRDefault="00E87CA4" w:rsidP="00DB53B5">
            <w:pPr>
              <w:pStyle w:val="TableText"/>
              <w:keepLines w:val="0"/>
            </w:pPr>
          </w:p>
        </w:tc>
        <w:tc>
          <w:tcPr>
            <w:tcW w:w="1871" w:type="dxa"/>
          </w:tcPr>
          <w:p w14:paraId="77850995" w14:textId="77777777" w:rsidR="00E87CA4" w:rsidRPr="00600E5D" w:rsidRDefault="00E87CA4" w:rsidP="00DB53B5">
            <w:pPr>
              <w:pStyle w:val="TableInnerSideHeading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Pr="00600E5D">
              <w:rPr>
                <w:rFonts w:hint="cs"/>
                <w:rtl/>
              </w:rPr>
              <w:t xml:space="preserve">יום לציון רמת הגולן </w:t>
            </w:r>
          </w:p>
        </w:tc>
        <w:tc>
          <w:tcPr>
            <w:tcW w:w="624" w:type="dxa"/>
          </w:tcPr>
          <w:p w14:paraId="45CD8F84" w14:textId="77777777" w:rsidR="00E87CA4" w:rsidRPr="00600E5D" w:rsidRDefault="00E87CA4" w:rsidP="00DB53B5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4648" w:type="dxa"/>
          </w:tcPr>
          <w:p w14:paraId="7A07947D" w14:textId="01C11AD3" w:rsidR="00E87CA4" w:rsidRPr="00600E5D" w:rsidRDefault="00E87CA4" w:rsidP="002E4DF6">
            <w:pPr>
              <w:pStyle w:val="TableBlock"/>
              <w:rPr>
                <w:rFonts w:ascii="David" w:eastAsia="Times New Roman" w:hAnsi="David"/>
                <w:sz w:val="26"/>
                <w:shd w:val="clear" w:color="auto" w:fill="FFFFFF"/>
                <w:rtl/>
              </w:rPr>
            </w:pPr>
            <w:r>
              <w:rPr>
                <w:rFonts w:ascii="David" w:eastAsia="Times New Roman" w:hAnsi="David" w:hint="cs"/>
                <w:sz w:val="26"/>
                <w:shd w:val="clear" w:color="auto" w:fill="FFFFFF"/>
                <w:rtl/>
              </w:rPr>
              <w:t>(א)</w:t>
            </w:r>
            <w:r>
              <w:rPr>
                <w:rFonts w:ascii="David" w:eastAsia="Times New Roman" w:hAnsi="David"/>
                <w:sz w:val="26"/>
                <w:shd w:val="clear" w:color="auto" w:fill="FFFFFF"/>
                <w:rtl/>
              </w:rPr>
              <w:tab/>
            </w:r>
            <w:r w:rsidRPr="00600E5D">
              <w:rPr>
                <w:rFonts w:ascii="David" w:eastAsia="Times New Roman" w:hAnsi="David"/>
                <w:sz w:val="26"/>
                <w:shd w:val="clear" w:color="auto" w:fill="FFFFFF"/>
                <w:rtl/>
              </w:rPr>
              <w:t xml:space="preserve">מדי שנה, ביום </w:t>
            </w:r>
            <w:r w:rsidRPr="00600E5D">
              <w:rPr>
                <w:rFonts w:ascii="David" w:eastAsia="Times New Roman" w:hAnsi="David" w:hint="cs"/>
                <w:sz w:val="26"/>
                <w:shd w:val="clear" w:color="auto" w:fill="FFFFFF"/>
                <w:rtl/>
              </w:rPr>
              <w:t>ו' בטבת</w:t>
            </w:r>
            <w:r w:rsidR="00043B67">
              <w:rPr>
                <w:rFonts w:ascii="David" w:eastAsia="Times New Roman" w:hAnsi="David" w:hint="cs"/>
                <w:sz w:val="26"/>
                <w:shd w:val="clear" w:color="auto" w:fill="FFFFFF"/>
                <w:rtl/>
              </w:rPr>
              <w:t>,</w:t>
            </w:r>
            <w:r w:rsidRPr="00600E5D">
              <w:rPr>
                <w:rFonts w:ascii="David" w:eastAsia="Times New Roman" w:hAnsi="David"/>
                <w:sz w:val="26"/>
                <w:shd w:val="clear" w:color="auto" w:fill="FFFFFF"/>
                <w:rtl/>
              </w:rPr>
              <w:t xml:space="preserve"> יקוים יום לציון </w:t>
            </w:r>
            <w:r w:rsidRPr="00600E5D">
              <w:rPr>
                <w:rFonts w:ascii="David" w:eastAsia="Times New Roman" w:hAnsi="David" w:hint="cs"/>
                <w:sz w:val="26"/>
                <w:shd w:val="clear" w:color="auto" w:fill="FFFFFF"/>
                <w:rtl/>
              </w:rPr>
              <w:t xml:space="preserve">רמת הגולן. </w:t>
            </w:r>
          </w:p>
        </w:tc>
      </w:tr>
      <w:tr w:rsidR="00E87CA4" w:rsidRPr="00600E5D" w14:paraId="072079AA" w14:textId="77777777" w:rsidTr="002E4DF6">
        <w:trPr>
          <w:cantSplit/>
        </w:trPr>
        <w:tc>
          <w:tcPr>
            <w:tcW w:w="1870" w:type="dxa"/>
          </w:tcPr>
          <w:p w14:paraId="7FFD97D8" w14:textId="77777777" w:rsidR="00E87CA4" w:rsidRPr="00600E5D" w:rsidRDefault="00E87CA4" w:rsidP="00DB53B5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3EB73A7F" w14:textId="77777777" w:rsidR="00E87CA4" w:rsidRPr="00600E5D" w:rsidRDefault="00E87CA4" w:rsidP="00DB53B5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1871" w:type="dxa"/>
          </w:tcPr>
          <w:p w14:paraId="164BEBE3" w14:textId="77777777" w:rsidR="00E87CA4" w:rsidRPr="00600E5D" w:rsidRDefault="00E87CA4" w:rsidP="00DB53B5">
            <w:pPr>
              <w:pStyle w:val="TableInnerSideHeading"/>
              <w:rPr>
                <w:rtl/>
              </w:rPr>
            </w:pPr>
          </w:p>
        </w:tc>
        <w:tc>
          <w:tcPr>
            <w:tcW w:w="624" w:type="dxa"/>
          </w:tcPr>
          <w:p w14:paraId="79A51D75" w14:textId="77777777" w:rsidR="00E87CA4" w:rsidRPr="00600E5D" w:rsidRDefault="00E87CA4" w:rsidP="00DB53B5">
            <w:pPr>
              <w:pStyle w:val="TableText"/>
              <w:rPr>
                <w:rtl/>
              </w:rPr>
            </w:pPr>
          </w:p>
        </w:tc>
        <w:tc>
          <w:tcPr>
            <w:tcW w:w="4648" w:type="dxa"/>
          </w:tcPr>
          <w:p w14:paraId="4E6801F9" w14:textId="77777777" w:rsidR="00E87CA4" w:rsidRPr="00600E5D" w:rsidRDefault="00E87CA4" w:rsidP="002E4DF6">
            <w:pPr>
              <w:pStyle w:val="TableBlock"/>
              <w:rPr>
                <w:rFonts w:ascii="David" w:eastAsia="Times New Roman" w:hAnsi="David"/>
                <w:sz w:val="26"/>
                <w:shd w:val="clear" w:color="auto" w:fill="FFFFFF"/>
                <w:rtl/>
              </w:rPr>
            </w:pPr>
            <w:r>
              <w:rPr>
                <w:rFonts w:ascii="David" w:eastAsia="Times New Roman" w:hAnsi="David" w:hint="cs"/>
                <w:sz w:val="26"/>
                <w:shd w:val="clear" w:color="auto" w:fill="FFFFFF"/>
                <w:rtl/>
              </w:rPr>
              <w:t>(ב)</w:t>
            </w:r>
            <w:r>
              <w:rPr>
                <w:rFonts w:ascii="David" w:eastAsia="Times New Roman" w:hAnsi="David"/>
                <w:sz w:val="26"/>
                <w:shd w:val="clear" w:color="auto" w:fill="FFFFFF"/>
                <w:rtl/>
              </w:rPr>
              <w:tab/>
            </w:r>
            <w:r w:rsidRPr="00600E5D">
              <w:rPr>
                <w:rFonts w:ascii="David" w:eastAsia="Times New Roman" w:hAnsi="David"/>
                <w:sz w:val="26"/>
                <w:shd w:val="clear" w:color="auto" w:fill="FFFFFF"/>
                <w:rtl/>
              </w:rPr>
              <w:t xml:space="preserve">חל </w:t>
            </w:r>
            <w:r w:rsidRPr="00600E5D">
              <w:rPr>
                <w:rFonts w:ascii="David" w:eastAsia="Times New Roman" w:hAnsi="David" w:hint="cs"/>
                <w:sz w:val="26"/>
                <w:shd w:val="clear" w:color="auto" w:fill="FFFFFF"/>
                <w:rtl/>
              </w:rPr>
              <w:t>ו' בטבת</w:t>
            </w:r>
            <w:r w:rsidRPr="00600E5D">
              <w:rPr>
                <w:rFonts w:ascii="David" w:eastAsia="Times New Roman" w:hAnsi="David"/>
                <w:sz w:val="26"/>
                <w:shd w:val="clear" w:color="auto" w:fill="FFFFFF"/>
                <w:rtl/>
              </w:rPr>
              <w:t xml:space="preserve"> ביום חג, מנוחה או שבתון, או ביום זיכרון או יום ציון ממלכתי, או ביום שלפני אחד הימים כאמור, יצוין יום לציון </w:t>
            </w:r>
            <w:r w:rsidRPr="00600E5D">
              <w:rPr>
                <w:rFonts w:ascii="David" w:eastAsia="Times New Roman" w:hAnsi="David" w:hint="cs"/>
                <w:sz w:val="26"/>
                <w:shd w:val="clear" w:color="auto" w:fill="FFFFFF"/>
                <w:rtl/>
              </w:rPr>
              <w:t>רמת הגולן</w:t>
            </w:r>
            <w:r w:rsidRPr="00600E5D">
              <w:rPr>
                <w:rFonts w:ascii="David" w:eastAsia="Times New Roman" w:hAnsi="David"/>
                <w:sz w:val="26"/>
                <w:shd w:val="clear" w:color="auto" w:fill="FFFFFF"/>
                <w:rtl/>
              </w:rPr>
              <w:t xml:space="preserve"> ביום שלישי בשבוע שלאחר מכן.</w:t>
            </w:r>
            <w:r>
              <w:rPr>
                <w:rFonts w:ascii="David" w:eastAsia="Times New Roman" w:hAnsi="David" w:hint="cs"/>
                <w:sz w:val="26"/>
                <w:shd w:val="clear" w:color="auto" w:fill="FFFFFF"/>
                <w:rtl/>
              </w:rPr>
              <w:t>"</w:t>
            </w:r>
          </w:p>
        </w:tc>
      </w:tr>
    </w:tbl>
    <w:p w14:paraId="03E817D3" w14:textId="77777777" w:rsidR="00E87CA4" w:rsidRPr="00600E5D" w:rsidRDefault="00E87CA4" w:rsidP="00E87CA4">
      <w:pPr>
        <w:pStyle w:val="HeadDivreiHesber"/>
        <w:spacing w:before="0" w:after="0"/>
        <w:rPr>
          <w:rtl/>
        </w:rPr>
      </w:pPr>
    </w:p>
    <w:p w14:paraId="79E69B71" w14:textId="77777777" w:rsidR="00E87CA4" w:rsidRPr="00600E5D" w:rsidRDefault="00E87CA4" w:rsidP="00E87CA4">
      <w:pPr>
        <w:pStyle w:val="HeadDivreiHesber"/>
        <w:rPr>
          <w:rtl/>
        </w:rPr>
      </w:pPr>
      <w:r w:rsidRPr="00600E5D">
        <w:rPr>
          <w:rFonts w:hint="cs"/>
          <w:rtl/>
        </w:rPr>
        <w:t>דברי הסבר</w:t>
      </w:r>
    </w:p>
    <w:p w14:paraId="1EE63B2F" w14:textId="77777777" w:rsidR="00E87CA4" w:rsidRPr="00761C1F" w:rsidRDefault="00E87CA4" w:rsidP="00E87CA4">
      <w:pPr>
        <w:pStyle w:val="Hesber1st"/>
        <w:tabs>
          <w:tab w:val="clear" w:pos="680"/>
        </w:tabs>
        <w:rPr>
          <w:rtl/>
        </w:rPr>
      </w:pPr>
      <w:r w:rsidRPr="00761C1F">
        <w:rPr>
          <w:rtl/>
        </w:rPr>
        <w:t xml:space="preserve">רמת הגולן מהווה מרכיב מהותי בחוסנה הלאומי של מדינת ישראל, בזכות חשיבותה הביטחונית, האסטרטגית, ההיסטורית והכלכלית. </w:t>
      </w:r>
      <w:r w:rsidRPr="00761C1F">
        <w:rPr>
          <w:rFonts w:hint="cs"/>
          <w:rtl/>
        </w:rPr>
        <w:t>רמת הגולן</w:t>
      </w:r>
      <w:r w:rsidRPr="00761C1F">
        <w:rPr>
          <w:rtl/>
        </w:rPr>
        <w:t xml:space="preserve"> כולל</w:t>
      </w:r>
      <w:r w:rsidRPr="00761C1F">
        <w:rPr>
          <w:rFonts w:hint="cs"/>
          <w:rtl/>
        </w:rPr>
        <w:t>ת</w:t>
      </w:r>
      <w:r w:rsidRPr="00761C1F">
        <w:rPr>
          <w:rtl/>
        </w:rPr>
        <w:t xml:space="preserve"> אתרי מורשת לאומיים וארכיאולוגי</w:t>
      </w:r>
      <w:r w:rsidRPr="00E20F7F">
        <w:rPr>
          <w:rFonts w:hint="cs"/>
          <w:rtl/>
        </w:rPr>
        <w:t>י</w:t>
      </w:r>
      <w:r w:rsidRPr="00E20F7F">
        <w:rPr>
          <w:rtl/>
        </w:rPr>
        <w:t>ם</w:t>
      </w:r>
      <w:r w:rsidRPr="00E20F7F">
        <w:rPr>
          <w:rFonts w:hint="cs"/>
          <w:rtl/>
        </w:rPr>
        <w:t>,</w:t>
      </w:r>
      <w:r w:rsidRPr="00E20F7F">
        <w:rPr>
          <w:rtl/>
        </w:rPr>
        <w:t xml:space="preserve"> </w:t>
      </w:r>
      <w:r w:rsidRPr="00E20F7F">
        <w:rPr>
          <w:rFonts w:hint="cs"/>
          <w:rtl/>
        </w:rPr>
        <w:t xml:space="preserve">מרחבי </w:t>
      </w:r>
      <w:r w:rsidRPr="00761C1F">
        <w:rPr>
          <w:rtl/>
        </w:rPr>
        <w:t xml:space="preserve">חקלאות </w:t>
      </w:r>
      <w:r w:rsidRPr="00761C1F">
        <w:rPr>
          <w:rFonts w:hint="eastAsia"/>
          <w:rtl/>
        </w:rPr>
        <w:t>ובתי</w:t>
      </w:r>
      <w:r w:rsidRPr="00761C1F">
        <w:rPr>
          <w:rtl/>
        </w:rPr>
        <w:t xml:space="preserve"> </w:t>
      </w:r>
      <w:r w:rsidRPr="00761C1F">
        <w:rPr>
          <w:rFonts w:hint="eastAsia"/>
          <w:rtl/>
        </w:rPr>
        <w:t>עסקים</w:t>
      </w:r>
      <w:r w:rsidRPr="00761C1F">
        <w:rPr>
          <w:rtl/>
        </w:rPr>
        <w:t xml:space="preserve"> בהתפתחות מתמדת, לצד קיומם של מקורות מים חיוניים.  </w:t>
      </w:r>
    </w:p>
    <w:p w14:paraId="01793ABE" w14:textId="51B0F95F" w:rsidR="00E87CA4" w:rsidRDefault="00E87CA4" w:rsidP="00E87CA4">
      <w:pPr>
        <w:pStyle w:val="Hesber"/>
        <w:rPr>
          <w:rtl/>
        </w:rPr>
      </w:pPr>
      <w:r w:rsidRPr="00600E5D">
        <w:rPr>
          <w:rFonts w:hint="cs"/>
          <w:rtl/>
        </w:rPr>
        <w:t>לכן,</w:t>
      </w:r>
      <w:r w:rsidRPr="00600E5D">
        <w:rPr>
          <w:rtl/>
        </w:rPr>
        <w:t xml:space="preserve"> </w:t>
      </w:r>
      <w:r>
        <w:rPr>
          <w:rFonts w:hint="cs"/>
          <w:rtl/>
        </w:rPr>
        <w:t>ה</w:t>
      </w:r>
      <w:r w:rsidRPr="00600E5D">
        <w:rPr>
          <w:rFonts w:hint="cs"/>
          <w:rtl/>
        </w:rPr>
        <w:t>תיקון</w:t>
      </w:r>
      <w:r>
        <w:rPr>
          <w:rFonts w:hint="cs"/>
          <w:rtl/>
        </w:rPr>
        <w:t xml:space="preserve"> המוצע</w:t>
      </w:r>
      <w:r w:rsidRPr="00600E5D">
        <w:rPr>
          <w:rFonts w:hint="cs"/>
          <w:rtl/>
        </w:rPr>
        <w:t xml:space="preserve"> לחוק רמת הגולן</w:t>
      </w:r>
      <w:r w:rsidR="00043B67">
        <w:rPr>
          <w:rFonts w:hint="cs"/>
          <w:rtl/>
        </w:rPr>
        <w:t>, התשמ"ב</w:t>
      </w:r>
      <w:r w:rsidR="00043B67">
        <w:rPr>
          <w:rFonts w:hint="eastAsia"/>
          <w:rtl/>
        </w:rPr>
        <w:t>–</w:t>
      </w:r>
      <w:r w:rsidR="00043B67">
        <w:rPr>
          <w:rFonts w:hint="cs"/>
          <w:rtl/>
        </w:rPr>
        <w:t>1981,</w:t>
      </w:r>
      <w:r w:rsidRPr="00600E5D">
        <w:rPr>
          <w:rFonts w:hint="cs"/>
          <w:rtl/>
        </w:rPr>
        <w:t xml:space="preserve"> נועד</w:t>
      </w:r>
      <w:r w:rsidRPr="00600E5D">
        <w:rPr>
          <w:rtl/>
        </w:rPr>
        <w:t xml:space="preserve"> לעגן את מעמדה של רמת הגולן</w:t>
      </w:r>
      <w:r w:rsidRPr="00600E5D">
        <w:rPr>
          <w:rFonts w:hint="cs"/>
          <w:rtl/>
        </w:rPr>
        <w:t>, לבטא את</w:t>
      </w:r>
      <w:r w:rsidRPr="00600E5D">
        <w:rPr>
          <w:rtl/>
        </w:rPr>
        <w:t xml:space="preserve"> מחויבותה הלאומית של מדינת ישראל להבטיח את שלמותה הטריטוריאלית, לחזק את ביטחונה, ולקדם את פיתוחו ושגשוגו של </w:t>
      </w:r>
      <w:r>
        <w:rPr>
          <w:rFonts w:hint="cs"/>
          <w:rtl/>
        </w:rPr>
        <w:t>חבל ארץ</w:t>
      </w:r>
      <w:r w:rsidRPr="00600E5D">
        <w:rPr>
          <w:rFonts w:hint="cs"/>
          <w:rtl/>
        </w:rPr>
        <w:t xml:space="preserve"> זה החשוב </w:t>
      </w:r>
      <w:r w:rsidRPr="00600E5D">
        <w:rPr>
          <w:rtl/>
        </w:rPr>
        <w:t>לעתידה של המדינה</w:t>
      </w:r>
      <w:r>
        <w:rPr>
          <w:rFonts w:hint="cs"/>
          <w:rtl/>
        </w:rPr>
        <w:t xml:space="preserve">. </w:t>
      </w:r>
      <w:r w:rsidRPr="00600E5D">
        <w:rPr>
          <w:rFonts w:hint="cs"/>
          <w:rtl/>
        </w:rPr>
        <w:t xml:space="preserve">בנוסף, </w:t>
      </w:r>
      <w:r>
        <w:rPr>
          <w:rFonts w:hint="cs"/>
          <w:rtl/>
        </w:rPr>
        <w:t>מוצע</w:t>
      </w:r>
      <w:r w:rsidRPr="00600E5D">
        <w:rPr>
          <w:rFonts w:hint="cs"/>
          <w:rtl/>
        </w:rPr>
        <w:t xml:space="preserve"> </w:t>
      </w:r>
      <w:r>
        <w:rPr>
          <w:rFonts w:ascii="David" w:eastAsia="Times New Roman" w:hAnsi="David" w:hint="cs"/>
          <w:sz w:val="26"/>
          <w:shd w:val="clear" w:color="auto" w:fill="FFFFFF"/>
          <w:rtl/>
        </w:rPr>
        <w:t xml:space="preserve">כי </w:t>
      </w:r>
      <w:r w:rsidRPr="00600E5D">
        <w:rPr>
          <w:rFonts w:ascii="David" w:eastAsia="Times New Roman" w:hAnsi="David"/>
          <w:sz w:val="26"/>
          <w:shd w:val="clear" w:color="auto" w:fill="FFFFFF"/>
          <w:rtl/>
        </w:rPr>
        <w:t xml:space="preserve">מדי שנה, ביום </w:t>
      </w:r>
      <w:r w:rsidRPr="00600E5D">
        <w:rPr>
          <w:rFonts w:ascii="David" w:eastAsia="Times New Roman" w:hAnsi="David" w:hint="cs"/>
          <w:sz w:val="26"/>
          <w:shd w:val="clear" w:color="auto" w:fill="FFFFFF"/>
          <w:rtl/>
        </w:rPr>
        <w:t>ו' בטבת</w:t>
      </w:r>
      <w:r w:rsidR="00043B67">
        <w:rPr>
          <w:rFonts w:ascii="David" w:eastAsia="Times New Roman" w:hAnsi="David" w:hint="cs"/>
          <w:sz w:val="26"/>
          <w:shd w:val="clear" w:color="auto" w:fill="FFFFFF"/>
          <w:rtl/>
        </w:rPr>
        <w:t>,</w:t>
      </w:r>
      <w:bookmarkStart w:id="8" w:name="_GoBack"/>
      <w:bookmarkEnd w:id="8"/>
      <w:r w:rsidRPr="00600E5D">
        <w:rPr>
          <w:rFonts w:ascii="David" w:eastAsia="Times New Roman" w:hAnsi="David"/>
          <w:sz w:val="26"/>
          <w:shd w:val="clear" w:color="auto" w:fill="FFFFFF"/>
          <w:rtl/>
        </w:rPr>
        <w:t xml:space="preserve"> יקוים יום לציון </w:t>
      </w:r>
      <w:r w:rsidRPr="00600E5D">
        <w:rPr>
          <w:rFonts w:ascii="David" w:eastAsia="Times New Roman" w:hAnsi="David" w:hint="cs"/>
          <w:sz w:val="26"/>
          <w:shd w:val="clear" w:color="auto" w:fill="FFFFFF"/>
          <w:rtl/>
        </w:rPr>
        <w:t>רמת הגולן</w:t>
      </w:r>
      <w:r>
        <w:rPr>
          <w:rFonts w:ascii="David" w:eastAsia="Times New Roman" w:hAnsi="David" w:hint="cs"/>
          <w:sz w:val="26"/>
          <w:shd w:val="clear" w:color="auto" w:fill="FFFFFF"/>
          <w:rtl/>
        </w:rPr>
        <w:t xml:space="preserve">, </w:t>
      </w:r>
      <w:r w:rsidRPr="00F13C26">
        <w:rPr>
          <w:rFonts w:ascii="David" w:eastAsia="Times New Roman" w:hAnsi="David" w:hint="eastAsia"/>
          <w:sz w:val="26"/>
          <w:shd w:val="clear" w:color="auto" w:fill="FFFFFF"/>
          <w:rtl/>
        </w:rPr>
        <w:t>יום</w:t>
      </w:r>
      <w:r w:rsidRPr="00F13C26">
        <w:rPr>
          <w:rFonts w:ascii="David" w:eastAsia="Times New Roman" w:hAnsi="David"/>
          <w:sz w:val="26"/>
          <w:shd w:val="clear" w:color="auto" w:fill="FFFFFF"/>
          <w:rtl/>
        </w:rPr>
        <w:t xml:space="preserve"> </w:t>
      </w:r>
      <w:r w:rsidRPr="00F13C26">
        <w:rPr>
          <w:rFonts w:ascii="David" w:eastAsia="Times New Roman" w:hAnsi="David" w:hint="eastAsia"/>
          <w:sz w:val="26"/>
          <w:shd w:val="clear" w:color="auto" w:fill="FFFFFF"/>
          <w:rtl/>
        </w:rPr>
        <w:t>הכרזת</w:t>
      </w:r>
      <w:r w:rsidRPr="00F13C26">
        <w:rPr>
          <w:rFonts w:ascii="David" w:eastAsia="Times New Roman" w:hAnsi="David"/>
          <w:sz w:val="26"/>
          <w:shd w:val="clear" w:color="auto" w:fill="FFFFFF"/>
          <w:rtl/>
        </w:rPr>
        <w:t xml:space="preserve"> </w:t>
      </w:r>
      <w:r w:rsidRPr="00F13C26">
        <w:rPr>
          <w:rFonts w:ascii="David" w:eastAsia="Times New Roman" w:hAnsi="David" w:hint="eastAsia"/>
          <w:sz w:val="26"/>
          <w:shd w:val="clear" w:color="auto" w:fill="FFFFFF"/>
          <w:rtl/>
        </w:rPr>
        <w:t>הריבונות</w:t>
      </w:r>
      <w:r w:rsidRPr="00F13C26">
        <w:rPr>
          <w:rFonts w:ascii="David" w:eastAsia="Times New Roman" w:hAnsi="David"/>
          <w:sz w:val="26"/>
          <w:shd w:val="clear" w:color="auto" w:fill="FFFFFF"/>
          <w:rtl/>
        </w:rPr>
        <w:t xml:space="preserve"> </w:t>
      </w:r>
      <w:r w:rsidRPr="00F13C26">
        <w:rPr>
          <w:rFonts w:ascii="David" w:eastAsia="Times New Roman" w:hAnsi="David" w:hint="eastAsia"/>
          <w:sz w:val="26"/>
          <w:shd w:val="clear" w:color="auto" w:fill="FFFFFF"/>
          <w:rtl/>
        </w:rPr>
        <w:t>על</w:t>
      </w:r>
      <w:r w:rsidRPr="00F13C26">
        <w:rPr>
          <w:rFonts w:ascii="David" w:eastAsia="Times New Roman" w:hAnsi="David"/>
          <w:sz w:val="26"/>
          <w:shd w:val="clear" w:color="auto" w:fill="FFFFFF"/>
          <w:rtl/>
        </w:rPr>
        <w:t xml:space="preserve"> </w:t>
      </w:r>
      <w:r w:rsidRPr="00F13C26">
        <w:rPr>
          <w:rFonts w:ascii="David" w:eastAsia="Times New Roman" w:hAnsi="David" w:hint="eastAsia"/>
          <w:sz w:val="26"/>
          <w:shd w:val="clear" w:color="auto" w:fill="FFFFFF"/>
          <w:rtl/>
        </w:rPr>
        <w:t>רמת</w:t>
      </w:r>
      <w:r w:rsidRPr="00F13C26">
        <w:rPr>
          <w:rFonts w:ascii="David" w:eastAsia="Times New Roman" w:hAnsi="David"/>
          <w:sz w:val="26"/>
          <w:shd w:val="clear" w:color="auto" w:fill="FFFFFF"/>
          <w:rtl/>
        </w:rPr>
        <w:t xml:space="preserve"> </w:t>
      </w:r>
      <w:r w:rsidRPr="00F13C26">
        <w:rPr>
          <w:rFonts w:ascii="David" w:eastAsia="Times New Roman" w:hAnsi="David" w:hint="eastAsia"/>
          <w:sz w:val="26"/>
          <w:shd w:val="clear" w:color="auto" w:fill="FFFFFF"/>
          <w:rtl/>
        </w:rPr>
        <w:t>הגולן</w:t>
      </w:r>
      <w:r w:rsidRPr="00F13C26">
        <w:rPr>
          <w:rFonts w:ascii="David" w:eastAsia="Times New Roman" w:hAnsi="David"/>
          <w:sz w:val="26"/>
          <w:shd w:val="clear" w:color="auto" w:fill="FFFFFF"/>
          <w:rtl/>
        </w:rPr>
        <w:t>.</w:t>
      </w:r>
      <w:r>
        <w:rPr>
          <w:rFonts w:ascii="David" w:eastAsia="Times New Roman" w:hAnsi="David" w:hint="cs"/>
          <w:sz w:val="26"/>
          <w:shd w:val="clear" w:color="auto" w:fill="FFFFFF"/>
          <w:rtl/>
        </w:rPr>
        <w:t xml:space="preserve"> </w:t>
      </w:r>
    </w:p>
    <w:p w14:paraId="7F6961CB" w14:textId="77777777" w:rsidR="00E13C27" w:rsidRDefault="00E13C27" w:rsidP="009B29F2">
      <w:pPr>
        <w:pStyle w:val="HeadDivreiHesber"/>
        <w:spacing w:before="0" w:after="0"/>
        <w:rPr>
          <w:rtl/>
        </w:rPr>
      </w:pPr>
    </w:p>
    <w:p w14:paraId="679149CE" w14:textId="77777777" w:rsidR="00CF57FC" w:rsidRDefault="002E4DF6">
      <w:pPr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4BC948B0" w14:textId="77777777" w:rsidR="00CF57FC" w:rsidRDefault="002E4DF6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03F67483" w14:textId="77777777" w:rsidR="00CF57FC" w:rsidRDefault="002E4DF6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20E080A3" w14:textId="77777777" w:rsidR="00CF57FC" w:rsidRDefault="002E4DF6">
      <w:pPr>
        <w:jc w:val="left"/>
      </w:pPr>
      <w:r>
        <w:rPr>
          <w:rFonts w:eastAsia="David" w:hint="cs"/>
          <w:sz w:val="26"/>
          <w:szCs w:val="26"/>
          <w:rtl/>
        </w:rPr>
        <w:t xml:space="preserve">ב' בניסן התשפ"ה (31.03.2025) </w:t>
      </w:r>
    </w:p>
    <w:p w14:paraId="366F515E" w14:textId="77777777" w:rsidR="00CF57FC" w:rsidRDefault="00CF57FC">
      <w:pPr>
        <w:spacing w:line="276" w:lineRule="auto"/>
        <w:jc w:val="left"/>
      </w:pPr>
    </w:p>
    <w:sectPr w:rsidR="00CF57FC" w:rsidSect="002E4DF6">
      <w:footerReference w:type="even" r:id="rId11"/>
      <w:footerReference w:type="default" r:id="rId12"/>
      <w:pgSz w:w="11907" w:h="16840" w:code="9"/>
      <w:pgMar w:top="1701" w:right="1134" w:bottom="1135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6DB27A68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043B67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 w:rsidP="002E4DF6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22CF3523" w14:textId="77777777" w:rsidR="00E87CA4" w:rsidRDefault="00E87CA4" w:rsidP="00E87CA4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התשמ"ב, עמ' 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43B6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E4DF6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B0BC6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B29F2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CF57FC"/>
    <w:rsid w:val="00D142D3"/>
    <w:rsid w:val="00D17774"/>
    <w:rsid w:val="00D36951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87CA4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CDFE0806-3567-4CF9-9757-829FFC51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F6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4DF6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2E4DF6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2E4DF6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2E4DF6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E4DF6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2E4DF6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2E4DF6"/>
    <w:rPr>
      <w:sz w:val="36"/>
      <w:szCs w:val="52"/>
    </w:rPr>
  </w:style>
  <w:style w:type="paragraph" w:customStyle="1" w:styleId="Cover3-Haknesset">
    <w:name w:val="Cover 3-Haknesset"/>
    <w:basedOn w:val="Cover1-Reshumot"/>
    <w:rsid w:val="002E4DF6"/>
    <w:rPr>
      <w:b/>
      <w:bCs/>
      <w:spacing w:val="60"/>
    </w:rPr>
  </w:style>
  <w:style w:type="paragraph" w:customStyle="1" w:styleId="Cover4-Date">
    <w:name w:val="Cover 4-Date"/>
    <w:basedOn w:val="a"/>
    <w:rsid w:val="002E4DF6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2E4DF6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2E4DF6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2E4DF6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2E4DF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2E4DF6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2E4DF6"/>
    <w:pPr>
      <w:outlineLvl w:val="2"/>
    </w:pPr>
  </w:style>
  <w:style w:type="paragraph" w:customStyle="1" w:styleId="TableBlock">
    <w:name w:val="Table Block"/>
    <w:basedOn w:val="TableText"/>
    <w:rsid w:val="002E4DF6"/>
    <w:pPr>
      <w:jc w:val="both"/>
    </w:pPr>
  </w:style>
  <w:style w:type="paragraph" w:customStyle="1" w:styleId="TableHead">
    <w:name w:val="Table Head"/>
    <w:basedOn w:val="TableText"/>
    <w:rsid w:val="002E4DF6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2E4DF6"/>
    <w:pPr>
      <w:outlineLvl w:val="9"/>
    </w:pPr>
  </w:style>
  <w:style w:type="paragraph" w:customStyle="1" w:styleId="Hesber">
    <w:name w:val="Hesber"/>
    <w:basedOn w:val="a"/>
    <w:rsid w:val="002E4DF6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2E4DF6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2E4DF6"/>
    <w:rPr>
      <w:vertAlign w:val="superscript"/>
    </w:rPr>
  </w:style>
  <w:style w:type="paragraph" w:customStyle="1" w:styleId="HesberHeading">
    <w:name w:val="Hesber Heading"/>
    <w:basedOn w:val="Hesber"/>
    <w:rsid w:val="002E4DF6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2E4DF6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2E4DF6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2E4DF6"/>
    <w:rPr>
      <w:vertAlign w:val="superscript"/>
    </w:rPr>
  </w:style>
  <w:style w:type="paragraph" w:customStyle="1" w:styleId="TableBlockOutdent">
    <w:name w:val="Table BlockOutdent"/>
    <w:basedOn w:val="TableBlock"/>
    <w:rsid w:val="002E4DF6"/>
    <w:pPr>
      <w:ind w:left="624" w:hanging="624"/>
    </w:pPr>
  </w:style>
  <w:style w:type="paragraph" w:styleId="a8">
    <w:name w:val="header"/>
    <w:basedOn w:val="a"/>
    <w:rsid w:val="002E4DF6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E4DF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2E4DF6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2E4DF6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2E4DF6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E87CA4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2E4DF6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2E4DF6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2E4DF6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2E4DF6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2E4DF6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2E4DF6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2E4DF6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2E4DF6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2E4DF6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2E4DF6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2E4DF6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2E4DF6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2E4DF6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2E4DF6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2E4DF6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2E4DF6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2E4DF6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2E4DF6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2E4DF6"/>
    <w:rPr>
      <w:rFonts w:eastAsia="Times New Roman"/>
    </w:rPr>
  </w:style>
  <w:style w:type="paragraph" w:styleId="af">
    <w:name w:val="List Paragraph"/>
    <w:basedOn w:val="a"/>
    <w:uiPriority w:val="34"/>
    <w:qFormat/>
    <w:rsid w:val="002E4DF6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2E4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2E4DF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2E4DF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2E4DF6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2E4DF6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290d5b49-c690-4c6f-bbb9-1e50dab33eee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8361BBC-EDEE-4516-9F41-538F18AB7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B1F07-B08B-44BA-AEBD-D6357685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442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מצדה מצלאוי דוד</cp:lastModifiedBy>
  <cp:revision>18</cp:revision>
  <cp:lastPrinted>2025-03-27T12:26:00Z</cp:lastPrinted>
  <dcterms:created xsi:type="dcterms:W3CDTF">2015-04-20T09:58:00Z</dcterms:created>
  <dcterms:modified xsi:type="dcterms:W3CDTF">2025-03-30T06:23:00Z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2229950</vt:r8>
  </property>
</Properties>
</file>