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2227423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2ED19BD6" w:rsidR="00E13C27" w:rsidRPr="00CF1AA2" w:rsidRDefault="008F6665" w:rsidP="005F1316">
      <w:pPr>
        <w:pStyle w:val="David"/>
        <w:spacing w:before="102"/>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משה טור פז</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6F461953" w:rsidR="00E13C27" w:rsidRDefault="00904591" w:rsidP="005F1316">
      <w:pPr>
        <w:pStyle w:val="David"/>
        <w:spacing w:line="240" w:lineRule="auto"/>
        <w:ind w:left="6424" w:firstLine="56"/>
        <w:rPr>
          <w:rtl/>
        </w:rPr>
      </w:pPr>
      <w:bookmarkStart w:id="6" w:name="Private_Number"/>
      <w:r>
        <w:rPr>
          <w:rFonts w:hint="cs"/>
          <w:rtl/>
        </w:rPr>
        <w:t>פ/5407/25</w:t>
      </w:r>
      <w:bookmarkEnd w:id="6"/>
    </w:p>
    <w:p w14:paraId="7F6961AD" w14:textId="77777777" w:rsidR="00E13C27" w:rsidRPr="00F67051" w:rsidRDefault="00A443CF" w:rsidP="0021633A">
      <w:pPr>
        <w:pStyle w:val="HeadHatzaotHok"/>
        <w:rPr>
          <w:rtl/>
        </w:rPr>
      </w:pPr>
      <w:bookmarkStart w:id="7" w:name="LGS_Subject"/>
      <w:r>
        <w:rPr>
          <w:rFonts w:hint="cs"/>
          <w:rtl/>
        </w:rPr>
        <w:t>הצעת חוק לתיקון פקודת מס הכנסה (פטור ממס למשרת מילואים פעיל) (הוראת שעה – חרבות ברזל), התשפ"ה–2025</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303B16" w:rsidRPr="003657B1" w14:paraId="3574827C" w14:textId="77777777" w:rsidTr="005F1316">
        <w:trPr>
          <w:cantSplit/>
        </w:trPr>
        <w:tc>
          <w:tcPr>
            <w:tcW w:w="1871" w:type="dxa"/>
          </w:tcPr>
          <w:p w14:paraId="41A50054" w14:textId="77777777" w:rsidR="00303B16" w:rsidRDefault="00303B16" w:rsidP="00403A85">
            <w:pPr>
              <w:pStyle w:val="TableSideHeading"/>
              <w:keepLines w:val="0"/>
              <w:rPr>
                <w:rtl/>
              </w:rPr>
            </w:pPr>
            <w:r>
              <w:rPr>
                <w:rFonts w:hint="cs"/>
                <w:rtl/>
              </w:rPr>
              <w:t xml:space="preserve">תיקון סעיף 9 </w:t>
            </w:r>
            <w:r>
              <w:rPr>
                <w:rtl/>
              </w:rPr>
              <w:t xml:space="preserve"> </w:t>
            </w:r>
          </w:p>
        </w:tc>
        <w:tc>
          <w:tcPr>
            <w:tcW w:w="624" w:type="dxa"/>
          </w:tcPr>
          <w:p w14:paraId="720A7D51" w14:textId="77777777" w:rsidR="00303B16" w:rsidRDefault="00303B16" w:rsidP="00403A85">
            <w:pPr>
              <w:pStyle w:val="TableText"/>
              <w:tabs>
                <w:tab w:val="clear" w:pos="624"/>
                <w:tab w:val="clear" w:pos="1247"/>
              </w:tabs>
              <w:jc w:val="both"/>
              <w:rPr>
                <w:rtl/>
              </w:rPr>
            </w:pPr>
            <w:r>
              <w:rPr>
                <w:rFonts w:hint="cs"/>
                <w:rtl/>
              </w:rPr>
              <w:t>1.</w:t>
            </w:r>
            <w:r>
              <w:rPr>
                <w:rtl/>
              </w:rPr>
              <w:t xml:space="preserve">   </w:t>
            </w:r>
          </w:p>
        </w:tc>
        <w:tc>
          <w:tcPr>
            <w:tcW w:w="7143" w:type="dxa"/>
          </w:tcPr>
          <w:p w14:paraId="17766E5C" w14:textId="77777777" w:rsidR="00303B16" w:rsidRPr="003657B1" w:rsidRDefault="00303B16" w:rsidP="005F1316">
            <w:pPr>
              <w:pStyle w:val="TableBlock"/>
              <w:rPr>
                <w:rtl/>
              </w:rPr>
            </w:pPr>
            <w:r>
              <w:rPr>
                <w:rFonts w:hint="cs"/>
                <w:rtl/>
              </w:rPr>
              <w:t>בפקודת מס הכנסה</w:t>
            </w:r>
            <w:r w:rsidRPr="005F1316">
              <w:rPr>
                <w:rStyle w:val="a6"/>
                <w:rFonts w:ascii="David" w:hAnsi="David"/>
                <w:sz w:val="26"/>
                <w:rtl/>
              </w:rPr>
              <w:footnoteReference w:id="2"/>
            </w:r>
            <w:r>
              <w:rPr>
                <w:rFonts w:hint="cs"/>
                <w:rtl/>
              </w:rPr>
              <w:t>, בסעיף 9, אחרי פסקה (6ח) יבוא:</w:t>
            </w:r>
          </w:p>
        </w:tc>
      </w:tr>
      <w:tr w:rsidR="00303B16" w:rsidRPr="003657B1" w14:paraId="610FA338" w14:textId="77777777" w:rsidTr="005F1316">
        <w:trPr>
          <w:cantSplit/>
        </w:trPr>
        <w:tc>
          <w:tcPr>
            <w:tcW w:w="1871" w:type="dxa"/>
          </w:tcPr>
          <w:p w14:paraId="51BE9853" w14:textId="77777777" w:rsidR="00303B16" w:rsidRDefault="00303B16" w:rsidP="00403A85">
            <w:pPr>
              <w:pStyle w:val="TableSideHeading"/>
              <w:keepLines w:val="0"/>
              <w:rPr>
                <w:rtl/>
              </w:rPr>
            </w:pPr>
          </w:p>
        </w:tc>
        <w:tc>
          <w:tcPr>
            <w:tcW w:w="624" w:type="dxa"/>
          </w:tcPr>
          <w:p w14:paraId="17E69AB8" w14:textId="77777777" w:rsidR="00303B16" w:rsidRPr="006D1828" w:rsidRDefault="00303B16" w:rsidP="00403A85">
            <w:pPr>
              <w:pStyle w:val="TableText"/>
              <w:jc w:val="both"/>
              <w:rPr>
                <w:rtl/>
              </w:rPr>
            </w:pPr>
          </w:p>
        </w:tc>
        <w:tc>
          <w:tcPr>
            <w:tcW w:w="7143" w:type="dxa"/>
          </w:tcPr>
          <w:p w14:paraId="04CA5446" w14:textId="77777777" w:rsidR="00303B16" w:rsidRDefault="00303B16" w:rsidP="005F1316">
            <w:pPr>
              <w:pStyle w:val="TableBlock"/>
              <w:tabs>
                <w:tab w:val="left" w:pos="624"/>
                <w:tab w:val="left" w:pos="1247"/>
              </w:tabs>
              <w:rPr>
                <w:rtl/>
              </w:rPr>
            </w:pPr>
            <w:r>
              <w:rPr>
                <w:rFonts w:hint="cs"/>
                <w:rtl/>
              </w:rPr>
              <w:t>"(6ט)</w:t>
            </w:r>
            <w:r>
              <w:rPr>
                <w:rtl/>
              </w:rPr>
              <w:tab/>
            </w:r>
            <w:r>
              <w:rPr>
                <w:rFonts w:hint="cs"/>
                <w:rtl/>
              </w:rPr>
              <w:t>תגמול למשרת מילואים פעיל, לפי פרק י"ב לחוק הביטוח הלאומי [נוסח משולב], התשנ"ה</w:t>
            </w:r>
            <w:r>
              <w:rPr>
                <w:rFonts w:hint="eastAsia"/>
                <w:rtl/>
              </w:rPr>
              <w:t>–</w:t>
            </w:r>
            <w:r>
              <w:rPr>
                <w:rFonts w:hint="cs"/>
                <w:rtl/>
              </w:rPr>
              <w:t>1995</w:t>
            </w:r>
            <w:r w:rsidRPr="005F1316">
              <w:rPr>
                <w:rStyle w:val="a6"/>
                <w:rFonts w:ascii="David" w:hAnsi="David"/>
                <w:sz w:val="26"/>
                <w:rtl/>
              </w:rPr>
              <w:footnoteReference w:id="3"/>
            </w:r>
            <w:r>
              <w:rPr>
                <w:rFonts w:hint="cs"/>
                <w:rtl/>
              </w:rPr>
              <w:t>, וכמשמעותו בחוק שירות המילואים,  התשס"ח</w:t>
            </w:r>
            <w:r>
              <w:rPr>
                <w:rFonts w:hint="eastAsia"/>
                <w:rtl/>
              </w:rPr>
              <w:t>–</w:t>
            </w:r>
            <w:r>
              <w:rPr>
                <w:rFonts w:hint="cs"/>
                <w:rtl/>
              </w:rPr>
              <w:t>2008</w:t>
            </w:r>
            <w:r w:rsidRPr="005F1316">
              <w:rPr>
                <w:rStyle w:val="a6"/>
                <w:rFonts w:ascii="David" w:hAnsi="David"/>
                <w:sz w:val="26"/>
                <w:rtl/>
              </w:rPr>
              <w:footnoteReference w:id="4"/>
            </w:r>
            <w:r>
              <w:rPr>
                <w:rFonts w:hint="cs"/>
                <w:rtl/>
              </w:rPr>
              <w:t xml:space="preserve">, ששירת </w:t>
            </w:r>
            <w:r w:rsidRPr="003657B1">
              <w:rPr>
                <w:rFonts w:hint="cs"/>
                <w:rtl/>
              </w:rPr>
              <w:t>בתקופה שמיום כ"ב בתשרי התשפ"ד (7</w:t>
            </w:r>
            <w:r>
              <w:rPr>
                <w:rFonts w:hint="cs"/>
                <w:rtl/>
              </w:rPr>
              <w:t xml:space="preserve"> באוקטובר 20</w:t>
            </w:r>
            <w:r w:rsidRPr="003657B1">
              <w:rPr>
                <w:rFonts w:hint="cs"/>
                <w:rtl/>
              </w:rPr>
              <w:t>23) עד תום תוקפה של ההכרזה על מצב מיוחד בעורף</w:t>
            </w:r>
            <w:r>
              <w:rPr>
                <w:rFonts w:hint="cs"/>
                <w:rtl/>
              </w:rPr>
              <w:t xml:space="preserve"> שניתנה ביום האמור לפי חוק ההתגוננות האזרחית, התשי"א</w:t>
            </w:r>
            <w:r>
              <w:rPr>
                <w:rFonts w:hint="eastAsia"/>
                <w:rtl/>
              </w:rPr>
              <w:t>–</w:t>
            </w:r>
            <w:r>
              <w:rPr>
                <w:rFonts w:hint="cs"/>
                <w:rtl/>
              </w:rPr>
              <w:t>1951</w:t>
            </w:r>
            <w:r w:rsidRPr="005F1316">
              <w:rPr>
                <w:rStyle w:val="a6"/>
                <w:rFonts w:ascii="David" w:hAnsi="David"/>
                <w:sz w:val="26"/>
                <w:rtl/>
              </w:rPr>
              <w:footnoteReference w:id="5"/>
            </w:r>
            <w:r>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14F0BA41" w14:textId="67B3B1D1" w:rsidR="00303B16" w:rsidRPr="00B63F06" w:rsidRDefault="00303B16" w:rsidP="00551845">
      <w:pPr>
        <w:pStyle w:val="Hesber"/>
        <w:spacing w:line="276" w:lineRule="auto"/>
        <w:rPr>
          <w:rtl/>
        </w:rPr>
      </w:pPr>
      <w:r w:rsidRPr="005F1316">
        <w:rPr>
          <w:rFonts w:hint="cs"/>
          <w:rtl/>
        </w:rPr>
        <w:t>ביום</w:t>
      </w:r>
      <w:r w:rsidRPr="00B63F06">
        <w:rPr>
          <w:rFonts w:hint="cs"/>
          <w:rtl/>
        </w:rPr>
        <w:t xml:space="preserve"> כ"ב בתשרי התשפ"ד (7 באוקטובר 2023) פרצה מלחמת חרבות ברזל והוכרז על מצב מיוחד בעורף מכוח חוק ההתגוננות האזרחית, התשי"א</w:t>
      </w:r>
      <w:r w:rsidRPr="00B63F06">
        <w:rPr>
          <w:rFonts w:hint="eastAsia"/>
          <w:rtl/>
        </w:rPr>
        <w:t>–</w:t>
      </w:r>
      <w:r w:rsidRPr="00B63F06">
        <w:rPr>
          <w:rFonts w:hint="cs"/>
          <w:rtl/>
        </w:rPr>
        <w:t>1951. לצד ההתמודדות של אזרחי מדינת ישראל עם האובדן הנורא והאבל הכבד, רבים מהאזרחים אשר נקראו לשירות מילואים מוצאים את עצמם קורסים תחת הנטל הכלכלי, שהפך כבד יותר עקב העובדה שאותם חיילי מילואים הפסיקו לעבוד ו/או הכנסתם נפגעה עקב</w:t>
      </w:r>
      <w:r w:rsidR="005F1316">
        <w:rPr>
          <w:rFonts w:hint="cs"/>
          <w:rtl/>
        </w:rPr>
        <w:t xml:space="preserve"> השקעתם היחידה והמוחלטת בלחימה.</w:t>
      </w:r>
    </w:p>
    <w:p w14:paraId="7226185E" w14:textId="77777777" w:rsidR="00303B16" w:rsidRPr="00B63F06" w:rsidRDefault="00303B16" w:rsidP="00551845">
      <w:pPr>
        <w:pStyle w:val="Hesber"/>
        <w:spacing w:line="276" w:lineRule="auto"/>
        <w:rPr>
          <w:rtl/>
        </w:rPr>
      </w:pPr>
      <w:r w:rsidRPr="00B63F06">
        <w:rPr>
          <w:rFonts w:hint="cs"/>
          <w:rtl/>
        </w:rPr>
        <w:t>מוצע לקבוע מתן פטור מלא ממס הכנסה עבור חיילי המילואים שהם אלו ששומרים עלינו היום והם אלו שיסחבו את המשק על כתפיהם ביום שאחרי המלחמה. מוצע כי ההסדר יהיה בהוראת שעה לתקופה שמיום כ"ב בתשרי התשפ"ד (7 באוקטובר 2023) עד תום תוקפה של ההכרזה על מצב מיוחד בעורף, התקופה שבה אותם חיילי מילואים עוצרים את חייהם ופרנסתם וכלכלתם נפגעת.</w:t>
      </w:r>
    </w:p>
    <w:p w14:paraId="3A81B64D" w14:textId="049990C3" w:rsidR="00303B16" w:rsidRPr="00B63F06" w:rsidRDefault="00303B16" w:rsidP="00551845">
      <w:pPr>
        <w:pStyle w:val="Hesber"/>
        <w:spacing w:line="276" w:lineRule="auto"/>
        <w:rPr>
          <w:rtl/>
        </w:rPr>
      </w:pPr>
      <w:r w:rsidRPr="00B63F06">
        <w:rPr>
          <w:rtl/>
        </w:rPr>
        <w:t>הצע</w:t>
      </w:r>
      <w:r w:rsidRPr="00B63F06">
        <w:rPr>
          <w:rFonts w:hint="cs"/>
          <w:rtl/>
        </w:rPr>
        <w:t>ו</w:t>
      </w:r>
      <w:r w:rsidRPr="00B63F06">
        <w:rPr>
          <w:rtl/>
        </w:rPr>
        <w:t>ת חוק זה</w:t>
      </w:r>
      <w:r w:rsidRPr="00B63F06">
        <w:rPr>
          <w:rFonts w:hint="cs"/>
          <w:rtl/>
        </w:rPr>
        <w:t>ות</w:t>
      </w:r>
      <w:r w:rsidRPr="00B63F06">
        <w:rPr>
          <w:rtl/>
        </w:rPr>
        <w:t xml:space="preserve"> הונח</w:t>
      </w:r>
      <w:r w:rsidRPr="00B63F06">
        <w:rPr>
          <w:rFonts w:hint="cs"/>
          <w:rtl/>
        </w:rPr>
        <w:t>ו</w:t>
      </w:r>
      <w:r w:rsidRPr="00B63F06">
        <w:rPr>
          <w:rtl/>
        </w:rPr>
        <w:t xml:space="preserve"> על שולחן הכנסת העשרים</w:t>
      </w:r>
      <w:r w:rsidRPr="00B63F06">
        <w:rPr>
          <w:rFonts w:hint="cs"/>
          <w:rtl/>
        </w:rPr>
        <w:t xml:space="preserve"> </w:t>
      </w:r>
      <w:r w:rsidRPr="00B63F06">
        <w:rPr>
          <w:rtl/>
        </w:rPr>
        <w:t>וחמש על ידי חבר הכנסת מאיר כהן (פ/4925/25)</w:t>
      </w:r>
      <w:r w:rsidRPr="00B63F06">
        <w:rPr>
          <w:rFonts w:hint="cs"/>
          <w:rtl/>
        </w:rPr>
        <w:t>, על ידי חבר הכנסת אליהו רביבו (פ/4985/25) ועל ידי חבר הכנסת עידן רול (פ/5103/25).</w:t>
      </w:r>
    </w:p>
    <w:p w14:paraId="7673EF74" w14:textId="50FC2C8C" w:rsidR="00B63F06" w:rsidRPr="00B63F06" w:rsidRDefault="00B63F06" w:rsidP="00551845">
      <w:pPr>
        <w:pStyle w:val="Hesber"/>
        <w:spacing w:line="276" w:lineRule="auto"/>
        <w:rPr>
          <w:rtl/>
        </w:rPr>
      </w:pPr>
      <w:r w:rsidRPr="00B63F06">
        <w:rPr>
          <w:rFonts w:hint="cs"/>
          <w:rtl/>
        </w:rPr>
        <w:t xml:space="preserve">הצעת החוק זהה לפ/5103/25 ולפיכך לא נבדקה מחדש על ידי הלשכה המשפטית של הכנסת. </w:t>
      </w:r>
    </w:p>
    <w:p w14:paraId="31C9DEE0" w14:textId="77777777" w:rsidR="004042C3" w:rsidRDefault="00551845" w:rsidP="00551845">
      <w:pPr>
        <w:spacing w:line="276" w:lineRule="auto"/>
        <w:jc w:val="left"/>
      </w:pPr>
      <w:bookmarkStart w:id="8" w:name="selectedDocDateB"/>
      <w:bookmarkEnd w:id="8"/>
      <w:r>
        <w:rPr>
          <w:rFonts w:eastAsia="David" w:hint="cs"/>
          <w:sz w:val="26"/>
          <w:szCs w:val="26"/>
          <w:rtl/>
        </w:rPr>
        <w:t>--------------------------------</w:t>
      </w:r>
    </w:p>
    <w:p w14:paraId="28780EF8" w14:textId="77777777" w:rsidR="004042C3" w:rsidRDefault="00551845" w:rsidP="00551845">
      <w:pPr>
        <w:spacing w:line="276" w:lineRule="auto"/>
        <w:jc w:val="left"/>
      </w:pPr>
      <w:r>
        <w:rPr>
          <w:rFonts w:eastAsia="David" w:hint="cs"/>
          <w:sz w:val="26"/>
          <w:szCs w:val="26"/>
          <w:rtl/>
        </w:rPr>
        <w:t>הוגשה ליו"ר הכנסת והסגנים</w:t>
      </w:r>
    </w:p>
    <w:p w14:paraId="20E30089" w14:textId="77777777" w:rsidR="004042C3" w:rsidRDefault="00551845" w:rsidP="00551845">
      <w:pPr>
        <w:spacing w:line="276" w:lineRule="auto"/>
        <w:jc w:val="left"/>
      </w:pPr>
      <w:r>
        <w:rPr>
          <w:rFonts w:eastAsia="David" w:hint="cs"/>
          <w:sz w:val="26"/>
          <w:szCs w:val="26"/>
          <w:rtl/>
        </w:rPr>
        <w:t>והונחה על שולחן הכנסת ביום</w:t>
      </w:r>
    </w:p>
    <w:p w14:paraId="7EEEFF6C" w14:textId="0EBE3E7D" w:rsidR="004042C3" w:rsidRDefault="00551845" w:rsidP="00551845">
      <w:pPr>
        <w:spacing w:line="276" w:lineRule="auto"/>
        <w:jc w:val="left"/>
      </w:pPr>
      <w:r>
        <w:rPr>
          <w:rFonts w:eastAsia="David" w:hint="cs"/>
          <w:sz w:val="26"/>
          <w:szCs w:val="26"/>
          <w:rtl/>
        </w:rPr>
        <w:t xml:space="preserve">כ"ז בטבת התשפ"ה (27.01.2025) </w:t>
      </w:r>
      <w:bookmarkStart w:id="9" w:name="_GoBack"/>
      <w:bookmarkEnd w:id="9"/>
    </w:p>
    <w:sectPr w:rsidR="004042C3" w:rsidSect="005F1316">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8130261"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5184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5F1316">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FF5987A" w14:textId="77777777" w:rsidR="00303B16" w:rsidRDefault="00303B16" w:rsidP="00303B16">
      <w:pPr>
        <w:pStyle w:val="a4"/>
      </w:pPr>
      <w:r>
        <w:rPr>
          <w:rStyle w:val="a6"/>
        </w:rPr>
        <w:footnoteRef/>
      </w:r>
      <w:r>
        <w:rPr>
          <w:rtl/>
        </w:rPr>
        <w:t xml:space="preserve"> </w:t>
      </w:r>
      <w:r>
        <w:rPr>
          <w:rFonts w:hint="cs"/>
          <w:rtl/>
        </w:rPr>
        <w:t>דיני מדינת ישראל, נוסח חדש 6, עמ' 120.</w:t>
      </w:r>
    </w:p>
  </w:footnote>
  <w:footnote w:id="3">
    <w:p w14:paraId="7BE740D5" w14:textId="77777777" w:rsidR="00303B16" w:rsidRDefault="00303B16" w:rsidP="00303B16">
      <w:pPr>
        <w:pStyle w:val="a4"/>
      </w:pPr>
      <w:r>
        <w:rPr>
          <w:rStyle w:val="a6"/>
        </w:rPr>
        <w:footnoteRef/>
      </w:r>
      <w:r>
        <w:rPr>
          <w:rtl/>
        </w:rPr>
        <w:t xml:space="preserve"> </w:t>
      </w:r>
      <w:r>
        <w:rPr>
          <w:rFonts w:hint="cs"/>
          <w:rtl/>
        </w:rPr>
        <w:t>ס"ח התשנ"ה, עמ' 210.</w:t>
      </w:r>
    </w:p>
  </w:footnote>
  <w:footnote w:id="4">
    <w:p w14:paraId="71AF1447" w14:textId="77777777" w:rsidR="00303B16" w:rsidRDefault="00303B16" w:rsidP="00303B16">
      <w:pPr>
        <w:pStyle w:val="a4"/>
      </w:pPr>
      <w:r>
        <w:rPr>
          <w:rStyle w:val="a6"/>
        </w:rPr>
        <w:footnoteRef/>
      </w:r>
      <w:r>
        <w:rPr>
          <w:rtl/>
        </w:rPr>
        <w:t xml:space="preserve"> </w:t>
      </w:r>
      <w:r>
        <w:rPr>
          <w:rFonts w:hint="cs"/>
          <w:rtl/>
        </w:rPr>
        <w:t>ס"ח תשס"ח עמ' 502.</w:t>
      </w:r>
    </w:p>
  </w:footnote>
  <w:footnote w:id="5">
    <w:p w14:paraId="64A9CD05" w14:textId="77777777" w:rsidR="00303B16" w:rsidRDefault="00303B16" w:rsidP="00303B16">
      <w:pPr>
        <w:pStyle w:val="a4"/>
      </w:pPr>
      <w:r>
        <w:rPr>
          <w:rStyle w:val="a6"/>
        </w:rPr>
        <w:footnoteRef/>
      </w:r>
      <w:r>
        <w:rPr>
          <w:rFonts w:hint="cs"/>
          <w:rtl/>
        </w:rPr>
        <w:t xml:space="preserve"> ס"ח התשי"א, עמ' 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03B16"/>
    <w:rsid w:val="003232A2"/>
    <w:rsid w:val="00325C14"/>
    <w:rsid w:val="0036422C"/>
    <w:rsid w:val="003710F6"/>
    <w:rsid w:val="00386E88"/>
    <w:rsid w:val="00396585"/>
    <w:rsid w:val="003D6E38"/>
    <w:rsid w:val="003D74A0"/>
    <w:rsid w:val="004033D8"/>
    <w:rsid w:val="004042C3"/>
    <w:rsid w:val="004073F0"/>
    <w:rsid w:val="00412A7D"/>
    <w:rsid w:val="00416B4D"/>
    <w:rsid w:val="00417CFC"/>
    <w:rsid w:val="004A06DC"/>
    <w:rsid w:val="004B24ED"/>
    <w:rsid w:val="004B6625"/>
    <w:rsid w:val="004D2D82"/>
    <w:rsid w:val="004D3876"/>
    <w:rsid w:val="004E4552"/>
    <w:rsid w:val="004E6CDF"/>
    <w:rsid w:val="00551845"/>
    <w:rsid w:val="00553C9D"/>
    <w:rsid w:val="00562A66"/>
    <w:rsid w:val="005B064E"/>
    <w:rsid w:val="005D51AE"/>
    <w:rsid w:val="005F1316"/>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63F06"/>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DF74303-A809-41C5-AA96-554891EC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316"/>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F1316"/>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F1316"/>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F1316"/>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F1316"/>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F1316"/>
    <w:pPr>
      <w:spacing w:line="259" w:lineRule="auto"/>
      <w:outlineLvl w:val="4"/>
    </w:pPr>
    <w:rPr>
      <w:color w:val="000000" w:themeColor="text1"/>
    </w:rPr>
  </w:style>
  <w:style w:type="character" w:default="1" w:styleId="a0">
    <w:name w:val="Default Paragraph Font"/>
    <w:uiPriority w:val="1"/>
    <w:semiHidden/>
    <w:unhideWhenUsed/>
    <w:rsid w:val="005F131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F1316"/>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F1316"/>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F1316"/>
    <w:rPr>
      <w:sz w:val="36"/>
      <w:szCs w:val="52"/>
    </w:rPr>
  </w:style>
  <w:style w:type="paragraph" w:customStyle="1" w:styleId="Cover3-Haknesset">
    <w:name w:val="Cover 3-Haknesset"/>
    <w:basedOn w:val="Cover1-Reshumot"/>
    <w:rsid w:val="005F1316"/>
    <w:rPr>
      <w:b/>
      <w:bCs/>
      <w:spacing w:val="60"/>
    </w:rPr>
  </w:style>
  <w:style w:type="paragraph" w:customStyle="1" w:styleId="Cover4-Date">
    <w:name w:val="Cover 4-Date"/>
    <w:basedOn w:val="a"/>
    <w:rsid w:val="005F1316"/>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F1316"/>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F1316"/>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F1316"/>
    <w:pPr>
      <w:spacing w:before="120" w:after="120"/>
    </w:pPr>
    <w:rPr>
      <w:color w:val="FF0000"/>
      <w:w w:val="80"/>
    </w:rPr>
  </w:style>
  <w:style w:type="paragraph" w:styleId="a3">
    <w:name w:val="endnote text"/>
    <w:basedOn w:val="a"/>
    <w:semiHidden/>
    <w:rsid w:val="005F1316"/>
    <w:pPr>
      <w:ind w:left="227" w:hanging="227"/>
    </w:pPr>
    <w:rPr>
      <w:sz w:val="14"/>
      <w:szCs w:val="22"/>
    </w:rPr>
  </w:style>
  <w:style w:type="paragraph" w:customStyle="1" w:styleId="TableText">
    <w:name w:val="Table Text"/>
    <w:basedOn w:val="a"/>
    <w:rsid w:val="005F1316"/>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F1316"/>
    <w:pPr>
      <w:outlineLvl w:val="2"/>
    </w:pPr>
  </w:style>
  <w:style w:type="paragraph" w:customStyle="1" w:styleId="TableBlock">
    <w:name w:val="Table Block"/>
    <w:basedOn w:val="TableText"/>
    <w:rsid w:val="005F1316"/>
    <w:pPr>
      <w:jc w:val="both"/>
    </w:pPr>
  </w:style>
  <w:style w:type="paragraph" w:customStyle="1" w:styleId="TableHead">
    <w:name w:val="Table Head"/>
    <w:basedOn w:val="TableText"/>
    <w:rsid w:val="005F1316"/>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F1316"/>
    <w:pPr>
      <w:outlineLvl w:val="9"/>
    </w:pPr>
  </w:style>
  <w:style w:type="paragraph" w:customStyle="1" w:styleId="Hesber">
    <w:name w:val="Hesber"/>
    <w:basedOn w:val="a"/>
    <w:rsid w:val="005F1316"/>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5F1316"/>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5F1316"/>
    <w:rPr>
      <w:vertAlign w:val="superscript"/>
    </w:rPr>
  </w:style>
  <w:style w:type="paragraph" w:customStyle="1" w:styleId="HesberHeading">
    <w:name w:val="Hesber Heading"/>
    <w:basedOn w:val="Hesber"/>
    <w:rsid w:val="005F1316"/>
    <w:pPr>
      <w:tabs>
        <w:tab w:val="left" w:pos="624"/>
        <w:tab w:val="left" w:pos="1247"/>
      </w:tabs>
    </w:pPr>
    <w:rPr>
      <w:b/>
      <w:bCs/>
    </w:rPr>
  </w:style>
  <w:style w:type="paragraph" w:customStyle="1" w:styleId="HesberWriters">
    <w:name w:val="Hesber Writers"/>
    <w:basedOn w:val="Hesber"/>
    <w:rsid w:val="005F1316"/>
    <w:pPr>
      <w:spacing w:before="120" w:after="120"/>
      <w:ind w:left="1418"/>
      <w:jc w:val="right"/>
    </w:pPr>
    <w:rPr>
      <w:b/>
      <w:bCs/>
    </w:rPr>
  </w:style>
  <w:style w:type="paragraph" w:customStyle="1" w:styleId="Hesber1st">
    <w:name w:val="Hesber 1st"/>
    <w:basedOn w:val="Hesber"/>
    <w:rsid w:val="005F1316"/>
    <w:pPr>
      <w:tabs>
        <w:tab w:val="left" w:pos="680"/>
        <w:tab w:val="left" w:pos="1020"/>
      </w:tabs>
      <w:ind w:firstLine="0"/>
    </w:pPr>
  </w:style>
  <w:style w:type="character" w:styleId="a7">
    <w:name w:val="endnote reference"/>
    <w:basedOn w:val="a0"/>
    <w:semiHidden/>
    <w:rsid w:val="005F1316"/>
    <w:rPr>
      <w:vertAlign w:val="superscript"/>
    </w:rPr>
  </w:style>
  <w:style w:type="paragraph" w:customStyle="1" w:styleId="TableBlockOutdent">
    <w:name w:val="Table BlockOutdent"/>
    <w:basedOn w:val="TableBlock"/>
    <w:rsid w:val="005F1316"/>
    <w:pPr>
      <w:ind w:left="624" w:hanging="624"/>
    </w:pPr>
  </w:style>
  <w:style w:type="paragraph" w:styleId="a8">
    <w:name w:val="header"/>
    <w:basedOn w:val="a"/>
    <w:rsid w:val="005F1316"/>
    <w:pPr>
      <w:tabs>
        <w:tab w:val="center" w:pos="4153"/>
        <w:tab w:val="right" w:pos="8306"/>
      </w:tabs>
    </w:pPr>
  </w:style>
  <w:style w:type="paragraph" w:styleId="a9">
    <w:name w:val="footer"/>
    <w:basedOn w:val="a"/>
    <w:rsid w:val="005F1316"/>
    <w:pPr>
      <w:tabs>
        <w:tab w:val="center" w:pos="4153"/>
        <w:tab w:val="right" w:pos="8306"/>
      </w:tabs>
    </w:pPr>
  </w:style>
  <w:style w:type="paragraph" w:customStyle="1" w:styleId="HeadDivreiHesber">
    <w:name w:val="Head DivreiHesber"/>
    <w:basedOn w:val="a"/>
    <w:rsid w:val="005F1316"/>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F1316"/>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5F1316"/>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03B16"/>
    <w:rPr>
      <w:rFonts w:ascii="Arial" w:eastAsia="Arial Unicode MS" w:hAnsi="Arial" w:cs="David"/>
      <w:snapToGrid w:val="0"/>
      <w:sz w:val="14"/>
    </w:rPr>
  </w:style>
  <w:style w:type="character" w:customStyle="1" w:styleId="10">
    <w:name w:val="כותרת 1 תו"/>
    <w:basedOn w:val="a0"/>
    <w:link w:val="1"/>
    <w:uiPriority w:val="9"/>
    <w:rsid w:val="005F1316"/>
    <w:rPr>
      <w:rFonts w:asciiTheme="majorHAnsi" w:eastAsiaTheme="majorEastAsia" w:hAnsiTheme="majorHAnsi" w:cs="David"/>
      <w:bCs/>
      <w:sz w:val="32"/>
      <w:szCs w:val="36"/>
    </w:rPr>
  </w:style>
  <w:style w:type="character" w:customStyle="1" w:styleId="20">
    <w:name w:val="כותרת 2 תו"/>
    <w:basedOn w:val="a0"/>
    <w:link w:val="2"/>
    <w:rsid w:val="005F1316"/>
    <w:rPr>
      <w:rFonts w:asciiTheme="majorHAnsi" w:eastAsiaTheme="majorEastAsia" w:hAnsiTheme="majorHAnsi" w:cs="David"/>
      <w:bCs/>
      <w:sz w:val="26"/>
      <w:szCs w:val="36"/>
      <w:u w:val="single"/>
    </w:rPr>
  </w:style>
  <w:style w:type="character" w:customStyle="1" w:styleId="30">
    <w:name w:val="כותרת 3 תו"/>
    <w:basedOn w:val="a0"/>
    <w:link w:val="3"/>
    <w:rsid w:val="005F1316"/>
    <w:rPr>
      <w:rFonts w:asciiTheme="majorHAnsi" w:eastAsiaTheme="majorEastAsia" w:hAnsiTheme="majorHAnsi" w:cs="David"/>
      <w:sz w:val="24"/>
      <w:szCs w:val="28"/>
      <w:u w:val="double"/>
    </w:rPr>
  </w:style>
  <w:style w:type="character" w:customStyle="1" w:styleId="40">
    <w:name w:val="כותרת 4 תו"/>
    <w:basedOn w:val="a0"/>
    <w:link w:val="4"/>
    <w:uiPriority w:val="9"/>
    <w:rsid w:val="005F1316"/>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F1316"/>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5F1316"/>
    <w:pPr>
      <w:widowControl/>
      <w:spacing w:before="120" w:after="120"/>
      <w:outlineLvl w:val="9"/>
    </w:pPr>
    <w:rPr>
      <w:rtl/>
      <w:cs/>
    </w:rPr>
  </w:style>
  <w:style w:type="paragraph" w:styleId="TOC1">
    <w:name w:val="toc 1"/>
    <w:basedOn w:val="a"/>
    <w:next w:val="a"/>
    <w:autoRedefine/>
    <w:uiPriority w:val="39"/>
    <w:unhideWhenUsed/>
    <w:rsid w:val="005F1316"/>
    <w:pPr>
      <w:tabs>
        <w:tab w:val="right" w:leader="dot" w:pos="9629"/>
      </w:tabs>
      <w:spacing w:after="100"/>
    </w:pPr>
    <w:rPr>
      <w:bCs/>
      <w:szCs w:val="22"/>
    </w:rPr>
  </w:style>
  <w:style w:type="paragraph" w:styleId="TOC2">
    <w:name w:val="toc 2"/>
    <w:basedOn w:val="a"/>
    <w:next w:val="a"/>
    <w:uiPriority w:val="39"/>
    <w:unhideWhenUsed/>
    <w:rsid w:val="005F1316"/>
    <w:pPr>
      <w:tabs>
        <w:tab w:val="right" w:leader="dot" w:pos="9628"/>
      </w:tabs>
      <w:spacing w:after="100"/>
    </w:pPr>
    <w:rPr>
      <w:szCs w:val="22"/>
    </w:rPr>
  </w:style>
  <w:style w:type="character" w:styleId="Hyperlink">
    <w:name w:val="Hyperlink"/>
    <w:basedOn w:val="a0"/>
    <w:uiPriority w:val="99"/>
    <w:unhideWhenUsed/>
    <w:rsid w:val="005F1316"/>
    <w:rPr>
      <w:color w:val="0000FF" w:themeColor="hyperlink"/>
      <w:u w:val="single"/>
    </w:rPr>
  </w:style>
  <w:style w:type="paragraph" w:styleId="TOC3">
    <w:name w:val="toc 3"/>
    <w:basedOn w:val="a"/>
    <w:next w:val="a"/>
    <w:uiPriority w:val="39"/>
    <w:unhideWhenUsed/>
    <w:rsid w:val="005F1316"/>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5F1316"/>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F1316"/>
    <w:pPr>
      <w:tabs>
        <w:tab w:val="right" w:leader="dot" w:pos="9628"/>
      </w:tabs>
      <w:spacing w:after="100"/>
      <w:ind w:left="567"/>
    </w:pPr>
    <w:rPr>
      <w:szCs w:val="22"/>
    </w:rPr>
  </w:style>
  <w:style w:type="paragraph" w:styleId="TOC6">
    <w:name w:val="toc 6"/>
    <w:basedOn w:val="a"/>
    <w:next w:val="a"/>
    <w:autoRedefine/>
    <w:semiHidden/>
    <w:unhideWhenUsed/>
    <w:rsid w:val="005F1316"/>
    <w:pPr>
      <w:spacing w:after="100"/>
      <w:ind w:left="850"/>
    </w:pPr>
  </w:style>
  <w:style w:type="paragraph" w:styleId="TOC7">
    <w:name w:val="toc 7"/>
    <w:basedOn w:val="a"/>
    <w:next w:val="a"/>
    <w:autoRedefine/>
    <w:semiHidden/>
    <w:unhideWhenUsed/>
    <w:rsid w:val="005F1316"/>
    <w:pPr>
      <w:spacing w:after="100"/>
      <w:ind w:left="1020"/>
    </w:pPr>
  </w:style>
  <w:style w:type="paragraph" w:styleId="TOC8">
    <w:name w:val="toc 8"/>
    <w:basedOn w:val="a"/>
    <w:next w:val="a"/>
    <w:autoRedefine/>
    <w:semiHidden/>
    <w:unhideWhenUsed/>
    <w:rsid w:val="005F1316"/>
    <w:pPr>
      <w:spacing w:after="100"/>
      <w:ind w:left="1190"/>
    </w:pPr>
  </w:style>
  <w:style w:type="paragraph" w:styleId="TOC9">
    <w:name w:val="toc 9"/>
    <w:basedOn w:val="a"/>
    <w:next w:val="a"/>
    <w:autoRedefine/>
    <w:semiHidden/>
    <w:unhideWhenUsed/>
    <w:rsid w:val="005F1316"/>
    <w:pPr>
      <w:spacing w:after="100"/>
      <w:ind w:left="1360"/>
    </w:pPr>
  </w:style>
  <w:style w:type="paragraph" w:customStyle="1" w:styleId="TableHead2">
    <w:name w:val="Table Head2"/>
    <w:basedOn w:val="TableHead"/>
    <w:qFormat/>
    <w:rsid w:val="005F1316"/>
    <w:pPr>
      <w:outlineLvl w:val="9"/>
    </w:pPr>
  </w:style>
  <w:style w:type="paragraph" w:customStyle="1" w:styleId="TableSideHeading2">
    <w:name w:val="Table SideHeading2"/>
    <w:basedOn w:val="TableSideHeading"/>
    <w:autoRedefine/>
    <w:qFormat/>
    <w:rsid w:val="005F1316"/>
    <w:pPr>
      <w:keepLines w:val="0"/>
      <w:outlineLvl w:val="9"/>
    </w:pPr>
  </w:style>
  <w:style w:type="paragraph" w:customStyle="1" w:styleId="0">
    <w:name w:val="סגנון שורה ראשונה:  0  ס''מ"/>
    <w:basedOn w:val="2"/>
    <w:rsid w:val="005F1316"/>
    <w:rPr>
      <w:rFonts w:eastAsia="Times New Roman"/>
    </w:rPr>
  </w:style>
  <w:style w:type="paragraph" w:styleId="af">
    <w:name w:val="List Paragraph"/>
    <w:basedOn w:val="a"/>
    <w:uiPriority w:val="34"/>
    <w:qFormat/>
    <w:rsid w:val="005F1316"/>
    <w:pPr>
      <w:widowControl/>
      <w:spacing w:line="259" w:lineRule="auto"/>
    </w:pPr>
    <w:rPr>
      <w:rFonts w:asciiTheme="minorHAnsi" w:hAnsiTheme="minorHAnsi"/>
      <w:sz w:val="22"/>
    </w:rPr>
  </w:style>
  <w:style w:type="table" w:styleId="af0">
    <w:name w:val="Table Grid"/>
    <w:basedOn w:val="a1"/>
    <w:rsid w:val="005F1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F13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F13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5F1316"/>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F1316"/>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7E5A-FB49-42D5-B7CC-C1E696ADA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90d5b49-c690-4c6f-bbb9-1e50dab33ee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FA16CF01-BEF1-45A3-9430-1F19ACFB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281</Words>
  <Characters>1408</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7</cp:revision>
  <cp:lastPrinted>2013-07-04T08:25:00Z</cp:lastPrinted>
  <dcterms:created xsi:type="dcterms:W3CDTF">2015-04-20T09:58:00Z</dcterms:created>
  <dcterms:modified xsi:type="dcterms:W3CDTF">2025-01-23T06:28:00Z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2227423</vt:r8>
  </property>
</Properties>
</file>