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2227028</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יוזמים:      חברי הכנסת</w:t>
      </w:r>
      <w:bookmarkEnd w:id="2"/>
      <w:r w:rsidR="00B35784" w:rsidRPr="00F67051">
        <w:rPr>
          <w:b/>
          <w:bCs/>
        </w:rPr>
        <w:tab/>
      </w:r>
      <w:bookmarkStart w:id="3" w:name="LGS_PM_Names"/>
      <w:proofErr w:type="spellStart"/>
      <w:r>
        <w:rPr>
          <w:rFonts w:hint="cs"/>
          <w:b/>
          <w:bCs/>
          <w:rtl/>
        </w:rPr>
        <w:t>עאידה</w:t>
      </w:r>
      <w:proofErr w:type="spellEnd"/>
      <w:r>
        <w:rPr>
          <w:rFonts w:hint="cs"/>
          <w:b/>
          <w:bCs/>
          <w:rtl/>
        </w:rPr>
        <w:t xml:space="preserve"> </w:t>
      </w:r>
      <w:proofErr w:type="spellStart"/>
      <w:r>
        <w:rPr>
          <w:rFonts w:hint="cs"/>
          <w:b/>
          <w:bCs/>
          <w:rtl/>
        </w:rPr>
        <w:t>תומא</w:t>
      </w:r>
      <w:proofErr w:type="spellEnd"/>
      <w:r>
        <w:rPr>
          <w:rFonts w:hint="cs"/>
          <w:b/>
          <w:bCs/>
          <w:rtl/>
        </w:rPr>
        <w:t xml:space="preserve"> </w:t>
      </w:r>
      <w:proofErr w:type="spellStart"/>
      <w:r>
        <w:rPr>
          <w:rFonts w:hint="cs"/>
          <w:b/>
          <w:bCs/>
          <w:rtl/>
        </w:rPr>
        <w:t>סלימאן</w:t>
      </w:r>
      <w:proofErr w:type="spellEnd"/>
      <w:r>
        <w:br/>
      </w:r>
      <w:r>
        <w:rPr>
          <w:rFonts w:hint="cs"/>
          <w:b/>
          <w:bCs/>
          <w:rtl/>
        </w:rPr>
        <w:t xml:space="preserve"> </w:t>
      </w:r>
      <w:r>
        <w:tab/>
      </w:r>
      <w:r>
        <w:tab/>
      </w:r>
      <w:r>
        <w:tab/>
      </w:r>
      <w:r>
        <w:tab/>
      </w:r>
      <w:r>
        <w:rPr>
          <w:rFonts w:hint="cs"/>
          <w:b/>
          <w:bCs/>
          <w:rtl/>
        </w:rPr>
        <w:t>עופר כסיף</w:t>
      </w:r>
      <w:r>
        <w:br/>
      </w:r>
      <w:r>
        <w:rPr>
          <w:rFonts w:hint="cs"/>
          <w:b/>
          <w:bCs/>
          <w:rtl/>
        </w:rPr>
        <w:t xml:space="preserve"> </w:t>
      </w:r>
      <w:r>
        <w:tab/>
      </w:r>
      <w:r>
        <w:tab/>
      </w:r>
      <w:r>
        <w:tab/>
      </w:r>
      <w:r>
        <w:tab/>
      </w:r>
      <w:r>
        <w:rPr>
          <w:rFonts w:hint="cs"/>
          <w:b/>
          <w:bCs/>
          <w:rtl/>
        </w:rPr>
        <w:t xml:space="preserve">יוסף </w:t>
      </w:r>
      <w:proofErr w:type="spellStart"/>
      <w:r>
        <w:rPr>
          <w:rFonts w:hint="cs"/>
          <w:b/>
          <w:bCs/>
          <w:rtl/>
        </w:rPr>
        <w:t>עטאונה</w:t>
      </w:r>
      <w:proofErr w:type="spellEnd"/>
      <w:r>
        <w:br/>
      </w:r>
      <w:r>
        <w:rPr>
          <w:rFonts w:hint="cs"/>
          <w:b/>
          <w:bCs/>
          <w:rtl/>
        </w:rPr>
        <w:t xml:space="preserve"> </w:t>
      </w:r>
      <w:r>
        <w:tab/>
      </w:r>
      <w:r>
        <w:tab/>
      </w:r>
      <w:r>
        <w:tab/>
      </w:r>
      <w:r>
        <w:tab/>
      </w:r>
      <w:proofErr w:type="spellStart"/>
      <w:r>
        <w:rPr>
          <w:rFonts w:hint="cs"/>
          <w:b/>
          <w:bCs/>
          <w:rtl/>
        </w:rPr>
        <w:t>איימן</w:t>
      </w:r>
      <w:proofErr w:type="spellEnd"/>
      <w:r>
        <w:rPr>
          <w:rFonts w:hint="cs"/>
          <w:b/>
          <w:bCs/>
          <w:rtl/>
        </w:rPr>
        <w:t xml:space="preserve"> עודה</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CCCDA4E" w:rsidR="00E13C27" w:rsidRPr="00E06736" w:rsidRDefault="00904591" w:rsidP="0082434A">
      <w:pPr>
        <w:pStyle w:val="David"/>
        <w:spacing w:line="240" w:lineRule="auto"/>
        <w:ind w:left="6424" w:firstLine="56"/>
        <w:rPr>
          <w:rtl/>
        </w:rPr>
      </w:pPr>
      <w:bookmarkStart w:id="6" w:name="Private_Number"/>
      <w:r>
        <w:rPr>
          <w:rFonts w:hint="cs"/>
          <w:rtl/>
        </w:rPr>
        <w:t>פ/5404/25</w:t>
      </w:r>
      <w:bookmarkEnd w:id="6"/>
    </w:p>
    <w:p w14:paraId="7F6961AC" w14:textId="77777777" w:rsidR="00E13C27" w:rsidRDefault="00E13C27" w:rsidP="00E13C27">
      <w:pPr>
        <w:ind w:left="2880" w:firstLine="720"/>
        <w:rPr>
          <w:sz w:val="26"/>
          <w:szCs w:val="26"/>
          <w:rtl/>
        </w:rPr>
      </w:pPr>
    </w:p>
    <w:p w14:paraId="7F6961AD" w14:textId="77777777" w:rsidR="00E13C27" w:rsidRPr="00F67051" w:rsidRDefault="00A443CF" w:rsidP="0021633A">
      <w:pPr>
        <w:pStyle w:val="HeadHatzaotHok"/>
        <w:rPr>
          <w:rtl/>
        </w:rPr>
      </w:pPr>
      <w:bookmarkStart w:id="7" w:name="LGS_Subject"/>
      <w:r>
        <w:rPr>
          <w:rFonts w:hint="cs"/>
          <w:rtl/>
        </w:rPr>
        <w:t xml:space="preserve">הצעת חוק החלת תקצוב מגדרי על תקציבים ציבוריים בישראל, </w:t>
      </w:r>
      <w:proofErr w:type="spellStart"/>
      <w:r>
        <w:rPr>
          <w:rFonts w:hint="cs"/>
          <w:rtl/>
        </w:rPr>
        <w:t>התשפ"ה</w:t>
      </w:r>
      <w:proofErr w:type="spellEnd"/>
      <w:r>
        <w:rPr>
          <w:rFonts w:hint="cs"/>
          <w:rtl/>
        </w:rPr>
        <w:t>–2025</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453BD5" w:rsidRPr="00D8019F" w14:paraId="027F8812" w14:textId="77777777" w:rsidTr="00BF5373">
        <w:trPr>
          <w:cantSplit/>
        </w:trPr>
        <w:tc>
          <w:tcPr>
            <w:tcW w:w="1871" w:type="dxa"/>
          </w:tcPr>
          <w:p w14:paraId="3902B2DF" w14:textId="77777777" w:rsidR="00453BD5" w:rsidRPr="00BF5373" w:rsidRDefault="00453BD5" w:rsidP="00BF5373">
            <w:pPr>
              <w:pStyle w:val="TableSideHeading"/>
              <w:outlineLvl w:val="9"/>
            </w:pPr>
            <w:r w:rsidRPr="00BF5373">
              <w:rPr>
                <w:rtl/>
              </w:rPr>
              <w:t>מטרת החוק</w:t>
            </w:r>
          </w:p>
        </w:tc>
        <w:tc>
          <w:tcPr>
            <w:tcW w:w="624" w:type="dxa"/>
          </w:tcPr>
          <w:p w14:paraId="3794E69C" w14:textId="77777777" w:rsidR="00453BD5" w:rsidRPr="00453BD5" w:rsidRDefault="00453BD5" w:rsidP="00453BD5">
            <w:pPr>
              <w:pStyle w:val="TableText"/>
              <w:keepLines w:val="0"/>
              <w:jc w:val="both"/>
              <w:rPr>
                <w:rtl/>
              </w:rPr>
            </w:pPr>
            <w:r w:rsidRPr="00453BD5">
              <w:rPr>
                <w:rtl/>
              </w:rPr>
              <w:t>1.</w:t>
            </w:r>
          </w:p>
        </w:tc>
        <w:tc>
          <w:tcPr>
            <w:tcW w:w="7143" w:type="dxa"/>
          </w:tcPr>
          <w:p w14:paraId="665FC117" w14:textId="77777777" w:rsidR="00453BD5" w:rsidRPr="00BF5373" w:rsidRDefault="00453BD5" w:rsidP="00BF5373">
            <w:pPr>
              <w:pStyle w:val="TableBlock"/>
            </w:pPr>
            <w:r w:rsidRPr="00BF5373">
              <w:rPr>
                <w:rtl/>
              </w:rPr>
              <w:t>חוק זה מטרתו להסדיר בחינה מגדרית של תקציבי המדינה, לרבות חוק תקציב שנתי ותקציבי הרשויות המקומיות, וזאת כדי להגביר את השוויון בין המינים.</w:t>
            </w:r>
          </w:p>
        </w:tc>
      </w:tr>
      <w:tr w:rsidR="00453BD5" w:rsidRPr="00D8019F" w14:paraId="0B3962D8" w14:textId="77777777" w:rsidTr="00BF5373">
        <w:trPr>
          <w:cantSplit/>
        </w:trPr>
        <w:tc>
          <w:tcPr>
            <w:tcW w:w="1871" w:type="dxa"/>
          </w:tcPr>
          <w:p w14:paraId="7193BF8D" w14:textId="77777777" w:rsidR="00453BD5" w:rsidRPr="00BF5373" w:rsidRDefault="00453BD5" w:rsidP="00BF5373">
            <w:pPr>
              <w:pStyle w:val="TableSideHeading"/>
            </w:pPr>
            <w:r w:rsidRPr="00BF5373">
              <w:rPr>
                <w:rtl/>
              </w:rPr>
              <w:t>הגדרות</w:t>
            </w:r>
          </w:p>
        </w:tc>
        <w:tc>
          <w:tcPr>
            <w:tcW w:w="624" w:type="dxa"/>
          </w:tcPr>
          <w:p w14:paraId="4C287A16" w14:textId="77777777" w:rsidR="00453BD5" w:rsidRPr="00453BD5" w:rsidRDefault="00453BD5" w:rsidP="00453BD5">
            <w:pPr>
              <w:pStyle w:val="TableText"/>
              <w:keepLines w:val="0"/>
              <w:jc w:val="both"/>
            </w:pPr>
            <w:r w:rsidRPr="00453BD5">
              <w:rPr>
                <w:rtl/>
              </w:rPr>
              <w:t>2.</w:t>
            </w:r>
          </w:p>
        </w:tc>
        <w:tc>
          <w:tcPr>
            <w:tcW w:w="7143" w:type="dxa"/>
          </w:tcPr>
          <w:p w14:paraId="47E0841F" w14:textId="77777777" w:rsidR="00453BD5" w:rsidRPr="00BF5373" w:rsidRDefault="00453BD5" w:rsidP="00BF5373">
            <w:pPr>
              <w:pStyle w:val="TableBlock"/>
            </w:pPr>
            <w:r w:rsidRPr="00BF5373">
              <w:rPr>
                <w:rtl/>
              </w:rPr>
              <w:t>בחוק זה –</w:t>
            </w:r>
          </w:p>
        </w:tc>
      </w:tr>
      <w:tr w:rsidR="00453BD5" w:rsidRPr="00D8019F" w14:paraId="29742DEE" w14:textId="77777777" w:rsidTr="00BF5373">
        <w:trPr>
          <w:cantSplit/>
        </w:trPr>
        <w:tc>
          <w:tcPr>
            <w:tcW w:w="1871" w:type="dxa"/>
          </w:tcPr>
          <w:p w14:paraId="3391BA2F" w14:textId="77777777" w:rsidR="00453BD5" w:rsidRPr="00BF5373" w:rsidRDefault="00453BD5" w:rsidP="00BF5373">
            <w:pPr>
              <w:pStyle w:val="TableSideHeading"/>
              <w:rPr>
                <w:rtl/>
              </w:rPr>
            </w:pPr>
          </w:p>
        </w:tc>
        <w:tc>
          <w:tcPr>
            <w:tcW w:w="624" w:type="dxa"/>
          </w:tcPr>
          <w:p w14:paraId="78A05C03" w14:textId="77777777" w:rsidR="00453BD5" w:rsidRPr="00453BD5" w:rsidRDefault="00453BD5" w:rsidP="00453BD5">
            <w:pPr>
              <w:pStyle w:val="TableText"/>
              <w:keepLines w:val="0"/>
              <w:jc w:val="both"/>
              <w:rPr>
                <w:rtl/>
              </w:rPr>
            </w:pPr>
          </w:p>
        </w:tc>
        <w:tc>
          <w:tcPr>
            <w:tcW w:w="7143" w:type="dxa"/>
          </w:tcPr>
          <w:p w14:paraId="3AF6CF1C" w14:textId="6C424392" w:rsidR="00453BD5" w:rsidRPr="00BF5373" w:rsidRDefault="00453BD5" w:rsidP="00BF5373">
            <w:pPr>
              <w:pStyle w:val="TableBlockOutdent"/>
            </w:pPr>
            <w:r w:rsidRPr="00BF5373">
              <w:rPr>
                <w:rtl/>
              </w:rPr>
              <w:t>"בחינה מגדרית" – בחינת כל סעיפי התקציב, לרבות תחומי פעולה ות</w:t>
            </w:r>
            <w:r w:rsidR="000253ED">
              <w:rPr>
                <w:rFonts w:hint="cs"/>
                <w:rtl/>
              </w:rPr>
              <w:t>ו</w:t>
            </w:r>
            <w:r w:rsidRPr="00BF5373">
              <w:rPr>
                <w:rtl/>
              </w:rPr>
              <w:t>כניות כמשמעותם בחוק יסודות התקציב, במטרה לאתר פערים בחלוקת הקצאות בין המינים הגורמים לפע</w:t>
            </w:r>
            <w:r w:rsidR="000253ED">
              <w:rPr>
                <w:rtl/>
              </w:rPr>
              <w:t>רים או מקבעים פערים כאמור או אי</w:t>
            </w:r>
            <w:r w:rsidR="000253ED">
              <w:rPr>
                <w:rFonts w:hint="cs"/>
                <w:rtl/>
              </w:rPr>
              <w:t>-</w:t>
            </w:r>
            <w:r w:rsidRPr="00BF5373">
              <w:rPr>
                <w:rtl/>
              </w:rPr>
              <w:t>שוויון;</w:t>
            </w:r>
          </w:p>
        </w:tc>
      </w:tr>
      <w:tr w:rsidR="00453BD5" w:rsidRPr="00D8019F" w14:paraId="00362505" w14:textId="77777777" w:rsidTr="00BF5373">
        <w:trPr>
          <w:cantSplit/>
        </w:trPr>
        <w:tc>
          <w:tcPr>
            <w:tcW w:w="1871" w:type="dxa"/>
          </w:tcPr>
          <w:p w14:paraId="6912C53F" w14:textId="77777777" w:rsidR="00453BD5" w:rsidRPr="00BF5373" w:rsidRDefault="00453BD5" w:rsidP="00BF5373">
            <w:pPr>
              <w:pStyle w:val="TableSideHeading"/>
              <w:rPr>
                <w:rtl/>
              </w:rPr>
            </w:pPr>
          </w:p>
        </w:tc>
        <w:tc>
          <w:tcPr>
            <w:tcW w:w="624" w:type="dxa"/>
          </w:tcPr>
          <w:p w14:paraId="1025EE29" w14:textId="77777777" w:rsidR="00453BD5" w:rsidRPr="00453BD5" w:rsidRDefault="00453BD5" w:rsidP="00453BD5">
            <w:pPr>
              <w:pStyle w:val="TableText"/>
              <w:keepLines w:val="0"/>
              <w:jc w:val="both"/>
            </w:pPr>
          </w:p>
        </w:tc>
        <w:tc>
          <w:tcPr>
            <w:tcW w:w="7143" w:type="dxa"/>
          </w:tcPr>
          <w:p w14:paraId="1A2E606E" w14:textId="77777777" w:rsidR="00453BD5" w:rsidRPr="00BF5373" w:rsidRDefault="00453BD5" w:rsidP="00BF5373">
            <w:pPr>
              <w:pStyle w:val="TableBlockOutdent"/>
            </w:pPr>
            <w:r w:rsidRPr="00BF5373">
              <w:rPr>
                <w:rtl/>
              </w:rPr>
              <w:t>"תזכיר מגדרי נלווה" – תזכיר שמופיעה בו בחינה מגדרית של כל אחד מסעיפי התקציב, הפרויקט או ההחלטה, לפני העניין;</w:t>
            </w:r>
          </w:p>
        </w:tc>
      </w:tr>
      <w:tr w:rsidR="00453BD5" w:rsidRPr="00D8019F" w14:paraId="29C72A94" w14:textId="77777777" w:rsidTr="00BF5373">
        <w:trPr>
          <w:cantSplit/>
        </w:trPr>
        <w:tc>
          <w:tcPr>
            <w:tcW w:w="1871" w:type="dxa"/>
          </w:tcPr>
          <w:p w14:paraId="3836E81D" w14:textId="77777777" w:rsidR="00453BD5" w:rsidRPr="00BF5373" w:rsidRDefault="00453BD5" w:rsidP="00BF5373">
            <w:pPr>
              <w:pStyle w:val="TableSideHeading"/>
            </w:pPr>
          </w:p>
        </w:tc>
        <w:tc>
          <w:tcPr>
            <w:tcW w:w="624" w:type="dxa"/>
          </w:tcPr>
          <w:p w14:paraId="2D737C53" w14:textId="77777777" w:rsidR="00453BD5" w:rsidRPr="00453BD5" w:rsidRDefault="00453BD5" w:rsidP="00453BD5">
            <w:pPr>
              <w:pStyle w:val="TableText"/>
              <w:keepLines w:val="0"/>
              <w:jc w:val="both"/>
            </w:pPr>
          </w:p>
        </w:tc>
        <w:tc>
          <w:tcPr>
            <w:tcW w:w="7143" w:type="dxa"/>
          </w:tcPr>
          <w:p w14:paraId="42755192" w14:textId="77777777" w:rsidR="00453BD5" w:rsidRPr="00BF5373" w:rsidRDefault="00453BD5" w:rsidP="00BF5373">
            <w:pPr>
              <w:pStyle w:val="TableBlockOutdent"/>
            </w:pPr>
            <w:r w:rsidRPr="00BF5373">
              <w:rPr>
                <w:rtl/>
              </w:rPr>
              <w:t xml:space="preserve">"חוק יסודות התקציב" – חוק יסודות התקציב, </w:t>
            </w:r>
            <w:proofErr w:type="spellStart"/>
            <w:r w:rsidRPr="00BF5373">
              <w:rPr>
                <w:rtl/>
              </w:rPr>
              <w:t>התשמ"ה</w:t>
            </w:r>
            <w:proofErr w:type="spellEnd"/>
            <w:r w:rsidRPr="00BF5373">
              <w:rPr>
                <w:rtl/>
              </w:rPr>
              <w:t>–1985</w:t>
            </w:r>
            <w:r w:rsidRPr="00BF5373">
              <w:rPr>
                <w:vertAlign w:val="superscript"/>
                <w:rtl/>
              </w:rPr>
              <w:footnoteReference w:id="2"/>
            </w:r>
            <w:r w:rsidRPr="00BF5373">
              <w:rPr>
                <w:rtl/>
              </w:rPr>
              <w:t>.</w:t>
            </w:r>
          </w:p>
        </w:tc>
      </w:tr>
      <w:tr w:rsidR="00453BD5" w:rsidRPr="00D8019F" w14:paraId="5035ADAC" w14:textId="77777777" w:rsidTr="00BF5373">
        <w:trPr>
          <w:cantSplit/>
        </w:trPr>
        <w:tc>
          <w:tcPr>
            <w:tcW w:w="1871" w:type="dxa"/>
          </w:tcPr>
          <w:p w14:paraId="58B92FC1" w14:textId="77777777" w:rsidR="00453BD5" w:rsidRPr="00BF5373" w:rsidRDefault="00453BD5" w:rsidP="00BF5373">
            <w:pPr>
              <w:pStyle w:val="TableSideHeading"/>
              <w:rPr>
                <w:rtl/>
              </w:rPr>
            </w:pPr>
            <w:r w:rsidRPr="00BF5373">
              <w:rPr>
                <w:rtl/>
              </w:rPr>
              <w:t>תקצוב מגדרי בהכנת התקציב</w:t>
            </w:r>
          </w:p>
        </w:tc>
        <w:tc>
          <w:tcPr>
            <w:tcW w:w="624" w:type="dxa"/>
          </w:tcPr>
          <w:p w14:paraId="5369DD99" w14:textId="77777777" w:rsidR="00453BD5" w:rsidRPr="00453BD5" w:rsidRDefault="00453BD5" w:rsidP="00453BD5">
            <w:pPr>
              <w:pStyle w:val="TableText"/>
              <w:keepLines w:val="0"/>
              <w:jc w:val="both"/>
            </w:pPr>
            <w:r w:rsidRPr="00453BD5">
              <w:rPr>
                <w:rtl/>
              </w:rPr>
              <w:t>3.</w:t>
            </w:r>
          </w:p>
        </w:tc>
        <w:tc>
          <w:tcPr>
            <w:tcW w:w="7143" w:type="dxa"/>
          </w:tcPr>
          <w:p w14:paraId="1F67124C" w14:textId="3B605F7F" w:rsidR="00453BD5" w:rsidRPr="00BF5373" w:rsidRDefault="00453BD5" w:rsidP="00AF32D2">
            <w:pPr>
              <w:pStyle w:val="TableBlock"/>
            </w:pPr>
            <w:r w:rsidRPr="00BF5373">
              <w:rPr>
                <w:rtl/>
              </w:rPr>
              <w:t>(א)</w:t>
            </w:r>
            <w:r w:rsidRPr="00BF5373">
              <w:rPr>
                <w:rtl/>
              </w:rPr>
              <w:tab/>
              <w:t xml:space="preserve">הממונה על התקציב במשרד ממשלתי או ברשות מקומית (להלן – </w:t>
            </w:r>
            <w:r w:rsidR="00AF32D2">
              <w:rPr>
                <w:rFonts w:hint="cs"/>
                <w:rtl/>
              </w:rPr>
              <w:t>הממונה</w:t>
            </w:r>
            <w:r w:rsidR="00AF32D2">
              <w:rPr>
                <w:rtl/>
              </w:rPr>
              <w:t>) יבצע</w:t>
            </w:r>
            <w:r w:rsidRPr="00BF5373">
              <w:rPr>
                <w:rtl/>
              </w:rPr>
              <w:t xml:space="preserve"> בחינה מגדרית במסגרת הכנת חוק תקציב שנתי או תקציב הרשויות המקומיות, לפי העניין.</w:t>
            </w:r>
          </w:p>
        </w:tc>
      </w:tr>
      <w:tr w:rsidR="00453BD5" w:rsidRPr="00D8019F" w14:paraId="473A01A6" w14:textId="77777777" w:rsidTr="00BF5373">
        <w:trPr>
          <w:cantSplit/>
        </w:trPr>
        <w:tc>
          <w:tcPr>
            <w:tcW w:w="1871" w:type="dxa"/>
          </w:tcPr>
          <w:p w14:paraId="365484F0" w14:textId="77777777" w:rsidR="00453BD5" w:rsidRPr="00BF5373" w:rsidRDefault="00453BD5" w:rsidP="00BF5373">
            <w:pPr>
              <w:pStyle w:val="TableSideHeading"/>
              <w:rPr>
                <w:rtl/>
              </w:rPr>
            </w:pPr>
          </w:p>
        </w:tc>
        <w:tc>
          <w:tcPr>
            <w:tcW w:w="624" w:type="dxa"/>
          </w:tcPr>
          <w:p w14:paraId="637CC2C7" w14:textId="77777777" w:rsidR="00453BD5" w:rsidRPr="00453BD5" w:rsidRDefault="00453BD5" w:rsidP="00453BD5">
            <w:pPr>
              <w:pStyle w:val="TableText"/>
              <w:keepLines w:val="0"/>
              <w:jc w:val="both"/>
            </w:pPr>
          </w:p>
        </w:tc>
        <w:tc>
          <w:tcPr>
            <w:tcW w:w="7143" w:type="dxa"/>
          </w:tcPr>
          <w:p w14:paraId="44493318" w14:textId="6E2A1903" w:rsidR="00453BD5" w:rsidRPr="00BF5373" w:rsidRDefault="00AF32D2" w:rsidP="00BF5373">
            <w:pPr>
              <w:pStyle w:val="TableBlock"/>
            </w:pPr>
            <w:r>
              <w:rPr>
                <w:rtl/>
              </w:rPr>
              <w:t>(ב)</w:t>
            </w:r>
            <w:r>
              <w:rPr>
                <w:rtl/>
              </w:rPr>
              <w:tab/>
              <w:t>הממונ</w:t>
            </w:r>
            <w:r>
              <w:rPr>
                <w:rFonts w:hint="cs"/>
                <w:rtl/>
              </w:rPr>
              <w:t>ה</w:t>
            </w:r>
            <w:r>
              <w:rPr>
                <w:rtl/>
              </w:rPr>
              <w:t xml:space="preserve"> יפרט את ממצאי</w:t>
            </w:r>
            <w:r>
              <w:rPr>
                <w:rFonts w:hint="cs"/>
                <w:rtl/>
              </w:rPr>
              <w:t>ו</w:t>
            </w:r>
            <w:r w:rsidR="00453BD5" w:rsidRPr="00BF5373">
              <w:rPr>
                <w:rtl/>
              </w:rPr>
              <w:t>, כאמור בסעיף קטן (א), בתזכיר מגדרי נלווה; תזכיר מגדרי נלווה כאמור יצורף להצעת התקציב כשהיא מובאת לאישור.</w:t>
            </w:r>
          </w:p>
        </w:tc>
      </w:tr>
      <w:tr w:rsidR="00453BD5" w:rsidRPr="00D8019F" w14:paraId="474C714C" w14:textId="77777777" w:rsidTr="00BF5373">
        <w:trPr>
          <w:cantSplit/>
        </w:trPr>
        <w:tc>
          <w:tcPr>
            <w:tcW w:w="1871" w:type="dxa"/>
          </w:tcPr>
          <w:p w14:paraId="175E26A8" w14:textId="1CE1EE4D" w:rsidR="00453BD5" w:rsidRPr="00BF5373" w:rsidRDefault="00453BD5" w:rsidP="00BF5373">
            <w:pPr>
              <w:pStyle w:val="TableSideHeading"/>
            </w:pPr>
            <w:r w:rsidRPr="00BF5373">
              <w:rPr>
                <w:rtl/>
              </w:rPr>
              <w:lastRenderedPageBreak/>
              <w:t xml:space="preserve">תקצוב מגדרי </w:t>
            </w:r>
            <w:r w:rsidR="00BF5373">
              <w:rPr>
                <w:rtl/>
              </w:rPr>
              <w:br/>
            </w:r>
            <w:r w:rsidRPr="00BF5373">
              <w:rPr>
                <w:rtl/>
              </w:rPr>
              <w:t>שוטף</w:t>
            </w:r>
          </w:p>
        </w:tc>
        <w:tc>
          <w:tcPr>
            <w:tcW w:w="624" w:type="dxa"/>
          </w:tcPr>
          <w:p w14:paraId="11FDBD59" w14:textId="77777777" w:rsidR="00453BD5" w:rsidRPr="00453BD5" w:rsidRDefault="00453BD5" w:rsidP="00453BD5">
            <w:pPr>
              <w:pStyle w:val="TableText"/>
              <w:keepLines w:val="0"/>
              <w:jc w:val="both"/>
            </w:pPr>
            <w:r w:rsidRPr="00453BD5">
              <w:rPr>
                <w:rtl/>
              </w:rPr>
              <w:t>4.</w:t>
            </w:r>
          </w:p>
        </w:tc>
        <w:tc>
          <w:tcPr>
            <w:tcW w:w="7143" w:type="dxa"/>
          </w:tcPr>
          <w:p w14:paraId="4E55A94B" w14:textId="77777777" w:rsidR="00453BD5" w:rsidRPr="00BF5373" w:rsidRDefault="00453BD5" w:rsidP="00BF5373">
            <w:pPr>
              <w:pStyle w:val="TableBlock"/>
            </w:pPr>
            <w:r w:rsidRPr="00BF5373">
              <w:rPr>
                <w:rtl/>
              </w:rPr>
              <w:t>הצעות חוק וחקיקת משנה, שינויים בתקציב לפי סעיף 11 לחוק יסודות התקציב, החלטות ממשלה, פרויקטים ופעילות במשרדי הממשלה או ברשויות המקומיות, שיש להם ביטוי תקציבי, ילוו בתזכיר מגדרי נלווה.</w:t>
            </w:r>
          </w:p>
        </w:tc>
      </w:tr>
      <w:tr w:rsidR="00453BD5" w:rsidRPr="00D8019F" w14:paraId="7EF95185" w14:textId="77777777" w:rsidTr="00BF5373">
        <w:trPr>
          <w:cantSplit/>
        </w:trPr>
        <w:tc>
          <w:tcPr>
            <w:tcW w:w="1871" w:type="dxa"/>
          </w:tcPr>
          <w:p w14:paraId="5AA33C49" w14:textId="77777777" w:rsidR="00453BD5" w:rsidRPr="00BF5373" w:rsidRDefault="00453BD5" w:rsidP="00BF5373">
            <w:pPr>
              <w:pStyle w:val="TableSideHeading"/>
            </w:pPr>
            <w:r w:rsidRPr="00BF5373">
              <w:rPr>
                <w:rtl/>
              </w:rPr>
              <w:t>כללים לבחינה מגדרית</w:t>
            </w:r>
          </w:p>
        </w:tc>
        <w:tc>
          <w:tcPr>
            <w:tcW w:w="624" w:type="dxa"/>
          </w:tcPr>
          <w:p w14:paraId="434CA7E4" w14:textId="77777777" w:rsidR="00453BD5" w:rsidRPr="00453BD5" w:rsidRDefault="00453BD5" w:rsidP="00453BD5">
            <w:pPr>
              <w:pStyle w:val="TableText"/>
              <w:keepLines w:val="0"/>
              <w:jc w:val="both"/>
            </w:pPr>
            <w:r w:rsidRPr="00453BD5">
              <w:rPr>
                <w:rtl/>
              </w:rPr>
              <w:t>5.</w:t>
            </w:r>
          </w:p>
        </w:tc>
        <w:tc>
          <w:tcPr>
            <w:tcW w:w="7143" w:type="dxa"/>
          </w:tcPr>
          <w:p w14:paraId="6ED1BAD4" w14:textId="77777777" w:rsidR="00453BD5" w:rsidRPr="00BF5373" w:rsidRDefault="00453BD5" w:rsidP="00BF5373">
            <w:pPr>
              <w:pStyle w:val="TableBlock"/>
            </w:pPr>
            <w:r w:rsidRPr="00BF5373">
              <w:rPr>
                <w:rtl/>
              </w:rPr>
              <w:t>(א)</w:t>
            </w:r>
            <w:r w:rsidRPr="00BF5373">
              <w:rPr>
                <w:rtl/>
              </w:rPr>
              <w:tab/>
              <w:t xml:space="preserve">שר האוצר, בהתייעצות עם הרשות לקידום מעמד האישה כמשמעותה בחוק הרשות לקידום מעמד האישה, </w:t>
            </w:r>
            <w:proofErr w:type="spellStart"/>
            <w:r w:rsidRPr="00BF5373">
              <w:rPr>
                <w:rtl/>
              </w:rPr>
              <w:t>התשנ"ח</w:t>
            </w:r>
            <w:proofErr w:type="spellEnd"/>
            <w:r w:rsidRPr="00BF5373">
              <w:rPr>
                <w:rtl/>
              </w:rPr>
              <w:t>–1998</w:t>
            </w:r>
            <w:r w:rsidRPr="00BF5373">
              <w:rPr>
                <w:vertAlign w:val="superscript"/>
                <w:rtl/>
              </w:rPr>
              <w:footnoteReference w:id="3"/>
            </w:r>
            <w:r w:rsidRPr="00BF5373">
              <w:rPr>
                <w:rtl/>
              </w:rPr>
              <w:t>, יקבע כללים בדבר בחינה מגדרית של תקציב המדינה, לרבות לעניין איסוף המידע הדרוש לעניין זה, ויפרסמם באתר האינטרנט של משרד האוצר; כללים כאמור יפורסמו לא יאוחר מיום 1 בפברואר של כל שנת כספים.</w:t>
            </w:r>
          </w:p>
        </w:tc>
      </w:tr>
      <w:tr w:rsidR="00453BD5" w:rsidRPr="00D8019F" w14:paraId="58CED577" w14:textId="77777777" w:rsidTr="00BF5373">
        <w:trPr>
          <w:cantSplit/>
        </w:trPr>
        <w:tc>
          <w:tcPr>
            <w:tcW w:w="1871" w:type="dxa"/>
          </w:tcPr>
          <w:p w14:paraId="3DB95AEB" w14:textId="77777777" w:rsidR="00453BD5" w:rsidRPr="00BF5373" w:rsidRDefault="00453BD5" w:rsidP="00BF5373">
            <w:pPr>
              <w:pStyle w:val="TableSideHeading"/>
              <w:rPr>
                <w:rtl/>
              </w:rPr>
            </w:pPr>
          </w:p>
        </w:tc>
        <w:tc>
          <w:tcPr>
            <w:tcW w:w="624" w:type="dxa"/>
          </w:tcPr>
          <w:p w14:paraId="0AE1D01A" w14:textId="77777777" w:rsidR="00453BD5" w:rsidRPr="00453BD5" w:rsidRDefault="00453BD5" w:rsidP="00453BD5">
            <w:pPr>
              <w:pStyle w:val="TableText"/>
              <w:keepLines w:val="0"/>
              <w:jc w:val="both"/>
              <w:rPr>
                <w:rtl/>
              </w:rPr>
            </w:pPr>
          </w:p>
        </w:tc>
        <w:tc>
          <w:tcPr>
            <w:tcW w:w="7143" w:type="dxa"/>
          </w:tcPr>
          <w:p w14:paraId="13F92A0C" w14:textId="77777777" w:rsidR="00453BD5" w:rsidRPr="00BF5373" w:rsidRDefault="00453BD5" w:rsidP="00BF5373">
            <w:pPr>
              <w:pStyle w:val="TableBlock"/>
              <w:rPr>
                <w:rtl/>
              </w:rPr>
            </w:pPr>
            <w:r w:rsidRPr="00BF5373">
              <w:rPr>
                <w:rtl/>
              </w:rPr>
              <w:t>(ב)</w:t>
            </w:r>
            <w:r w:rsidRPr="00BF5373">
              <w:rPr>
                <w:rtl/>
              </w:rPr>
              <w:tab/>
              <w:t>שר הפנים יקבע כללים בדבר בחינה מגדרית של תקציבי הרשויות המקומיות, לרבות לעניין איסוף המידע הדרוש לעניין זה, ויפרסמם באתר האינטרנט של משרד הפנים; כללים כאמור יפורסמו לא יאוחר מיום 1 בפברואר של כל שנת כספים.</w:t>
            </w:r>
          </w:p>
        </w:tc>
      </w:tr>
      <w:tr w:rsidR="00453BD5" w:rsidRPr="00D8019F" w14:paraId="4F7A1316" w14:textId="77777777" w:rsidTr="00BF5373">
        <w:trPr>
          <w:cantSplit/>
        </w:trPr>
        <w:tc>
          <w:tcPr>
            <w:tcW w:w="1871" w:type="dxa"/>
          </w:tcPr>
          <w:p w14:paraId="11E01E89" w14:textId="77777777" w:rsidR="00453BD5" w:rsidRPr="00BF5373" w:rsidRDefault="00453BD5" w:rsidP="00BF5373">
            <w:pPr>
              <w:pStyle w:val="TableSideHeading"/>
              <w:rPr>
                <w:rtl/>
              </w:rPr>
            </w:pPr>
            <w:r w:rsidRPr="00BF5373">
              <w:rPr>
                <w:rtl/>
              </w:rPr>
              <w:t>ביצוע ותקנות</w:t>
            </w:r>
          </w:p>
        </w:tc>
        <w:tc>
          <w:tcPr>
            <w:tcW w:w="624" w:type="dxa"/>
          </w:tcPr>
          <w:p w14:paraId="5E001B40" w14:textId="77777777" w:rsidR="00453BD5" w:rsidRPr="00453BD5" w:rsidRDefault="00453BD5" w:rsidP="00453BD5">
            <w:pPr>
              <w:pStyle w:val="TableText"/>
              <w:keepLines w:val="0"/>
              <w:jc w:val="both"/>
              <w:rPr>
                <w:rtl/>
              </w:rPr>
            </w:pPr>
            <w:r w:rsidRPr="00453BD5">
              <w:rPr>
                <w:rtl/>
              </w:rPr>
              <w:t xml:space="preserve">6. </w:t>
            </w:r>
          </w:p>
        </w:tc>
        <w:tc>
          <w:tcPr>
            <w:tcW w:w="7143" w:type="dxa"/>
          </w:tcPr>
          <w:p w14:paraId="452249E8" w14:textId="77777777" w:rsidR="00453BD5" w:rsidRPr="00BF5373" w:rsidRDefault="00453BD5" w:rsidP="00BF5373">
            <w:pPr>
              <w:pStyle w:val="TableBlock"/>
              <w:rPr>
                <w:rtl/>
              </w:rPr>
            </w:pPr>
            <w:r w:rsidRPr="00BF5373">
              <w:rPr>
                <w:rtl/>
              </w:rPr>
              <w:t>שר האוצר ממונה על ביצועו של חוק זה, והוא רשאי, באישור ועדת הכספים של הכנסת, להתקין תקנות לביצועו, לרבות בעניינים אלה:</w:t>
            </w:r>
          </w:p>
        </w:tc>
      </w:tr>
      <w:tr w:rsidR="00453BD5" w:rsidRPr="00D8019F" w14:paraId="78186B0A" w14:textId="77777777" w:rsidTr="00BF5373">
        <w:trPr>
          <w:cantSplit/>
        </w:trPr>
        <w:tc>
          <w:tcPr>
            <w:tcW w:w="1871" w:type="dxa"/>
          </w:tcPr>
          <w:p w14:paraId="193B099D" w14:textId="77777777" w:rsidR="00453BD5" w:rsidRPr="00BF5373" w:rsidRDefault="00453BD5" w:rsidP="00BF5373">
            <w:pPr>
              <w:pStyle w:val="TableSideHeading"/>
              <w:rPr>
                <w:rtl/>
              </w:rPr>
            </w:pPr>
          </w:p>
        </w:tc>
        <w:tc>
          <w:tcPr>
            <w:tcW w:w="624" w:type="dxa"/>
          </w:tcPr>
          <w:p w14:paraId="08EC7E9E" w14:textId="77777777" w:rsidR="00453BD5" w:rsidRPr="00453BD5" w:rsidRDefault="00453BD5" w:rsidP="00453BD5">
            <w:pPr>
              <w:pStyle w:val="TableText"/>
              <w:keepLines w:val="0"/>
              <w:jc w:val="both"/>
              <w:rPr>
                <w:rtl/>
              </w:rPr>
            </w:pPr>
          </w:p>
        </w:tc>
        <w:tc>
          <w:tcPr>
            <w:tcW w:w="7143" w:type="dxa"/>
          </w:tcPr>
          <w:p w14:paraId="73C217D0" w14:textId="77777777" w:rsidR="00453BD5" w:rsidRPr="00BF5373" w:rsidRDefault="00453BD5" w:rsidP="00BF5373">
            <w:pPr>
              <w:pStyle w:val="TableBlock"/>
              <w:rPr>
                <w:rtl/>
              </w:rPr>
            </w:pPr>
            <w:r w:rsidRPr="00BF5373">
              <w:rPr>
                <w:rtl/>
              </w:rPr>
              <w:t>(1)</w:t>
            </w:r>
            <w:r w:rsidRPr="00BF5373">
              <w:rPr>
                <w:rtl/>
              </w:rPr>
              <w:tab/>
              <w:t>עריכת התזכיר המגדרי הנלווה;</w:t>
            </w:r>
          </w:p>
        </w:tc>
      </w:tr>
      <w:tr w:rsidR="00453BD5" w:rsidRPr="00D8019F" w14:paraId="022EA448" w14:textId="77777777" w:rsidTr="00BF5373">
        <w:trPr>
          <w:cantSplit/>
        </w:trPr>
        <w:tc>
          <w:tcPr>
            <w:tcW w:w="1871" w:type="dxa"/>
          </w:tcPr>
          <w:p w14:paraId="5BCF4ECD" w14:textId="77777777" w:rsidR="00453BD5" w:rsidRPr="00BF5373" w:rsidRDefault="00453BD5" w:rsidP="00BF5373">
            <w:pPr>
              <w:pStyle w:val="TableSideHeading"/>
              <w:rPr>
                <w:rtl/>
              </w:rPr>
            </w:pPr>
          </w:p>
        </w:tc>
        <w:tc>
          <w:tcPr>
            <w:tcW w:w="624" w:type="dxa"/>
          </w:tcPr>
          <w:p w14:paraId="3B0EE52A" w14:textId="77777777" w:rsidR="00453BD5" w:rsidRPr="00453BD5" w:rsidRDefault="00453BD5" w:rsidP="00453BD5">
            <w:pPr>
              <w:pStyle w:val="TableText"/>
              <w:keepLines w:val="0"/>
              <w:jc w:val="both"/>
              <w:rPr>
                <w:rtl/>
              </w:rPr>
            </w:pPr>
          </w:p>
        </w:tc>
        <w:tc>
          <w:tcPr>
            <w:tcW w:w="7143" w:type="dxa"/>
          </w:tcPr>
          <w:p w14:paraId="457A5C2B" w14:textId="729FF7BC" w:rsidR="00453BD5" w:rsidRPr="00BF5373" w:rsidRDefault="00453BD5" w:rsidP="00BF5373">
            <w:pPr>
              <w:pStyle w:val="TableBlock"/>
              <w:rPr>
                <w:rtl/>
              </w:rPr>
            </w:pPr>
            <w:r w:rsidRPr="00BF5373">
              <w:rPr>
                <w:rtl/>
              </w:rPr>
              <w:t>(2)</w:t>
            </w:r>
            <w:r w:rsidR="00117830">
              <w:rPr>
                <w:rtl/>
              </w:rPr>
              <w:tab/>
            </w:r>
            <w:r w:rsidRPr="00BF5373">
              <w:rPr>
                <w:rtl/>
              </w:rPr>
              <w:t>קביע</w:t>
            </w:r>
            <w:r w:rsidR="00BF5373">
              <w:rPr>
                <w:rtl/>
              </w:rPr>
              <w:t>ת גופים ציבוריים נוספים אשר יחו</w:t>
            </w:r>
            <w:r w:rsidRPr="00BF5373">
              <w:rPr>
                <w:rtl/>
              </w:rPr>
              <w:t>יבו בבחינה מגדרית בהתאם להוראות חוק זה.</w:t>
            </w:r>
          </w:p>
        </w:tc>
      </w:tr>
      <w:tr w:rsidR="00453BD5" w:rsidRPr="00D8019F" w14:paraId="50A3A9F1" w14:textId="77777777" w:rsidTr="00BF5373">
        <w:trPr>
          <w:cantSplit/>
        </w:trPr>
        <w:tc>
          <w:tcPr>
            <w:tcW w:w="1871" w:type="dxa"/>
          </w:tcPr>
          <w:p w14:paraId="52611CA5" w14:textId="77777777" w:rsidR="00453BD5" w:rsidRPr="00BF5373" w:rsidRDefault="00453BD5" w:rsidP="00BF5373">
            <w:pPr>
              <w:pStyle w:val="TableSideHeading"/>
              <w:rPr>
                <w:rtl/>
              </w:rPr>
            </w:pPr>
            <w:r w:rsidRPr="00BF5373">
              <w:rPr>
                <w:rtl/>
              </w:rPr>
              <w:t>תחילה</w:t>
            </w:r>
          </w:p>
        </w:tc>
        <w:tc>
          <w:tcPr>
            <w:tcW w:w="624" w:type="dxa"/>
          </w:tcPr>
          <w:p w14:paraId="7294D283" w14:textId="77777777" w:rsidR="00453BD5" w:rsidRPr="00453BD5" w:rsidRDefault="00453BD5" w:rsidP="00453BD5">
            <w:pPr>
              <w:pStyle w:val="TableText"/>
              <w:keepLines w:val="0"/>
              <w:jc w:val="both"/>
              <w:rPr>
                <w:rtl/>
              </w:rPr>
            </w:pPr>
            <w:r w:rsidRPr="00453BD5">
              <w:rPr>
                <w:rtl/>
              </w:rPr>
              <w:t>7.</w:t>
            </w:r>
          </w:p>
        </w:tc>
        <w:tc>
          <w:tcPr>
            <w:tcW w:w="7143" w:type="dxa"/>
          </w:tcPr>
          <w:p w14:paraId="525CE400" w14:textId="79C843CB" w:rsidR="00453BD5" w:rsidRPr="00BF5373" w:rsidRDefault="00453BD5" w:rsidP="00290C21">
            <w:pPr>
              <w:pStyle w:val="TableBlock"/>
              <w:rPr>
                <w:rtl/>
              </w:rPr>
            </w:pPr>
            <w:r w:rsidRPr="00BF5373">
              <w:rPr>
                <w:rtl/>
              </w:rPr>
              <w:t xml:space="preserve">תחילתו של חוק זה 30 </w:t>
            </w:r>
            <w:r w:rsidR="00290C21">
              <w:rPr>
                <w:rFonts w:hint="cs"/>
                <w:rtl/>
              </w:rPr>
              <w:t>ימים</w:t>
            </w:r>
            <w:r w:rsidRPr="00BF5373">
              <w:rPr>
                <w:rtl/>
              </w:rPr>
              <w:t xml:space="preserve"> מיום פרסומו (להלן – יום התחילה).</w:t>
            </w:r>
          </w:p>
        </w:tc>
      </w:tr>
      <w:tr w:rsidR="00453BD5" w:rsidRPr="00D8019F" w14:paraId="469AFD0A" w14:textId="77777777" w:rsidTr="00BF5373">
        <w:trPr>
          <w:cantSplit/>
        </w:trPr>
        <w:tc>
          <w:tcPr>
            <w:tcW w:w="1871" w:type="dxa"/>
          </w:tcPr>
          <w:p w14:paraId="31BB6981" w14:textId="77777777" w:rsidR="00453BD5" w:rsidRPr="00BF5373" w:rsidRDefault="00453BD5" w:rsidP="00BF5373">
            <w:pPr>
              <w:pStyle w:val="TableSideHeading"/>
              <w:rPr>
                <w:rtl/>
              </w:rPr>
            </w:pPr>
            <w:r w:rsidRPr="00BF5373">
              <w:rPr>
                <w:rtl/>
              </w:rPr>
              <w:t>תקנות ראשונות</w:t>
            </w:r>
          </w:p>
        </w:tc>
        <w:tc>
          <w:tcPr>
            <w:tcW w:w="624" w:type="dxa"/>
          </w:tcPr>
          <w:p w14:paraId="7DCB435D" w14:textId="77777777" w:rsidR="00453BD5" w:rsidRPr="00453BD5" w:rsidRDefault="00453BD5" w:rsidP="00453BD5">
            <w:pPr>
              <w:pStyle w:val="TableText"/>
              <w:keepLines w:val="0"/>
              <w:jc w:val="both"/>
              <w:rPr>
                <w:rtl/>
              </w:rPr>
            </w:pPr>
            <w:r w:rsidRPr="00453BD5">
              <w:rPr>
                <w:rtl/>
              </w:rPr>
              <w:t>8.</w:t>
            </w:r>
          </w:p>
        </w:tc>
        <w:tc>
          <w:tcPr>
            <w:tcW w:w="7143" w:type="dxa"/>
          </w:tcPr>
          <w:p w14:paraId="79E44E41" w14:textId="77777777" w:rsidR="00453BD5" w:rsidRPr="00BF5373" w:rsidRDefault="00453BD5" w:rsidP="00BF5373">
            <w:pPr>
              <w:pStyle w:val="TableBlock"/>
              <w:rPr>
                <w:rtl/>
              </w:rPr>
            </w:pPr>
            <w:r w:rsidRPr="00BF5373">
              <w:rPr>
                <w:rtl/>
              </w:rPr>
              <w:t>תקנות ראשונות לפי סעיף 5(א) יותקנו בתוך 60 ימים מיום התחילה.</w:t>
            </w:r>
          </w:p>
        </w:tc>
      </w:tr>
    </w:tbl>
    <w:p w14:paraId="7F6961CB" w14:textId="0B96091A" w:rsidR="00E13C27" w:rsidRDefault="002D1EE3" w:rsidP="00453BD5">
      <w:pPr>
        <w:pStyle w:val="HeadDivreiHesber"/>
        <w:rPr>
          <w:rtl/>
        </w:rPr>
      </w:pPr>
      <w:r w:rsidRPr="0027450A">
        <w:rPr>
          <w:rFonts w:hint="cs"/>
          <w:rtl/>
        </w:rPr>
        <w:t>דברי הסבר</w:t>
      </w:r>
    </w:p>
    <w:p w14:paraId="2CB36A7A" w14:textId="77777777" w:rsidR="00453BD5" w:rsidRPr="00EA1A12" w:rsidRDefault="00453BD5" w:rsidP="00453BD5">
      <w:pPr>
        <w:pStyle w:val="Hesber"/>
        <w:rPr>
          <w:rtl/>
        </w:rPr>
      </w:pPr>
      <w:r w:rsidRPr="00EA1A12">
        <w:rPr>
          <w:rtl/>
        </w:rPr>
        <w:t xml:space="preserve">בשנים האחרונות גוברת ההבנה כי שוויון מגדרי מהווה זכות יסוד וכן תורם לחברה בריאה יותר ולחברה וכלכלה יצרניות יותר. יחד עם זאת, עדיין קיימים פערים חברתיים וכלכליים בין נשים לגברים. בשל כך, נעשו לאורך השנים מאמצים רבים לצמצום פערים אלה ולקידום השוויון המגדרי. תקצוב מגדרי הוא אסטרטגיה מרכזית נוספת במאמצים אלה וככזה הוא אומץ במדינות רבות בעולם. הרעיון העומד מאחורי התקצוב המגדרי הוא בחינה של תקציבים ושימוש בכלים תקציביים לקביעת סדר עדיפויות במטרה למנוע, לצמצם או לתקן אי-שוויון קיים בין גברים </w:t>
      </w:r>
      <w:r>
        <w:rPr>
          <w:rFonts w:hint="cs"/>
          <w:rtl/>
        </w:rPr>
        <w:t>ל</w:t>
      </w:r>
      <w:r w:rsidRPr="00EA1A12">
        <w:rPr>
          <w:rtl/>
        </w:rPr>
        <w:t>נשים ולקדם באופן יזום שוויון בין גברים לנשים.</w:t>
      </w:r>
    </w:p>
    <w:p w14:paraId="7A08A31B" w14:textId="0B4C83CB" w:rsidR="00453BD5" w:rsidRPr="00EA1A12" w:rsidRDefault="00453BD5" w:rsidP="00BF5373">
      <w:pPr>
        <w:pStyle w:val="Hesber"/>
        <w:rPr>
          <w:rtl/>
        </w:rPr>
      </w:pPr>
      <w:r w:rsidRPr="00EA1A12">
        <w:rPr>
          <w:rtl/>
        </w:rPr>
        <w:t xml:space="preserve">ניתוח מגדרי של כלל התקציב ושל תהליך הכנתו משקף כיצד מחולקים המשאבים בין נשים וגברים ובאיזו מידה הולמת חלוקת המשאבים את הצרכים ואת סדרי העדיפויות של נשים וגברים, נערות ונערים, ילדות וילדים. ניתוח מגדרי של התקציב הוא אסטרטגיה לקידום מעמדן של נשים ולצמצום </w:t>
      </w:r>
      <w:r w:rsidRPr="00EA1A12">
        <w:rPr>
          <w:rtl/>
        </w:rPr>
        <w:lastRenderedPageBreak/>
        <w:t>אי</w:t>
      </w:r>
      <w:r w:rsidR="000253ED">
        <w:rPr>
          <w:rFonts w:hint="cs"/>
          <w:rtl/>
        </w:rPr>
        <w:t>-</w:t>
      </w:r>
      <w:r w:rsidRPr="00EA1A12">
        <w:rPr>
          <w:rtl/>
        </w:rPr>
        <w:t>השוויון המגדרי בחברה.</w:t>
      </w:r>
    </w:p>
    <w:p w14:paraId="38664C61" w14:textId="25846B17" w:rsidR="00453BD5" w:rsidRPr="00EA1A12" w:rsidRDefault="00453BD5" w:rsidP="00453BD5">
      <w:pPr>
        <w:pStyle w:val="Hesber"/>
      </w:pPr>
      <w:r w:rsidRPr="00EA1A12">
        <w:rPr>
          <w:rtl/>
        </w:rPr>
        <w:t>תקציב המדינה, ובתוך כך תקציבי המשרדים הממשלתיים והרשויות הציבוריות, נראה על פניו כלי ניטראלי המורכב מסכומים כספיים המציינים הוצאות והכנסות. לרוב, אין בו אזכור מפורש של נשים או של גברים. ואולם, נשים וגברים מקבוצות חברתיות שונות, ממוקמים בעמדות שונות בחברה, בשוק העבודה ובתוך המשפחה, המאופיינות בהבדלים בצרכים ובתפקידים. שירותים ציבוריים כגון חינוך, בריאות, תחבורה ציבורית ורווחה נצרכים במידות שונות ובאופנים שונים על ידי נשים וגברים. לפיכך, התקציב משפיע באופן שונה על כל אזרחית ואזרח.</w:t>
      </w:r>
    </w:p>
    <w:p w14:paraId="478CEB99" w14:textId="40E20E57" w:rsidR="00453BD5" w:rsidRPr="00EA1A12" w:rsidRDefault="00453BD5" w:rsidP="00453BD5">
      <w:pPr>
        <w:pStyle w:val="Hesber"/>
      </w:pPr>
      <w:r w:rsidRPr="00EA1A12">
        <w:rPr>
          <w:rtl/>
        </w:rPr>
        <w:t xml:space="preserve">תקצוב מגדרי אין פירושו בהכרח חלוקה שווה של משאבים בין נשים וגברים אלא מבט על כלל התקציב מנקודת מבט מגדרית, על מנת להעריך כיצד הוא מתמודד עם הצרכים השונים של נשים וגברים. </w:t>
      </w:r>
    </w:p>
    <w:p w14:paraId="04371591" w14:textId="77777777" w:rsidR="00453BD5" w:rsidRPr="00EA1A12" w:rsidRDefault="00453BD5" w:rsidP="00453BD5">
      <w:pPr>
        <w:pStyle w:val="Hesber"/>
        <w:rPr>
          <w:rtl/>
        </w:rPr>
      </w:pPr>
      <w:r>
        <w:rPr>
          <w:rFonts w:hint="cs"/>
          <w:rtl/>
        </w:rPr>
        <w:t>ב</w:t>
      </w:r>
      <w:r w:rsidRPr="00EA1A12">
        <w:rPr>
          <w:rtl/>
        </w:rPr>
        <w:t>סעיף 1 מוצע לקבוע כי מטרתו של חוק זה היא להסדיר בחינה מגדרית של תקציבי המדינה לרבות ביחס לחוק תקציב שנתי ותקציבי הרשויות המקומיות וזאת כדי להגביר את השוויון בין נשים וגברים ולהבטיח חלוקה הוגנת ונכונה של המשאבים. כמו כן, החלת בחינה מגדרית תגביר את שקיפות התקציב והכנתו ובכך תתרום לחיזוק הדמוקרטיה.</w:t>
      </w:r>
    </w:p>
    <w:p w14:paraId="50430C01" w14:textId="77777777" w:rsidR="00453BD5" w:rsidRPr="00EA1A12" w:rsidRDefault="00453BD5" w:rsidP="00453BD5">
      <w:pPr>
        <w:pStyle w:val="Hesber"/>
        <w:rPr>
          <w:rtl/>
        </w:rPr>
      </w:pPr>
      <w:r>
        <w:rPr>
          <w:rFonts w:hint="cs"/>
          <w:rtl/>
        </w:rPr>
        <w:t>ב</w:t>
      </w:r>
      <w:r w:rsidRPr="00EA1A12">
        <w:rPr>
          <w:rtl/>
        </w:rPr>
        <w:t>סעיף 2 מוצע להגדיר בחינה מגדרית כבחינת הרבדים השונים והמשמעויות הנלוות של סעיפי התקציב (לרבות תחומי הפעולה ותכניות) לחייהם של נשים וגברים על מנת לאתר פערים בחלוקת הקצאות. בנוסף מוצע להגדיר תזכיר מגדרי נלווה כתזכיר שבו תהיה התייחסות לבחינה המגדרית של כל אחד מסעיפי התקציב.</w:t>
      </w:r>
    </w:p>
    <w:p w14:paraId="37306246" w14:textId="77777777" w:rsidR="00453BD5" w:rsidRPr="00EA1A12" w:rsidRDefault="00453BD5" w:rsidP="00453BD5">
      <w:pPr>
        <w:pStyle w:val="Hesber"/>
        <w:rPr>
          <w:rtl/>
        </w:rPr>
      </w:pPr>
      <w:r>
        <w:rPr>
          <w:rFonts w:hint="cs"/>
          <w:rtl/>
        </w:rPr>
        <w:t>ב</w:t>
      </w:r>
      <w:r w:rsidRPr="00EA1A12">
        <w:rPr>
          <w:rtl/>
        </w:rPr>
        <w:t>סעיף 3 מוצע לקבוע כי הממונה על התקציב במשרד ממשלתי או ברשות מקומית יבצע בחינה מגדרית במסגרת הכנת חוק תקציב שנתי או תקציבי הרשויות המקומיות וממצאי בחינה מגדרית זו יפורטו בתזכיר מגדרי נלווה שיובא לאישור יחד עם הצעת התקציב.</w:t>
      </w:r>
    </w:p>
    <w:p w14:paraId="5636DE16" w14:textId="77777777" w:rsidR="00453BD5" w:rsidRPr="00EA1A12" w:rsidRDefault="00453BD5" w:rsidP="00453BD5">
      <w:pPr>
        <w:pStyle w:val="Hesber"/>
        <w:rPr>
          <w:rtl/>
        </w:rPr>
      </w:pPr>
      <w:r>
        <w:rPr>
          <w:rFonts w:hint="cs"/>
          <w:rtl/>
        </w:rPr>
        <w:t>ב</w:t>
      </w:r>
      <w:r w:rsidRPr="00EA1A12">
        <w:rPr>
          <w:rtl/>
        </w:rPr>
        <w:t xml:space="preserve">סעיף 4 מוצע לקבוע גם ביחס להצעות חוק וחקיקת משנה, וכן העברות תקציביות, החלטות ממשלה, פרויקטים ופעילות במשרדי הממשלה או ברשויות המקומיות, שיש להם ביטוי תקציבי שהן ילוו בתזכיר מגדרי נלווה. סעיפים 3 ו-4 להצעת החוק הם סעיפים מרכזיים בהצעה ומטרתם אינה לבחון את ההשפעות המגדריות של סעיפים שנדמה שיש להם השפעה מגדרית, אלא קודם לנתח את הסעיף, וכתוצאה מהניתוח לדלות מתוכו את ההשפעה המגדרית שהוא טומן בחובו. </w:t>
      </w:r>
    </w:p>
    <w:p w14:paraId="11F2D6D9" w14:textId="77777777" w:rsidR="00453BD5" w:rsidRPr="00EA1A12" w:rsidRDefault="00453BD5" w:rsidP="00453BD5">
      <w:pPr>
        <w:pStyle w:val="Hesber"/>
        <w:rPr>
          <w:rtl/>
        </w:rPr>
      </w:pPr>
      <w:r>
        <w:rPr>
          <w:rFonts w:hint="cs"/>
          <w:rtl/>
        </w:rPr>
        <w:t>ב</w:t>
      </w:r>
      <w:r w:rsidRPr="00EA1A12">
        <w:rPr>
          <w:rtl/>
        </w:rPr>
        <w:t>סעיף 5 מוצע לקבוע כי שר האוצר, בהתייעצות עם הרשות לקידום מעמד האישה, יקבע כללים בדבר בחינה מגדרית של תקציב המדינה, אשר יפורסמו באתר האינטרנט של משרד האוצר עד ליום 1 בפברואר של כל שנת כספים. מוצע לקבוע אותה הסמכה גם לעניין שר הפנים ביחס לתקציבי הרשויות המקומיות.</w:t>
      </w:r>
    </w:p>
    <w:p w14:paraId="2C29090B" w14:textId="77777777" w:rsidR="00453BD5" w:rsidRPr="00EA1A12" w:rsidRDefault="00453BD5" w:rsidP="00453BD5">
      <w:pPr>
        <w:pStyle w:val="Hesber"/>
        <w:rPr>
          <w:rtl/>
        </w:rPr>
      </w:pPr>
      <w:r>
        <w:rPr>
          <w:rFonts w:hint="cs"/>
          <w:rtl/>
        </w:rPr>
        <w:t>ב</w:t>
      </w:r>
      <w:r w:rsidRPr="00EA1A12">
        <w:rPr>
          <w:rtl/>
        </w:rPr>
        <w:t xml:space="preserve">סעיף 6 מוצע לקבוע כי שר האוצר ממונה על ביצועו של חוק זה, והוא רשאי להתקין תקנות לביצועו, לרבות לעניין עריכת התזכיר המגדרי הנלווה וכן קביעת גופים ציבוריים נוספים שיחויבו בבחינה מגדרית בהתאם להוראות החוק המוצע. </w:t>
      </w:r>
    </w:p>
    <w:p w14:paraId="3D4CA60A" w14:textId="77777777" w:rsidR="00453BD5" w:rsidRPr="00EA1A12" w:rsidRDefault="00453BD5" w:rsidP="00453BD5">
      <w:pPr>
        <w:pStyle w:val="Hesber"/>
        <w:rPr>
          <w:rtl/>
        </w:rPr>
      </w:pPr>
      <w:r>
        <w:rPr>
          <w:rFonts w:hint="cs"/>
          <w:rtl/>
        </w:rPr>
        <w:t>ב</w:t>
      </w:r>
      <w:r w:rsidRPr="00EA1A12">
        <w:rPr>
          <w:rtl/>
        </w:rPr>
        <w:t>סעיף 7 מוצע לקבוע כי החוק המוצע ייכנס לתוקף 30 ימים מיום פרסומו.</w:t>
      </w:r>
    </w:p>
    <w:p w14:paraId="408AAC91" w14:textId="3EBA1E23" w:rsidR="00453BD5" w:rsidRDefault="00453BD5" w:rsidP="00AF32D2">
      <w:pPr>
        <w:pStyle w:val="Hesber"/>
        <w:rPr>
          <w:rtl/>
        </w:rPr>
      </w:pPr>
      <w:r>
        <w:rPr>
          <w:rFonts w:hint="cs"/>
          <w:rtl/>
        </w:rPr>
        <w:t>ב</w:t>
      </w:r>
      <w:r w:rsidRPr="00EA1A12">
        <w:rPr>
          <w:rtl/>
        </w:rPr>
        <w:t xml:space="preserve">סעיף 8 מוצע לקבוע כי תקנות ראשונות לפי סעיף 5 לחוק המוצע יותקנו בתוך 60 ימים מיום </w:t>
      </w:r>
      <w:r w:rsidR="00AF32D2">
        <w:rPr>
          <w:rFonts w:hint="cs"/>
          <w:rtl/>
        </w:rPr>
        <w:t>תחילתו</w:t>
      </w:r>
      <w:r w:rsidR="00A2030A">
        <w:rPr>
          <w:rtl/>
        </w:rPr>
        <w:t xml:space="preserve"> – וזאת כדי שב</w:t>
      </w:r>
      <w:r w:rsidR="00A2030A">
        <w:rPr>
          <w:rFonts w:hint="cs"/>
          <w:rtl/>
        </w:rPr>
        <w:t>סמוך למועד</w:t>
      </w:r>
      <w:r w:rsidRPr="00EA1A12">
        <w:rPr>
          <w:rtl/>
        </w:rPr>
        <w:t xml:space="preserve"> כניסתו של החוק לתוקף ניתן יהיה לעשות שימוש בתזכיר מגדרי </w:t>
      </w:r>
      <w:r w:rsidRPr="00EA1A12">
        <w:rPr>
          <w:rtl/>
        </w:rPr>
        <w:lastRenderedPageBreak/>
        <w:t>נלווה בהתאם להוראות החוק.</w:t>
      </w:r>
    </w:p>
    <w:p w14:paraId="0EE97DC9" w14:textId="77777777" w:rsidR="006A69F3" w:rsidRDefault="006A69F3" w:rsidP="006A69F3">
      <w:pPr>
        <w:pStyle w:val="Hesber"/>
        <w:rPr>
          <w:rtl/>
        </w:rPr>
      </w:pPr>
      <w:r>
        <w:rPr>
          <w:rtl/>
        </w:rPr>
        <w:t>הצעות חוק דומות בעיקרן הונחו על שולחן הכנסת התשע-עשרה ועל שולחן הכנסת העשרים על ידי חברת הכנסת מרב מיכאלי וקבוצת חברי הכנסת (פ/2677/19; פ/2037/20).</w:t>
      </w:r>
    </w:p>
    <w:p w14:paraId="2E8B3368" w14:textId="77B71F8B" w:rsidR="006A69F3" w:rsidRDefault="006A69F3" w:rsidP="00BF5373">
      <w:pPr>
        <w:pStyle w:val="Hesber"/>
        <w:rPr>
          <w:rtl/>
        </w:rPr>
      </w:pPr>
      <w:r>
        <w:rPr>
          <w:rtl/>
        </w:rPr>
        <w:t xml:space="preserve">הצעות חוק זהות הונחו על שולחן הכנסת העשרים ושתיים ועל שולחן הכנסת העשרים ושלוש ידי חברת הכנסת מרב מיכאלי (פ/1198/22; פ/471/23), על שולחן הכנסת העשרים וארבע על ידי חברת הכנסת מרב מיכאלי (פ/1279/24), על ידי חברת הכנסת </w:t>
      </w:r>
      <w:proofErr w:type="spellStart"/>
      <w:r>
        <w:rPr>
          <w:rtl/>
        </w:rPr>
        <w:t>עאידה</w:t>
      </w:r>
      <w:proofErr w:type="spellEnd"/>
      <w:r>
        <w:rPr>
          <w:rtl/>
        </w:rPr>
        <w:t xml:space="preserve"> </w:t>
      </w:r>
      <w:proofErr w:type="spellStart"/>
      <w:r>
        <w:rPr>
          <w:rtl/>
        </w:rPr>
        <w:t>תומא</w:t>
      </w:r>
      <w:proofErr w:type="spellEnd"/>
      <w:r>
        <w:rPr>
          <w:rtl/>
        </w:rPr>
        <w:t xml:space="preserve"> </w:t>
      </w:r>
      <w:proofErr w:type="spellStart"/>
      <w:r>
        <w:rPr>
          <w:rtl/>
        </w:rPr>
        <w:t>סלימאן</w:t>
      </w:r>
      <w:proofErr w:type="spellEnd"/>
      <w:r>
        <w:rPr>
          <w:rtl/>
        </w:rPr>
        <w:t xml:space="preserve"> (פ/2369/24) ועל ידי חברת הכנסת גבי לסקי וקבוצת חברי הכנסת (פ/2762/24) ועל שולחן הכנסת העשרים וחמש על ידי חברת הכנסת </w:t>
      </w:r>
      <w:proofErr w:type="spellStart"/>
      <w:r>
        <w:rPr>
          <w:rtl/>
        </w:rPr>
        <w:t>עאידה</w:t>
      </w:r>
      <w:proofErr w:type="spellEnd"/>
      <w:r>
        <w:rPr>
          <w:rtl/>
        </w:rPr>
        <w:t xml:space="preserve"> </w:t>
      </w:r>
      <w:proofErr w:type="spellStart"/>
      <w:r>
        <w:rPr>
          <w:rtl/>
        </w:rPr>
        <w:t>תומא</w:t>
      </w:r>
      <w:proofErr w:type="spellEnd"/>
      <w:r>
        <w:rPr>
          <w:rtl/>
        </w:rPr>
        <w:t xml:space="preserve"> </w:t>
      </w:r>
      <w:proofErr w:type="spellStart"/>
      <w:r>
        <w:rPr>
          <w:rtl/>
        </w:rPr>
        <w:t>סלימאן</w:t>
      </w:r>
      <w:proofErr w:type="spellEnd"/>
      <w:r>
        <w:rPr>
          <w:rtl/>
        </w:rPr>
        <w:t xml:space="preserve"> וקבוצת חברי הכנסת (פ/778/25)</w:t>
      </w:r>
      <w:r w:rsidR="00A2030A">
        <w:rPr>
          <w:rFonts w:hint="cs"/>
          <w:rtl/>
        </w:rPr>
        <w:t xml:space="preserve"> </w:t>
      </w:r>
      <w:r w:rsidR="00BF5373">
        <w:rPr>
          <w:rFonts w:hint="cs"/>
          <w:rtl/>
        </w:rPr>
        <w:t>על ידי חברת הכנסת מרב מיכאלי (</w:t>
      </w:r>
      <w:r w:rsidR="00BF5373" w:rsidRPr="00BF5373">
        <w:rPr>
          <w:rtl/>
        </w:rPr>
        <w:t>פ/2336/25</w:t>
      </w:r>
      <w:r w:rsidR="00BF5373">
        <w:rPr>
          <w:rFonts w:hint="cs"/>
          <w:rtl/>
        </w:rPr>
        <w:t>)</w:t>
      </w:r>
      <w:r w:rsidR="00BF5373" w:rsidRPr="00BF5373">
        <w:rPr>
          <w:rFonts w:hint="cs"/>
          <w:rtl/>
        </w:rPr>
        <w:t xml:space="preserve"> </w:t>
      </w:r>
      <w:r w:rsidR="00BF5373">
        <w:rPr>
          <w:rFonts w:hint="cs"/>
          <w:rtl/>
        </w:rPr>
        <w:t xml:space="preserve">(הוסרו מסדר היום ביום ח' בטבת </w:t>
      </w:r>
      <w:proofErr w:type="spellStart"/>
      <w:r w:rsidR="00BF5373">
        <w:rPr>
          <w:rFonts w:hint="cs"/>
          <w:rtl/>
        </w:rPr>
        <w:t>התשפ"ה</w:t>
      </w:r>
      <w:proofErr w:type="spellEnd"/>
      <w:r w:rsidR="00BF5373">
        <w:rPr>
          <w:rFonts w:hint="cs"/>
          <w:rtl/>
        </w:rPr>
        <w:t xml:space="preserve"> (8 בינואר 2025)</w:t>
      </w:r>
      <w:r w:rsidR="00A2030A">
        <w:rPr>
          <w:rFonts w:hint="cs"/>
          <w:rtl/>
        </w:rPr>
        <w:t>)</w:t>
      </w:r>
      <w:bookmarkStart w:id="8" w:name="_GoBack"/>
      <w:bookmarkEnd w:id="8"/>
      <w:r w:rsidR="00BF5373">
        <w:rPr>
          <w:rFonts w:hint="cs"/>
          <w:rtl/>
        </w:rPr>
        <w:t xml:space="preserve">, </w:t>
      </w:r>
      <w:r>
        <w:rPr>
          <w:rtl/>
        </w:rPr>
        <w:t>על ידי חברת הכנסת נעמה לזימי (פ/779/25)</w:t>
      </w:r>
      <w:r>
        <w:rPr>
          <w:rFonts w:hint="cs"/>
          <w:rtl/>
        </w:rPr>
        <w:t xml:space="preserve"> ועל ידי חברת הכנסת </w:t>
      </w:r>
      <w:proofErr w:type="spellStart"/>
      <w:r>
        <w:rPr>
          <w:rFonts w:hint="cs"/>
          <w:rtl/>
        </w:rPr>
        <w:t>אימאן</w:t>
      </w:r>
      <w:proofErr w:type="spellEnd"/>
      <w:r>
        <w:rPr>
          <w:rFonts w:hint="cs"/>
          <w:rtl/>
        </w:rPr>
        <w:t xml:space="preserve"> </w:t>
      </w:r>
      <w:proofErr w:type="spellStart"/>
      <w:r>
        <w:rPr>
          <w:rFonts w:hint="cs"/>
          <w:rtl/>
        </w:rPr>
        <w:t>ח'טיב</w:t>
      </w:r>
      <w:proofErr w:type="spellEnd"/>
      <w:r>
        <w:rPr>
          <w:rFonts w:hint="cs"/>
          <w:rtl/>
        </w:rPr>
        <w:t xml:space="preserve"> יאסין (פ/5399/25). </w:t>
      </w:r>
    </w:p>
    <w:p w14:paraId="65042DBA" w14:textId="3B96F747" w:rsidR="006A69F3" w:rsidRPr="00EA1A12" w:rsidRDefault="006A69F3" w:rsidP="006A69F3">
      <w:pPr>
        <w:pStyle w:val="Hesber"/>
        <w:rPr>
          <w:rtl/>
        </w:rPr>
      </w:pPr>
      <w:r>
        <w:rPr>
          <w:rtl/>
        </w:rPr>
        <w:t xml:space="preserve">הצעת החוק זהה </w:t>
      </w:r>
      <w:proofErr w:type="spellStart"/>
      <w:r>
        <w:rPr>
          <w:rFonts w:hint="cs"/>
          <w:rtl/>
        </w:rPr>
        <w:t>לפ</w:t>
      </w:r>
      <w:proofErr w:type="spellEnd"/>
      <w:r>
        <w:rPr>
          <w:rFonts w:hint="cs"/>
          <w:rtl/>
        </w:rPr>
        <w:t xml:space="preserve">/5399/25 </w:t>
      </w:r>
      <w:r>
        <w:rPr>
          <w:rtl/>
        </w:rPr>
        <w:t>ולפיכך לא נבדקה מחדש על ידי הלשכה המשפטית של הכנסת.</w:t>
      </w:r>
    </w:p>
    <w:p w14:paraId="01EA8794" w14:textId="77777777" w:rsidR="00453BD5" w:rsidRDefault="00453BD5">
      <w:pPr>
        <w:pStyle w:val="Hesber"/>
      </w:pPr>
    </w:p>
    <w:p w14:paraId="7742037D" w14:textId="77777777" w:rsidR="00921CA7" w:rsidRDefault="0082434A">
      <w:pPr>
        <w:spacing w:line="276" w:lineRule="auto"/>
        <w:jc w:val="left"/>
      </w:pPr>
      <w:bookmarkStart w:id="9" w:name="selectedDocDateB"/>
      <w:bookmarkEnd w:id="9"/>
      <w:r>
        <w:rPr>
          <w:rFonts w:eastAsia="David" w:hint="cs"/>
          <w:sz w:val="26"/>
          <w:szCs w:val="26"/>
          <w:rtl/>
        </w:rPr>
        <w:t>--------------------------------</w:t>
      </w:r>
    </w:p>
    <w:p w14:paraId="3A8CDAEE" w14:textId="77777777" w:rsidR="00921CA7" w:rsidRDefault="0082434A">
      <w:pPr>
        <w:jc w:val="left"/>
      </w:pPr>
      <w:r>
        <w:rPr>
          <w:rFonts w:eastAsia="David" w:hint="cs"/>
          <w:sz w:val="26"/>
          <w:szCs w:val="26"/>
          <w:rtl/>
        </w:rPr>
        <w:t>הוגשה ליו"ר הכנסת והסגנים</w:t>
      </w:r>
    </w:p>
    <w:p w14:paraId="48B7B480" w14:textId="77777777" w:rsidR="00921CA7" w:rsidRDefault="0082434A">
      <w:pPr>
        <w:jc w:val="left"/>
      </w:pPr>
      <w:r>
        <w:rPr>
          <w:rFonts w:eastAsia="David" w:hint="cs"/>
          <w:sz w:val="26"/>
          <w:szCs w:val="26"/>
          <w:rtl/>
        </w:rPr>
        <w:t>והונחה על שולחן הכנסת ביום</w:t>
      </w:r>
    </w:p>
    <w:p w14:paraId="4A947CBF" w14:textId="77777777" w:rsidR="00921CA7" w:rsidRDefault="0082434A">
      <w:pPr>
        <w:jc w:val="left"/>
      </w:pPr>
      <w:r>
        <w:rPr>
          <w:rFonts w:eastAsia="David" w:hint="cs"/>
          <w:sz w:val="26"/>
          <w:szCs w:val="26"/>
          <w:rtl/>
        </w:rPr>
        <w:t xml:space="preserve">כ"ז בטבת </w:t>
      </w:r>
      <w:proofErr w:type="spellStart"/>
      <w:r>
        <w:rPr>
          <w:rFonts w:eastAsia="David" w:hint="cs"/>
          <w:sz w:val="26"/>
          <w:szCs w:val="26"/>
          <w:rtl/>
        </w:rPr>
        <w:t>התשפ"ה</w:t>
      </w:r>
      <w:proofErr w:type="spellEnd"/>
      <w:r>
        <w:rPr>
          <w:rFonts w:eastAsia="David" w:hint="cs"/>
          <w:sz w:val="26"/>
          <w:szCs w:val="26"/>
          <w:rtl/>
        </w:rPr>
        <w:t xml:space="preserve"> (27.01.2025) </w:t>
      </w:r>
    </w:p>
    <w:p w14:paraId="3D829AF5" w14:textId="77777777" w:rsidR="00921CA7" w:rsidRDefault="00921CA7"/>
    <w:sectPr w:rsidR="00921CA7" w:rsidSect="00BF5373">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479447B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A2030A">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BF5373">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2EA31FD" w14:textId="77777777" w:rsidR="00453BD5" w:rsidRDefault="00453BD5" w:rsidP="00453BD5">
      <w:pPr>
        <w:pStyle w:val="a4"/>
        <w:rPr>
          <w:rtl/>
        </w:rPr>
      </w:pPr>
      <w:r>
        <w:rPr>
          <w:rStyle w:val="a6"/>
        </w:rPr>
        <w:footnoteRef/>
      </w:r>
      <w:r>
        <w:rPr>
          <w:rtl/>
        </w:rPr>
        <w:t xml:space="preserve"> ס"ח </w:t>
      </w:r>
      <w:proofErr w:type="spellStart"/>
      <w:r>
        <w:rPr>
          <w:rtl/>
        </w:rPr>
        <w:t>התשמ"ה</w:t>
      </w:r>
      <w:proofErr w:type="spellEnd"/>
      <w:r>
        <w:rPr>
          <w:rtl/>
        </w:rPr>
        <w:t>, עמ' 60.</w:t>
      </w:r>
    </w:p>
  </w:footnote>
  <w:footnote w:id="3">
    <w:p w14:paraId="2D8C8A15" w14:textId="77777777" w:rsidR="00453BD5" w:rsidRDefault="00453BD5" w:rsidP="00453BD5">
      <w:pPr>
        <w:pStyle w:val="a4"/>
      </w:pPr>
      <w:r>
        <w:rPr>
          <w:rStyle w:val="a6"/>
        </w:rPr>
        <w:footnoteRef/>
      </w:r>
      <w:r>
        <w:rPr>
          <w:rtl/>
        </w:rPr>
        <w:t xml:space="preserve"> </w:t>
      </w:r>
      <w:r>
        <w:rPr>
          <w:rtl/>
        </w:rPr>
        <w:t xml:space="preserve">ס"ח </w:t>
      </w:r>
      <w:proofErr w:type="spellStart"/>
      <w:r>
        <w:rPr>
          <w:rtl/>
        </w:rPr>
        <w:t>התשנ"ח</w:t>
      </w:r>
      <w:proofErr w:type="spellEnd"/>
      <w:r>
        <w:rPr>
          <w:rtl/>
        </w:rPr>
        <w:t>, עמ' 120.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253ED"/>
    <w:rsid w:val="00063A3E"/>
    <w:rsid w:val="00072CAC"/>
    <w:rsid w:val="0007681A"/>
    <w:rsid w:val="000A542E"/>
    <w:rsid w:val="00102B6B"/>
    <w:rsid w:val="001052D4"/>
    <w:rsid w:val="0010644B"/>
    <w:rsid w:val="00117830"/>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0C21"/>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53BD5"/>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A69F3"/>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2434A"/>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1CA7"/>
    <w:rsid w:val="00923CD4"/>
    <w:rsid w:val="00930EFE"/>
    <w:rsid w:val="00943386"/>
    <w:rsid w:val="009456B6"/>
    <w:rsid w:val="00957589"/>
    <w:rsid w:val="00966D06"/>
    <w:rsid w:val="00982412"/>
    <w:rsid w:val="00983A8D"/>
    <w:rsid w:val="009A0DB8"/>
    <w:rsid w:val="009A7257"/>
    <w:rsid w:val="009D6E0A"/>
    <w:rsid w:val="009E1E33"/>
    <w:rsid w:val="00A14672"/>
    <w:rsid w:val="00A2030A"/>
    <w:rsid w:val="00A26BD6"/>
    <w:rsid w:val="00A443CF"/>
    <w:rsid w:val="00A6611D"/>
    <w:rsid w:val="00A82CB7"/>
    <w:rsid w:val="00A942C1"/>
    <w:rsid w:val="00AA2F03"/>
    <w:rsid w:val="00AC36F7"/>
    <w:rsid w:val="00AC63A4"/>
    <w:rsid w:val="00AD239E"/>
    <w:rsid w:val="00AF32D2"/>
    <w:rsid w:val="00B10265"/>
    <w:rsid w:val="00B16A99"/>
    <w:rsid w:val="00B21211"/>
    <w:rsid w:val="00B35784"/>
    <w:rsid w:val="00B733A7"/>
    <w:rsid w:val="00B75C91"/>
    <w:rsid w:val="00B975AD"/>
    <w:rsid w:val="00BC45FB"/>
    <w:rsid w:val="00BF148D"/>
    <w:rsid w:val="00BF5373"/>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5A74BD2B-48DD-4CE9-B244-A05B252D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373"/>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BF5373"/>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BF5373"/>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BF5373"/>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BF5373"/>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BF5373"/>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F5373"/>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BF5373"/>
    <w:rPr>
      <w:sz w:val="36"/>
      <w:szCs w:val="52"/>
    </w:rPr>
  </w:style>
  <w:style w:type="paragraph" w:customStyle="1" w:styleId="Cover3-Haknesset">
    <w:name w:val="Cover 3-Haknesset"/>
    <w:basedOn w:val="Cover1-Reshumot"/>
    <w:rsid w:val="00BF5373"/>
    <w:rPr>
      <w:b/>
      <w:bCs/>
      <w:spacing w:val="60"/>
    </w:rPr>
  </w:style>
  <w:style w:type="paragraph" w:customStyle="1" w:styleId="Cover4-Date">
    <w:name w:val="Cover 4-Date"/>
    <w:basedOn w:val="a"/>
    <w:rsid w:val="00BF5373"/>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F5373"/>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BF5373"/>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BF5373"/>
    <w:pPr>
      <w:spacing w:before="120" w:after="120"/>
    </w:pPr>
    <w:rPr>
      <w:color w:val="FF0000"/>
      <w:w w:val="80"/>
    </w:rPr>
  </w:style>
  <w:style w:type="paragraph" w:styleId="a3">
    <w:name w:val="endnote text"/>
    <w:basedOn w:val="a"/>
    <w:semiHidden/>
    <w:rsid w:val="00BF5373"/>
    <w:pPr>
      <w:ind w:left="227" w:hanging="227"/>
    </w:pPr>
    <w:rPr>
      <w:sz w:val="14"/>
      <w:szCs w:val="22"/>
    </w:rPr>
  </w:style>
  <w:style w:type="paragraph" w:customStyle="1" w:styleId="TableText">
    <w:name w:val="Table Text"/>
    <w:basedOn w:val="a"/>
    <w:rsid w:val="00BF5373"/>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BF5373"/>
    <w:pPr>
      <w:outlineLvl w:val="2"/>
    </w:pPr>
  </w:style>
  <w:style w:type="paragraph" w:customStyle="1" w:styleId="TableBlock">
    <w:name w:val="Table Block"/>
    <w:basedOn w:val="TableText"/>
    <w:rsid w:val="00BF5373"/>
    <w:pPr>
      <w:jc w:val="both"/>
    </w:pPr>
  </w:style>
  <w:style w:type="paragraph" w:customStyle="1" w:styleId="TableHead">
    <w:name w:val="Table Head"/>
    <w:basedOn w:val="TableText"/>
    <w:rsid w:val="00BF5373"/>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F5373"/>
    <w:pPr>
      <w:outlineLvl w:val="9"/>
    </w:pPr>
  </w:style>
  <w:style w:type="paragraph" w:customStyle="1" w:styleId="Hesber">
    <w:name w:val="Hesber"/>
    <w:basedOn w:val="a"/>
    <w:rsid w:val="00BF5373"/>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BF5373"/>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BF5373"/>
    <w:rPr>
      <w:vertAlign w:val="superscript"/>
    </w:rPr>
  </w:style>
  <w:style w:type="paragraph" w:customStyle="1" w:styleId="HesberHeading">
    <w:name w:val="Hesber Heading"/>
    <w:basedOn w:val="Hesber"/>
    <w:rsid w:val="00BF5373"/>
    <w:pPr>
      <w:tabs>
        <w:tab w:val="left" w:pos="624"/>
        <w:tab w:val="left" w:pos="1247"/>
      </w:tabs>
    </w:pPr>
    <w:rPr>
      <w:b/>
      <w:bCs/>
    </w:rPr>
  </w:style>
  <w:style w:type="paragraph" w:customStyle="1" w:styleId="HesberWriters">
    <w:name w:val="Hesber Writers"/>
    <w:basedOn w:val="Hesber"/>
    <w:rsid w:val="00BF5373"/>
    <w:pPr>
      <w:spacing w:before="120" w:after="120"/>
      <w:ind w:left="1418"/>
      <w:jc w:val="right"/>
    </w:pPr>
    <w:rPr>
      <w:b/>
      <w:bCs/>
    </w:rPr>
  </w:style>
  <w:style w:type="paragraph" w:customStyle="1" w:styleId="Hesber1st">
    <w:name w:val="Hesber 1st"/>
    <w:basedOn w:val="Hesber"/>
    <w:rsid w:val="00BF5373"/>
    <w:pPr>
      <w:tabs>
        <w:tab w:val="left" w:pos="680"/>
        <w:tab w:val="left" w:pos="1020"/>
      </w:tabs>
      <w:ind w:firstLine="0"/>
    </w:pPr>
  </w:style>
  <w:style w:type="character" w:styleId="a7">
    <w:name w:val="endnote reference"/>
    <w:basedOn w:val="a0"/>
    <w:semiHidden/>
    <w:rsid w:val="00BF5373"/>
    <w:rPr>
      <w:vertAlign w:val="superscript"/>
    </w:rPr>
  </w:style>
  <w:style w:type="paragraph" w:customStyle="1" w:styleId="TableBlockOutdent">
    <w:name w:val="Table BlockOutdent"/>
    <w:basedOn w:val="TableBlock"/>
    <w:rsid w:val="00BF5373"/>
    <w:pPr>
      <w:ind w:left="624" w:hanging="624"/>
    </w:pPr>
  </w:style>
  <w:style w:type="paragraph" w:styleId="a8">
    <w:name w:val="header"/>
    <w:basedOn w:val="a"/>
    <w:rsid w:val="00BF5373"/>
    <w:pPr>
      <w:tabs>
        <w:tab w:val="center" w:pos="4153"/>
        <w:tab w:val="right" w:pos="8306"/>
      </w:tabs>
    </w:pPr>
  </w:style>
  <w:style w:type="paragraph" w:styleId="a9">
    <w:name w:val="footer"/>
    <w:basedOn w:val="a"/>
    <w:rsid w:val="00BF5373"/>
    <w:pPr>
      <w:tabs>
        <w:tab w:val="center" w:pos="4153"/>
        <w:tab w:val="right" w:pos="8306"/>
      </w:tabs>
    </w:pPr>
  </w:style>
  <w:style w:type="paragraph" w:customStyle="1" w:styleId="HeadDivreiHesber">
    <w:name w:val="Head DivreiHesber"/>
    <w:basedOn w:val="a"/>
    <w:rsid w:val="00BF5373"/>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BF5373"/>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BF5373"/>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453BD5"/>
    <w:rPr>
      <w:rFonts w:ascii="Arial" w:eastAsia="Arial Unicode MS" w:hAnsi="Arial" w:cs="David"/>
      <w:snapToGrid w:val="0"/>
      <w:sz w:val="14"/>
    </w:rPr>
  </w:style>
  <w:style w:type="character" w:customStyle="1" w:styleId="10">
    <w:name w:val="כותרת 1 תו"/>
    <w:basedOn w:val="a0"/>
    <w:link w:val="1"/>
    <w:uiPriority w:val="9"/>
    <w:rsid w:val="00BF5373"/>
    <w:rPr>
      <w:rFonts w:asciiTheme="majorHAnsi" w:eastAsiaTheme="majorEastAsia" w:hAnsiTheme="majorHAnsi" w:cs="David"/>
      <w:bCs/>
      <w:sz w:val="32"/>
      <w:szCs w:val="36"/>
    </w:rPr>
  </w:style>
  <w:style w:type="character" w:customStyle="1" w:styleId="20">
    <w:name w:val="כותרת 2 תו"/>
    <w:basedOn w:val="a0"/>
    <w:link w:val="2"/>
    <w:rsid w:val="00BF5373"/>
    <w:rPr>
      <w:rFonts w:asciiTheme="majorHAnsi" w:eastAsiaTheme="majorEastAsia" w:hAnsiTheme="majorHAnsi" w:cs="David"/>
      <w:bCs/>
      <w:sz w:val="26"/>
      <w:szCs w:val="36"/>
      <w:u w:val="single"/>
    </w:rPr>
  </w:style>
  <w:style w:type="character" w:customStyle="1" w:styleId="30">
    <w:name w:val="כותרת 3 תו"/>
    <w:basedOn w:val="a0"/>
    <w:link w:val="3"/>
    <w:rsid w:val="00BF5373"/>
    <w:rPr>
      <w:rFonts w:asciiTheme="majorHAnsi" w:eastAsiaTheme="majorEastAsia" w:hAnsiTheme="majorHAnsi" w:cs="David"/>
      <w:sz w:val="24"/>
      <w:szCs w:val="28"/>
      <w:u w:val="double"/>
    </w:rPr>
  </w:style>
  <w:style w:type="character" w:customStyle="1" w:styleId="40">
    <w:name w:val="כותרת 4 תו"/>
    <w:basedOn w:val="a0"/>
    <w:link w:val="4"/>
    <w:uiPriority w:val="9"/>
    <w:rsid w:val="00BF5373"/>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BF5373"/>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BF5373"/>
    <w:pPr>
      <w:widowControl/>
      <w:spacing w:before="120" w:after="120"/>
      <w:outlineLvl w:val="9"/>
    </w:pPr>
    <w:rPr>
      <w:rtl/>
      <w:cs/>
    </w:rPr>
  </w:style>
  <w:style w:type="paragraph" w:styleId="TOC1">
    <w:name w:val="toc 1"/>
    <w:basedOn w:val="a"/>
    <w:next w:val="a"/>
    <w:autoRedefine/>
    <w:uiPriority w:val="39"/>
    <w:unhideWhenUsed/>
    <w:rsid w:val="00BF5373"/>
    <w:pPr>
      <w:tabs>
        <w:tab w:val="right" w:leader="dot" w:pos="9629"/>
      </w:tabs>
      <w:spacing w:after="100"/>
    </w:pPr>
    <w:rPr>
      <w:bCs/>
      <w:szCs w:val="22"/>
    </w:rPr>
  </w:style>
  <w:style w:type="paragraph" w:styleId="TOC2">
    <w:name w:val="toc 2"/>
    <w:basedOn w:val="a"/>
    <w:next w:val="a"/>
    <w:uiPriority w:val="39"/>
    <w:unhideWhenUsed/>
    <w:rsid w:val="00BF5373"/>
    <w:pPr>
      <w:tabs>
        <w:tab w:val="right" w:leader="dot" w:pos="9628"/>
      </w:tabs>
      <w:spacing w:after="100"/>
    </w:pPr>
    <w:rPr>
      <w:szCs w:val="22"/>
    </w:rPr>
  </w:style>
  <w:style w:type="character" w:styleId="Hyperlink">
    <w:name w:val="Hyperlink"/>
    <w:basedOn w:val="a0"/>
    <w:uiPriority w:val="99"/>
    <w:unhideWhenUsed/>
    <w:rsid w:val="00BF5373"/>
    <w:rPr>
      <w:color w:val="0000FF" w:themeColor="hyperlink"/>
      <w:u w:val="single"/>
    </w:rPr>
  </w:style>
  <w:style w:type="paragraph" w:styleId="TOC3">
    <w:name w:val="toc 3"/>
    <w:basedOn w:val="a"/>
    <w:next w:val="a"/>
    <w:uiPriority w:val="39"/>
    <w:unhideWhenUsed/>
    <w:rsid w:val="00BF5373"/>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BF5373"/>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BF5373"/>
    <w:pPr>
      <w:tabs>
        <w:tab w:val="right" w:leader="dot" w:pos="9628"/>
      </w:tabs>
      <w:spacing w:after="100"/>
      <w:ind w:left="567"/>
    </w:pPr>
    <w:rPr>
      <w:szCs w:val="22"/>
    </w:rPr>
  </w:style>
  <w:style w:type="paragraph" w:styleId="TOC6">
    <w:name w:val="toc 6"/>
    <w:basedOn w:val="a"/>
    <w:next w:val="a"/>
    <w:autoRedefine/>
    <w:semiHidden/>
    <w:unhideWhenUsed/>
    <w:rsid w:val="00BF5373"/>
    <w:pPr>
      <w:spacing w:after="100"/>
      <w:ind w:left="850"/>
    </w:pPr>
  </w:style>
  <w:style w:type="paragraph" w:styleId="TOC7">
    <w:name w:val="toc 7"/>
    <w:basedOn w:val="a"/>
    <w:next w:val="a"/>
    <w:autoRedefine/>
    <w:semiHidden/>
    <w:unhideWhenUsed/>
    <w:rsid w:val="00BF5373"/>
    <w:pPr>
      <w:spacing w:after="100"/>
      <w:ind w:left="1020"/>
    </w:pPr>
  </w:style>
  <w:style w:type="paragraph" w:styleId="TOC8">
    <w:name w:val="toc 8"/>
    <w:basedOn w:val="a"/>
    <w:next w:val="a"/>
    <w:autoRedefine/>
    <w:semiHidden/>
    <w:unhideWhenUsed/>
    <w:rsid w:val="00BF5373"/>
    <w:pPr>
      <w:spacing w:after="100"/>
      <w:ind w:left="1190"/>
    </w:pPr>
  </w:style>
  <w:style w:type="paragraph" w:styleId="TOC9">
    <w:name w:val="toc 9"/>
    <w:basedOn w:val="a"/>
    <w:next w:val="a"/>
    <w:autoRedefine/>
    <w:semiHidden/>
    <w:unhideWhenUsed/>
    <w:rsid w:val="00BF5373"/>
    <w:pPr>
      <w:spacing w:after="100"/>
      <w:ind w:left="1360"/>
    </w:pPr>
  </w:style>
  <w:style w:type="paragraph" w:customStyle="1" w:styleId="TableHead2">
    <w:name w:val="Table Head2"/>
    <w:basedOn w:val="TableHead"/>
    <w:qFormat/>
    <w:rsid w:val="00BF5373"/>
    <w:pPr>
      <w:outlineLvl w:val="9"/>
    </w:pPr>
  </w:style>
  <w:style w:type="paragraph" w:customStyle="1" w:styleId="TableSideHeading2">
    <w:name w:val="Table SideHeading2"/>
    <w:basedOn w:val="TableSideHeading"/>
    <w:autoRedefine/>
    <w:qFormat/>
    <w:rsid w:val="00BF5373"/>
    <w:pPr>
      <w:keepLines w:val="0"/>
      <w:outlineLvl w:val="9"/>
    </w:pPr>
  </w:style>
  <w:style w:type="paragraph" w:customStyle="1" w:styleId="0">
    <w:name w:val="סגנון שורה ראשונה:  0  ס''מ"/>
    <w:basedOn w:val="2"/>
    <w:rsid w:val="00BF5373"/>
    <w:rPr>
      <w:rFonts w:eastAsia="Times New Roman"/>
    </w:rPr>
  </w:style>
  <w:style w:type="paragraph" w:styleId="af">
    <w:name w:val="List Paragraph"/>
    <w:basedOn w:val="a"/>
    <w:uiPriority w:val="34"/>
    <w:qFormat/>
    <w:rsid w:val="00BF5373"/>
    <w:pPr>
      <w:widowControl/>
      <w:spacing w:line="259" w:lineRule="auto"/>
    </w:pPr>
    <w:rPr>
      <w:rFonts w:asciiTheme="minorHAnsi" w:hAnsiTheme="minorHAnsi"/>
      <w:sz w:val="22"/>
    </w:rPr>
  </w:style>
  <w:style w:type="table" w:styleId="af0">
    <w:name w:val="Table Grid"/>
    <w:basedOn w:val="a1"/>
    <w:rsid w:val="00BF5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BF53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BF537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BF5373"/>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BF5373"/>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EE83E-A0DF-44ED-979C-4A0D9A5FB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290d5b49-c690-4c6f-bbb9-1e50dab33ee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8198DD30-09B2-4545-8878-7203746C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983</Words>
  <Characters>5604</Characters>
  <Application>Microsoft Office Word</Application>
  <DocSecurity>0</DocSecurity>
  <Lines>46</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10</cp:revision>
  <cp:lastPrinted>2025-01-26T10:27:00Z</cp:lastPrinted>
  <dcterms:created xsi:type="dcterms:W3CDTF">2015-04-20T09:58:00Z</dcterms:created>
  <dcterms:modified xsi:type="dcterms:W3CDTF">2025-01-26T10:27:00Z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2227028</vt:r8>
  </property>
</Properties>
</file>