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2225635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70AC1759" w:rsidR="00E13C27" w:rsidRPr="00CF1AA2" w:rsidRDefault="008F6665" w:rsidP="004A3F98">
      <w:pPr>
        <w:pStyle w:val="David"/>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ניסים ואטורי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1B7292E8" w:rsidR="00E13C27" w:rsidRDefault="00904591" w:rsidP="004A3F98">
      <w:pPr>
        <w:pStyle w:val="David"/>
        <w:spacing w:line="240" w:lineRule="auto"/>
        <w:ind w:left="6424" w:firstLine="56"/>
        <w:rPr>
          <w:rtl/>
        </w:rPr>
      </w:pPr>
      <w:bookmarkStart w:id="6" w:name="Private_Number"/>
      <w:r>
        <w:rPr>
          <w:rFonts w:hint="cs"/>
          <w:rtl/>
        </w:rPr>
        <w:t>פ/5287/25</w:t>
      </w:r>
      <w:bookmarkEnd w:id="6"/>
    </w:p>
    <w:p w14:paraId="7F6961AE" w14:textId="70F491B4" w:rsidR="00E13C27" w:rsidRDefault="00A443CF" w:rsidP="004A3F98">
      <w:pPr>
        <w:pStyle w:val="HeadHatzaotHok"/>
        <w:rPr>
          <w:rtl/>
        </w:rPr>
      </w:pPr>
      <w:bookmarkStart w:id="7" w:name="LGS_Subject"/>
      <w:r>
        <w:rPr>
          <w:rFonts w:hint="cs"/>
          <w:rtl/>
        </w:rPr>
        <w:t>הצעת חוק פיצול תפקיד היועץ המשפטי לממשלה, התשפ"ה</w:t>
      </w:r>
      <w:r w:rsidR="003D2E35" w:rsidRPr="006010F7">
        <w:rPr>
          <w:rtl/>
        </w:rPr>
        <w:t>–</w:t>
      </w:r>
      <w:r>
        <w:rPr>
          <w:rFonts w:hint="cs"/>
          <w:rtl/>
        </w:rPr>
        <w:t>2024</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BA754C" w14:paraId="458FECEA" w14:textId="77777777" w:rsidTr="004A3F98">
        <w:trPr>
          <w:cantSplit/>
        </w:trPr>
        <w:tc>
          <w:tcPr>
            <w:tcW w:w="1871" w:type="dxa"/>
          </w:tcPr>
          <w:p w14:paraId="141107CA" w14:textId="77777777" w:rsidR="00BA754C" w:rsidRDefault="00BA754C" w:rsidP="00D72EF1">
            <w:pPr>
              <w:pStyle w:val="TableSideHeading"/>
              <w:keepLines w:val="0"/>
            </w:pPr>
            <w:r>
              <w:rPr>
                <w:rFonts w:hint="cs"/>
                <w:rtl/>
              </w:rPr>
              <w:t>מטרה</w:t>
            </w:r>
          </w:p>
        </w:tc>
        <w:tc>
          <w:tcPr>
            <w:tcW w:w="624" w:type="dxa"/>
          </w:tcPr>
          <w:p w14:paraId="6C647F96" w14:textId="77777777" w:rsidR="00BA754C" w:rsidRDefault="00BA754C" w:rsidP="00D72EF1">
            <w:pPr>
              <w:pStyle w:val="TableText"/>
              <w:keepLines w:val="0"/>
            </w:pPr>
            <w:r>
              <w:rPr>
                <w:rFonts w:hint="cs"/>
                <w:rtl/>
              </w:rPr>
              <w:t>1.</w:t>
            </w:r>
          </w:p>
        </w:tc>
        <w:tc>
          <w:tcPr>
            <w:tcW w:w="7143" w:type="dxa"/>
          </w:tcPr>
          <w:p w14:paraId="667F87F7" w14:textId="241C4928" w:rsidR="00BA754C" w:rsidRPr="003D2E35" w:rsidRDefault="00BA754C" w:rsidP="004A3F98">
            <w:pPr>
              <w:pStyle w:val="TableBlock"/>
            </w:pPr>
            <w:r w:rsidRPr="003D2E35">
              <w:rPr>
                <w:rFonts w:hint="cs"/>
                <w:rtl/>
              </w:rPr>
              <w:t xml:space="preserve">מטרתו של חוק זה היא לפצל את תפקידו של היועץ המשפטי לממשלה כך שהסמכויות הנוגעות לאכיפת החוק הפלילי כלפי חברי הממשלה יועברו ליועץ משפטי חדש </w:t>
            </w:r>
            <w:r w:rsidR="00FD4D02" w:rsidRPr="003D2E35">
              <w:rPr>
                <w:rFonts w:hint="cs"/>
                <w:rtl/>
              </w:rPr>
              <w:t>שיתמנה</w:t>
            </w:r>
            <w:r w:rsidRPr="003D2E35">
              <w:rPr>
                <w:rFonts w:hint="cs"/>
                <w:rtl/>
              </w:rPr>
              <w:t xml:space="preserve"> על ידי ועד</w:t>
            </w:r>
            <w:r w:rsidR="00FD4D02" w:rsidRPr="003D2E35">
              <w:rPr>
                <w:rFonts w:hint="cs"/>
                <w:rtl/>
              </w:rPr>
              <w:t>ה</w:t>
            </w:r>
            <w:r w:rsidRPr="003D2E35">
              <w:rPr>
                <w:rFonts w:hint="cs"/>
                <w:rtl/>
              </w:rPr>
              <w:t xml:space="preserve"> </w:t>
            </w:r>
            <w:r w:rsidR="00FD4D02" w:rsidRPr="003D2E35">
              <w:rPr>
                <w:rFonts w:hint="cs"/>
                <w:rtl/>
              </w:rPr>
              <w:t>ציבורית שהרכבה יקבע בתקנות</w:t>
            </w:r>
            <w:r w:rsidR="004902B3" w:rsidRPr="003D2E35">
              <w:rPr>
                <w:rFonts w:hint="cs"/>
                <w:rtl/>
              </w:rPr>
              <w:t xml:space="preserve"> ויקרא </w:t>
            </w:r>
            <w:r w:rsidR="00FD4D02" w:rsidRPr="003D2E35">
              <w:rPr>
                <w:rFonts w:hint="cs"/>
                <w:rtl/>
              </w:rPr>
              <w:t>ראש התביעה הכללית</w:t>
            </w:r>
            <w:r w:rsidRPr="003D2E35">
              <w:rPr>
                <w:rFonts w:hint="cs"/>
                <w:rtl/>
              </w:rPr>
              <w:t>.</w:t>
            </w:r>
          </w:p>
        </w:tc>
      </w:tr>
      <w:tr w:rsidR="00BA754C" w14:paraId="1355314E" w14:textId="77777777" w:rsidTr="004A3F98">
        <w:trPr>
          <w:cantSplit/>
        </w:trPr>
        <w:tc>
          <w:tcPr>
            <w:tcW w:w="1871" w:type="dxa"/>
          </w:tcPr>
          <w:p w14:paraId="3D80B336" w14:textId="77777777" w:rsidR="00BA754C" w:rsidRPr="006D367A" w:rsidRDefault="00BA754C" w:rsidP="00D72EF1">
            <w:pPr>
              <w:pStyle w:val="TableSideHeading"/>
              <w:keepLines w:val="0"/>
            </w:pPr>
            <w:r>
              <w:rPr>
                <w:rFonts w:hint="cs"/>
                <w:rtl/>
              </w:rPr>
              <w:t>סמכות קבלת החלטה על פתיחה בחקירה והעמדה לדין</w:t>
            </w:r>
          </w:p>
        </w:tc>
        <w:tc>
          <w:tcPr>
            <w:tcW w:w="624" w:type="dxa"/>
          </w:tcPr>
          <w:p w14:paraId="7264E776" w14:textId="36B20176" w:rsidR="00BA754C" w:rsidRPr="009C3BA9" w:rsidRDefault="00BA754C" w:rsidP="003D2E35">
            <w:pPr>
              <w:pStyle w:val="TableText"/>
              <w:keepLines w:val="0"/>
            </w:pPr>
            <w:r>
              <w:rPr>
                <w:rFonts w:hint="cs"/>
                <w:rtl/>
              </w:rPr>
              <w:t xml:space="preserve">2. </w:t>
            </w:r>
            <w:r w:rsidR="003D2E35">
              <w:t xml:space="preserve">    </w:t>
            </w:r>
          </w:p>
        </w:tc>
        <w:tc>
          <w:tcPr>
            <w:tcW w:w="7143" w:type="dxa"/>
          </w:tcPr>
          <w:p w14:paraId="27982877" w14:textId="0E65F2B5" w:rsidR="00BA754C" w:rsidRPr="00C34DE2" w:rsidRDefault="00BA754C" w:rsidP="004A3F98">
            <w:pPr>
              <w:pStyle w:val="TableBlock"/>
              <w:tabs>
                <w:tab w:val="left" w:pos="624"/>
                <w:tab w:val="left" w:pos="1247"/>
              </w:tabs>
            </w:pPr>
            <w:r>
              <w:rPr>
                <w:rFonts w:hint="cs"/>
                <w:rtl/>
              </w:rPr>
              <w:t xml:space="preserve">הסמכות בנוגע להחלטה על פתיחה בחקירה, העמדה לדין או כל החלטה אחרת הנוגעת להליך הפלילי נגד ראש הממשלה וחברי הממשלה תהיה נתונה </w:t>
            </w:r>
            <w:r w:rsidR="003D2E35">
              <w:rPr>
                <w:rtl/>
              </w:rPr>
              <w:t xml:space="preserve"> </w:t>
            </w:r>
            <w:r>
              <w:rPr>
                <w:rFonts w:hint="cs"/>
                <w:rtl/>
              </w:rPr>
              <w:t xml:space="preserve">בידי </w:t>
            </w:r>
            <w:r w:rsidR="00FD4D02">
              <w:rPr>
                <w:rFonts w:hint="cs"/>
                <w:rtl/>
              </w:rPr>
              <w:t>ראש התביעה הכללית</w:t>
            </w:r>
            <w:r>
              <w:rPr>
                <w:rFonts w:hint="cs"/>
                <w:rtl/>
              </w:rPr>
              <w:t>.</w:t>
            </w:r>
          </w:p>
        </w:tc>
      </w:tr>
      <w:tr w:rsidR="00BA754C" w14:paraId="4EEDBAFB" w14:textId="77777777" w:rsidTr="004A3F98">
        <w:trPr>
          <w:cantSplit/>
        </w:trPr>
        <w:tc>
          <w:tcPr>
            <w:tcW w:w="1871" w:type="dxa"/>
          </w:tcPr>
          <w:p w14:paraId="4651292B" w14:textId="77777777" w:rsidR="00BA754C" w:rsidRDefault="00BA754C" w:rsidP="00D72EF1">
            <w:pPr>
              <w:pStyle w:val="TableSideHeading"/>
              <w:keepLines w:val="0"/>
              <w:rPr>
                <w:rtl/>
              </w:rPr>
            </w:pPr>
            <w:r>
              <w:rPr>
                <w:rFonts w:hint="cs"/>
                <w:rtl/>
              </w:rPr>
              <w:t>תחילה</w:t>
            </w:r>
          </w:p>
        </w:tc>
        <w:tc>
          <w:tcPr>
            <w:tcW w:w="624" w:type="dxa"/>
          </w:tcPr>
          <w:p w14:paraId="32A53A6D" w14:textId="77777777" w:rsidR="00BA754C" w:rsidRDefault="00BA754C" w:rsidP="00D72EF1">
            <w:pPr>
              <w:pStyle w:val="TableText"/>
              <w:rPr>
                <w:rtl/>
              </w:rPr>
            </w:pPr>
            <w:r>
              <w:rPr>
                <w:rFonts w:hint="cs"/>
                <w:rtl/>
              </w:rPr>
              <w:t>3.</w:t>
            </w:r>
          </w:p>
        </w:tc>
        <w:tc>
          <w:tcPr>
            <w:tcW w:w="7143" w:type="dxa"/>
          </w:tcPr>
          <w:p w14:paraId="07BF3F58" w14:textId="77777777" w:rsidR="00BA754C" w:rsidRDefault="00BA754C" w:rsidP="004A3F98">
            <w:pPr>
              <w:pStyle w:val="TableBlock"/>
              <w:tabs>
                <w:tab w:val="left" w:pos="624"/>
                <w:tab w:val="left" w:pos="1247"/>
              </w:tabs>
              <w:rPr>
                <w:rtl/>
              </w:rPr>
            </w:pPr>
            <w:r>
              <w:rPr>
                <w:rFonts w:hint="cs"/>
                <w:rtl/>
              </w:rPr>
              <w:t>תחילתו של חוק זה החל מהכנסת העשרים ושש.</w:t>
            </w:r>
          </w:p>
        </w:tc>
      </w:tr>
    </w:tbl>
    <w:p w14:paraId="7F6961CA" w14:textId="77777777" w:rsidR="002D1EE3" w:rsidRDefault="002D1EE3" w:rsidP="002D1EE3">
      <w:pPr>
        <w:pStyle w:val="HeadDivreiHesber"/>
        <w:rPr>
          <w:rtl/>
        </w:rPr>
      </w:pPr>
      <w:r w:rsidRPr="0027450A">
        <w:rPr>
          <w:rFonts w:hint="cs"/>
          <w:rtl/>
        </w:rPr>
        <w:t>דברי הסבר</w:t>
      </w:r>
    </w:p>
    <w:p w14:paraId="18F4C441" w14:textId="212460E6" w:rsidR="00BA754C" w:rsidRDefault="00BA754C" w:rsidP="004A3F98">
      <w:pPr>
        <w:pStyle w:val="Hesber"/>
        <w:spacing w:line="240" w:lineRule="auto"/>
        <w:rPr>
          <w:rtl/>
        </w:rPr>
      </w:pPr>
      <w:r w:rsidRPr="006010F7">
        <w:rPr>
          <w:rFonts w:hint="cs"/>
          <w:rtl/>
        </w:rPr>
        <w:t xml:space="preserve">היועץ המשפטי לממשלה מכהן כעורך דינה של הממשלה, ומשכך מסייע לה מבחינה משפטית להגשים את מדיניותה ויעדיה במסגרת גבולות הדין. תפקידו מחייב אותו בשיתוף פעולה הדוק ויומיומי עם הממשלה ושריה, להם הוא מייעץ ואותם הוא מייצג בערכאות. </w:t>
      </w:r>
    </w:p>
    <w:p w14:paraId="0119AB9D" w14:textId="77777777" w:rsidR="00BA754C" w:rsidRPr="006010F7" w:rsidRDefault="00BA754C" w:rsidP="004A3F98">
      <w:pPr>
        <w:pStyle w:val="Hesber"/>
        <w:spacing w:line="240" w:lineRule="auto"/>
        <w:rPr>
          <w:rtl/>
        </w:rPr>
      </w:pPr>
      <w:r>
        <w:rPr>
          <w:rFonts w:hint="cs"/>
          <w:rtl/>
        </w:rPr>
        <w:t>המצב כיום הוא</w:t>
      </w:r>
      <w:r w:rsidRPr="006010F7">
        <w:rPr>
          <w:rFonts w:hint="cs"/>
          <w:rtl/>
        </w:rPr>
        <w:t xml:space="preserve"> </w:t>
      </w:r>
      <w:r>
        <w:rPr>
          <w:rFonts w:hint="cs"/>
          <w:rtl/>
        </w:rPr>
        <w:t>ש</w:t>
      </w:r>
      <w:r w:rsidRPr="006010F7">
        <w:rPr>
          <w:rFonts w:hint="cs"/>
          <w:rtl/>
        </w:rPr>
        <w:t xml:space="preserve">בתפקידו כראש התביעה הכללית, היועץ המשפטי לממשלה נדרש להחלטות בשלבים של פתיחה בחקירה והגשת כתבי אישום נגד שרים וראשי ממשלה, עמם יש לו היכרות קרובה מאוד וקשרי עבודה. זאת, על אף שבתפקידו כתובע כללי מוטב שתהא מידה מירבית של אובייקטיביות וריחוק מהאנשים שאת גורלם הוא קובע בהחלטותיו. לא פחות חשוב מכך </w:t>
      </w:r>
      <w:r w:rsidRPr="006010F7">
        <w:rPr>
          <w:rtl/>
        </w:rPr>
        <w:t>–</w:t>
      </w:r>
      <w:r w:rsidRPr="006010F7">
        <w:rPr>
          <w:rFonts w:hint="cs"/>
          <w:rtl/>
        </w:rPr>
        <w:t xml:space="preserve"> ריחוק ואובייקטיביות נדרשים גם למען אמון הציב</w:t>
      </w:r>
      <w:r>
        <w:rPr>
          <w:rFonts w:hint="cs"/>
          <w:rtl/>
        </w:rPr>
        <w:t>ור בהחלטותיו ולמראית פני הצדק. לכן מוצע כי תפקיד היועץ המשפטי יפוצל לשניים.</w:t>
      </w:r>
    </w:p>
    <w:p w14:paraId="50D949C6" w14:textId="7906D74C" w:rsidR="00BA754C" w:rsidRDefault="00F75790" w:rsidP="004A3F98">
      <w:pPr>
        <w:pStyle w:val="Hesber"/>
        <w:spacing w:line="240" w:lineRule="auto"/>
        <w:rPr>
          <w:rtl/>
        </w:rPr>
      </w:pPr>
      <w:r>
        <w:rPr>
          <w:rFonts w:hint="cs"/>
          <w:rtl/>
        </w:rPr>
        <w:t>במצב כזה</w:t>
      </w:r>
      <w:r w:rsidR="00BA754C" w:rsidRPr="006010F7">
        <w:rPr>
          <w:rFonts w:hint="cs"/>
          <w:rtl/>
        </w:rPr>
        <w:t xml:space="preserve">, יכולתו של היועץ המשפטי לממשלה להמשיך ולשמש יועץ משפטי לשרי הממשלה, מבלי לפגוע בשיתוף הפעולה ובקשרי העבודה הרצופים הנדרשים למילוי תפקידיו האחרים אינה מיטבית ובמקרים מסוימים עבודת הממשלה עלולה להיפגע באופן משמעותי. מוטל אף ספק באמון הציבור בהכרעות היועץ המשפטי לממשלה במצב מורכב זה, ולכך השלכה חמורה על אמונו של הציבור במערכת המשפט הפלילי בכלל. </w:t>
      </w:r>
    </w:p>
    <w:p w14:paraId="298BBA28" w14:textId="6798D734" w:rsidR="00BA754C" w:rsidRPr="006010F7" w:rsidRDefault="00BA754C" w:rsidP="004A3F98">
      <w:pPr>
        <w:pStyle w:val="Hesber"/>
        <w:spacing w:line="240" w:lineRule="auto"/>
        <w:rPr>
          <w:rtl/>
        </w:rPr>
      </w:pPr>
      <w:r>
        <w:rPr>
          <w:rFonts w:hint="cs"/>
          <w:rtl/>
        </w:rPr>
        <w:t xml:space="preserve">לפיכך, מוצע להעביר את הסמכות בנוגע להחלטה על פתיחה בחקירה והעמדה לדין הנוגעת להליך פלילי נגד ראש הממשלה וחברי הממשלה </w:t>
      </w:r>
      <w:r w:rsidR="00F75790">
        <w:rPr>
          <w:rFonts w:hint="cs"/>
          <w:rtl/>
        </w:rPr>
        <w:t xml:space="preserve">ליועץ משפטי </w:t>
      </w:r>
      <w:r w:rsidR="00FD4D02">
        <w:rPr>
          <w:rFonts w:hint="cs"/>
          <w:rtl/>
        </w:rPr>
        <w:t>שיבחר בוועדת איתור</w:t>
      </w:r>
      <w:r w:rsidR="00F75790">
        <w:rPr>
          <w:rFonts w:hint="cs"/>
          <w:rtl/>
        </w:rPr>
        <w:t xml:space="preserve"> ויקרא "</w:t>
      </w:r>
      <w:r w:rsidR="00FD4D02">
        <w:rPr>
          <w:rFonts w:hint="cs"/>
          <w:rtl/>
        </w:rPr>
        <w:t>ראש התביעה הכללית</w:t>
      </w:r>
      <w:r w:rsidR="00F75790">
        <w:rPr>
          <w:rFonts w:hint="cs"/>
          <w:rtl/>
        </w:rPr>
        <w:t>"</w:t>
      </w:r>
      <w:r>
        <w:rPr>
          <w:rFonts w:hint="cs"/>
          <w:rtl/>
        </w:rPr>
        <w:t xml:space="preserve">. הסדר זה ייתן מענה לבעיית ניגוד העניינים המוסדי והמובנה המתעוררת בהקשר זה. </w:t>
      </w:r>
      <w:r w:rsidRPr="006010F7">
        <w:rPr>
          <w:rFonts w:hint="cs"/>
          <w:rtl/>
        </w:rPr>
        <w:t xml:space="preserve">פתרון זה </w:t>
      </w:r>
      <w:r>
        <w:rPr>
          <w:rFonts w:hint="cs"/>
          <w:rtl/>
        </w:rPr>
        <w:t>נותן את המענה המיטבי לבעיה זו, בהשוואה למודלים חלופיים שונים.</w:t>
      </w:r>
    </w:p>
    <w:p w14:paraId="7F6961CB" w14:textId="6E5C1682" w:rsidR="00E13C27" w:rsidRDefault="00F75790" w:rsidP="004A3F98">
      <w:pPr>
        <w:pStyle w:val="Hesber"/>
        <w:spacing w:line="240" w:lineRule="auto"/>
        <w:rPr>
          <w:rtl/>
        </w:rPr>
      </w:pPr>
      <w:r>
        <w:rPr>
          <w:rFonts w:hint="cs"/>
          <w:rtl/>
        </w:rPr>
        <w:t xml:space="preserve">הצעות חוק </w:t>
      </w:r>
      <w:r w:rsidR="00A8131F">
        <w:rPr>
          <w:rFonts w:hint="cs"/>
          <w:rtl/>
        </w:rPr>
        <w:t>דומות</w:t>
      </w:r>
      <w:r>
        <w:rPr>
          <w:rFonts w:hint="cs"/>
          <w:rtl/>
        </w:rPr>
        <w:t xml:space="preserve"> בעיקרן הונחו על שולחן הכנסת העשרים וחמש על ידי חבר הכנסת אלי דלל וקבוצת חברי הכנסת (פ/3825/25) ועל ידי חבר הכנסת יצחק קרויזר (פ/4625/25).</w:t>
      </w:r>
    </w:p>
    <w:p w14:paraId="2EBDAE35" w14:textId="77777777" w:rsidR="00A52AD3" w:rsidRDefault="003D2E35" w:rsidP="004A3F98">
      <w:pPr>
        <w:spacing w:line="240" w:lineRule="auto"/>
        <w:jc w:val="left"/>
      </w:pPr>
      <w:bookmarkStart w:id="8" w:name="selectedDocDateB"/>
      <w:bookmarkEnd w:id="8"/>
      <w:r>
        <w:rPr>
          <w:rFonts w:eastAsia="David" w:hint="cs"/>
          <w:sz w:val="26"/>
          <w:szCs w:val="26"/>
          <w:rtl/>
        </w:rPr>
        <w:t>--------------------------------</w:t>
      </w:r>
    </w:p>
    <w:p w14:paraId="3DD10118" w14:textId="77777777" w:rsidR="00A52AD3" w:rsidRDefault="003D2E35" w:rsidP="004A3F98">
      <w:pPr>
        <w:spacing w:line="240" w:lineRule="auto"/>
        <w:jc w:val="left"/>
      </w:pPr>
      <w:r>
        <w:rPr>
          <w:rFonts w:eastAsia="David" w:hint="cs"/>
          <w:sz w:val="26"/>
          <w:szCs w:val="26"/>
          <w:rtl/>
        </w:rPr>
        <w:t>הוגשה ליו"ר הכנסת והסגנים</w:t>
      </w:r>
    </w:p>
    <w:p w14:paraId="1623C765" w14:textId="77777777" w:rsidR="00A52AD3" w:rsidRDefault="003D2E35" w:rsidP="004A3F98">
      <w:pPr>
        <w:spacing w:line="240" w:lineRule="auto"/>
        <w:jc w:val="left"/>
      </w:pPr>
      <w:r>
        <w:rPr>
          <w:rFonts w:eastAsia="David" w:hint="cs"/>
          <w:sz w:val="26"/>
          <w:szCs w:val="26"/>
          <w:rtl/>
        </w:rPr>
        <w:t>והונחה על שולחן הכנסת ביום</w:t>
      </w:r>
    </w:p>
    <w:p w14:paraId="1909F9B7" w14:textId="7AB89020" w:rsidR="00A52AD3" w:rsidRDefault="003D2E35" w:rsidP="004A3F98">
      <w:pPr>
        <w:spacing w:line="240" w:lineRule="auto"/>
        <w:jc w:val="left"/>
      </w:pPr>
      <w:r>
        <w:rPr>
          <w:rFonts w:eastAsia="David" w:hint="cs"/>
          <w:sz w:val="26"/>
          <w:szCs w:val="26"/>
          <w:rtl/>
        </w:rPr>
        <w:t xml:space="preserve">כ"ט בכסלו התשפ"ה (30.12.2024) </w:t>
      </w:r>
      <w:bookmarkStart w:id="9" w:name="_GoBack"/>
      <w:bookmarkEnd w:id="9"/>
    </w:p>
    <w:sectPr w:rsidR="00A52AD3" w:rsidSect="004A3F98">
      <w:footerReference w:type="even" r:id="rId11"/>
      <w:footerReference w:type="default" r:id="rId12"/>
      <w:pgSz w:w="11907" w:h="16840" w:code="9"/>
      <w:pgMar w:top="1701" w:right="1134" w:bottom="1135"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D7DBF12"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A3F98">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57A39"/>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2E35"/>
    <w:rsid w:val="003D6E38"/>
    <w:rsid w:val="003D74A0"/>
    <w:rsid w:val="004033D8"/>
    <w:rsid w:val="004073F0"/>
    <w:rsid w:val="00412A7D"/>
    <w:rsid w:val="00416B4D"/>
    <w:rsid w:val="00417CFC"/>
    <w:rsid w:val="004902B3"/>
    <w:rsid w:val="004A06DC"/>
    <w:rsid w:val="004A3F98"/>
    <w:rsid w:val="004B24ED"/>
    <w:rsid w:val="004B6625"/>
    <w:rsid w:val="004D2D82"/>
    <w:rsid w:val="004D3876"/>
    <w:rsid w:val="004E4552"/>
    <w:rsid w:val="004E6CDF"/>
    <w:rsid w:val="005049D4"/>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820E8"/>
    <w:rsid w:val="00892135"/>
    <w:rsid w:val="00895449"/>
    <w:rsid w:val="00897879"/>
    <w:rsid w:val="008A6870"/>
    <w:rsid w:val="008C2DDC"/>
    <w:rsid w:val="008C7516"/>
    <w:rsid w:val="008D7324"/>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52AD3"/>
    <w:rsid w:val="00A6611D"/>
    <w:rsid w:val="00A8131F"/>
    <w:rsid w:val="00A82CB7"/>
    <w:rsid w:val="00A942C1"/>
    <w:rsid w:val="00AA2F03"/>
    <w:rsid w:val="00AC36F7"/>
    <w:rsid w:val="00AC63A4"/>
    <w:rsid w:val="00AD239E"/>
    <w:rsid w:val="00B10265"/>
    <w:rsid w:val="00B16A99"/>
    <w:rsid w:val="00B21211"/>
    <w:rsid w:val="00B35784"/>
    <w:rsid w:val="00B733A7"/>
    <w:rsid w:val="00B75C91"/>
    <w:rsid w:val="00B975AD"/>
    <w:rsid w:val="00BA754C"/>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75790"/>
    <w:rsid w:val="00F86A1E"/>
    <w:rsid w:val="00FA5E88"/>
    <w:rsid w:val="00FD4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50EEE3B-02F4-4001-B44E-56851638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F9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A3F9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A3F9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A3F9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A3F9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A3F98"/>
    <w:pPr>
      <w:spacing w:line="259" w:lineRule="auto"/>
      <w:outlineLvl w:val="4"/>
    </w:pPr>
    <w:rPr>
      <w:color w:val="000000" w:themeColor="text1"/>
    </w:rPr>
  </w:style>
  <w:style w:type="character" w:default="1" w:styleId="a0">
    <w:name w:val="Default Paragraph Font"/>
    <w:uiPriority w:val="1"/>
    <w:semiHidden/>
    <w:unhideWhenUsed/>
    <w:rsid w:val="004A3F9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A3F9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A3F9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A3F98"/>
    <w:rPr>
      <w:sz w:val="36"/>
      <w:szCs w:val="52"/>
    </w:rPr>
  </w:style>
  <w:style w:type="paragraph" w:customStyle="1" w:styleId="Cover3-Haknesset">
    <w:name w:val="Cover 3-Haknesset"/>
    <w:basedOn w:val="Cover1-Reshumot"/>
    <w:rsid w:val="004A3F98"/>
    <w:rPr>
      <w:b/>
      <w:bCs/>
      <w:spacing w:val="60"/>
    </w:rPr>
  </w:style>
  <w:style w:type="paragraph" w:customStyle="1" w:styleId="Cover4-Date">
    <w:name w:val="Cover 4-Date"/>
    <w:basedOn w:val="a"/>
    <w:rsid w:val="004A3F9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A3F9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A3F9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A3F98"/>
    <w:pPr>
      <w:spacing w:before="120" w:after="120"/>
    </w:pPr>
    <w:rPr>
      <w:color w:val="FF0000"/>
      <w:w w:val="80"/>
    </w:rPr>
  </w:style>
  <w:style w:type="paragraph" w:styleId="a3">
    <w:name w:val="endnote text"/>
    <w:basedOn w:val="a"/>
    <w:semiHidden/>
    <w:rsid w:val="004A3F98"/>
    <w:pPr>
      <w:ind w:left="227" w:hanging="227"/>
    </w:pPr>
    <w:rPr>
      <w:sz w:val="14"/>
      <w:szCs w:val="22"/>
    </w:rPr>
  </w:style>
  <w:style w:type="paragraph" w:customStyle="1" w:styleId="TableText">
    <w:name w:val="Table Text"/>
    <w:basedOn w:val="a"/>
    <w:rsid w:val="004A3F9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A3F98"/>
    <w:pPr>
      <w:outlineLvl w:val="2"/>
    </w:pPr>
  </w:style>
  <w:style w:type="paragraph" w:customStyle="1" w:styleId="TableBlock">
    <w:name w:val="Table Block"/>
    <w:basedOn w:val="TableText"/>
    <w:rsid w:val="004A3F98"/>
    <w:pPr>
      <w:jc w:val="both"/>
    </w:pPr>
  </w:style>
  <w:style w:type="paragraph" w:customStyle="1" w:styleId="TableHead">
    <w:name w:val="Table Head"/>
    <w:basedOn w:val="TableText"/>
    <w:rsid w:val="004A3F9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A3F98"/>
    <w:pPr>
      <w:outlineLvl w:val="9"/>
    </w:pPr>
  </w:style>
  <w:style w:type="paragraph" w:customStyle="1" w:styleId="Hesber">
    <w:name w:val="Hesber"/>
    <w:basedOn w:val="a"/>
    <w:rsid w:val="004A3F9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4A3F9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4A3F98"/>
    <w:rPr>
      <w:vertAlign w:val="superscript"/>
    </w:rPr>
  </w:style>
  <w:style w:type="paragraph" w:customStyle="1" w:styleId="HesberHeading">
    <w:name w:val="Hesber Heading"/>
    <w:basedOn w:val="Hesber"/>
    <w:rsid w:val="004A3F98"/>
    <w:pPr>
      <w:tabs>
        <w:tab w:val="left" w:pos="624"/>
        <w:tab w:val="left" w:pos="1247"/>
      </w:tabs>
    </w:pPr>
    <w:rPr>
      <w:b/>
      <w:bCs/>
    </w:rPr>
  </w:style>
  <w:style w:type="paragraph" w:customStyle="1" w:styleId="HesberWriters">
    <w:name w:val="Hesber Writers"/>
    <w:basedOn w:val="Hesber"/>
    <w:rsid w:val="004A3F98"/>
    <w:pPr>
      <w:spacing w:before="120" w:after="120"/>
      <w:ind w:left="1418"/>
      <w:jc w:val="right"/>
    </w:pPr>
    <w:rPr>
      <w:b/>
      <w:bCs/>
    </w:rPr>
  </w:style>
  <w:style w:type="paragraph" w:customStyle="1" w:styleId="Hesber1st">
    <w:name w:val="Hesber 1st"/>
    <w:basedOn w:val="Hesber"/>
    <w:rsid w:val="004A3F98"/>
    <w:pPr>
      <w:tabs>
        <w:tab w:val="left" w:pos="680"/>
        <w:tab w:val="left" w:pos="1020"/>
      </w:tabs>
      <w:ind w:firstLine="0"/>
    </w:pPr>
  </w:style>
  <w:style w:type="character" w:styleId="a6">
    <w:name w:val="endnote reference"/>
    <w:basedOn w:val="a0"/>
    <w:semiHidden/>
    <w:rsid w:val="004A3F98"/>
    <w:rPr>
      <w:vertAlign w:val="superscript"/>
    </w:rPr>
  </w:style>
  <w:style w:type="paragraph" w:customStyle="1" w:styleId="TableBlockOutdent">
    <w:name w:val="Table BlockOutdent"/>
    <w:basedOn w:val="TableBlock"/>
    <w:rsid w:val="004A3F98"/>
    <w:pPr>
      <w:ind w:left="624" w:hanging="624"/>
    </w:pPr>
  </w:style>
  <w:style w:type="paragraph" w:styleId="a7">
    <w:name w:val="header"/>
    <w:basedOn w:val="a"/>
    <w:rsid w:val="004A3F98"/>
    <w:pPr>
      <w:tabs>
        <w:tab w:val="center" w:pos="4153"/>
        <w:tab w:val="right" w:pos="8306"/>
      </w:tabs>
    </w:pPr>
  </w:style>
  <w:style w:type="paragraph" w:styleId="a8">
    <w:name w:val="footer"/>
    <w:basedOn w:val="a"/>
    <w:rsid w:val="004A3F98"/>
    <w:pPr>
      <w:tabs>
        <w:tab w:val="center" w:pos="4153"/>
        <w:tab w:val="right" w:pos="8306"/>
      </w:tabs>
    </w:pPr>
  </w:style>
  <w:style w:type="paragraph" w:customStyle="1" w:styleId="HeadDivreiHesber">
    <w:name w:val="Head DivreiHesber"/>
    <w:basedOn w:val="a"/>
    <w:rsid w:val="004A3F9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A3F9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4A3F9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4A3F98"/>
    <w:rPr>
      <w:rFonts w:asciiTheme="majorHAnsi" w:eastAsiaTheme="majorEastAsia" w:hAnsiTheme="majorHAnsi" w:cs="David"/>
      <w:bCs/>
      <w:sz w:val="32"/>
      <w:szCs w:val="36"/>
    </w:rPr>
  </w:style>
  <w:style w:type="character" w:customStyle="1" w:styleId="20">
    <w:name w:val="כותרת 2 תו"/>
    <w:basedOn w:val="a0"/>
    <w:link w:val="2"/>
    <w:rsid w:val="004A3F98"/>
    <w:rPr>
      <w:rFonts w:asciiTheme="majorHAnsi" w:eastAsiaTheme="majorEastAsia" w:hAnsiTheme="majorHAnsi" w:cs="David"/>
      <w:bCs/>
      <w:sz w:val="26"/>
      <w:szCs w:val="36"/>
      <w:u w:val="single"/>
    </w:rPr>
  </w:style>
  <w:style w:type="character" w:customStyle="1" w:styleId="30">
    <w:name w:val="כותרת 3 תו"/>
    <w:basedOn w:val="a0"/>
    <w:link w:val="3"/>
    <w:rsid w:val="004A3F98"/>
    <w:rPr>
      <w:rFonts w:asciiTheme="majorHAnsi" w:eastAsiaTheme="majorEastAsia" w:hAnsiTheme="majorHAnsi" w:cs="David"/>
      <w:sz w:val="24"/>
      <w:szCs w:val="28"/>
      <w:u w:val="double"/>
    </w:rPr>
  </w:style>
  <w:style w:type="character" w:customStyle="1" w:styleId="40">
    <w:name w:val="כותרת 4 תו"/>
    <w:basedOn w:val="a0"/>
    <w:link w:val="4"/>
    <w:uiPriority w:val="9"/>
    <w:rsid w:val="004A3F9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A3F9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4A3F98"/>
    <w:pPr>
      <w:widowControl/>
      <w:spacing w:before="120" w:after="120"/>
      <w:outlineLvl w:val="9"/>
    </w:pPr>
    <w:rPr>
      <w:rtl/>
      <w:cs/>
    </w:rPr>
  </w:style>
  <w:style w:type="paragraph" w:styleId="TOC1">
    <w:name w:val="toc 1"/>
    <w:basedOn w:val="a"/>
    <w:next w:val="a"/>
    <w:autoRedefine/>
    <w:uiPriority w:val="39"/>
    <w:unhideWhenUsed/>
    <w:rsid w:val="004A3F98"/>
    <w:pPr>
      <w:tabs>
        <w:tab w:val="right" w:leader="dot" w:pos="9629"/>
      </w:tabs>
      <w:spacing w:after="100"/>
    </w:pPr>
    <w:rPr>
      <w:bCs/>
      <w:szCs w:val="22"/>
    </w:rPr>
  </w:style>
  <w:style w:type="paragraph" w:styleId="TOC2">
    <w:name w:val="toc 2"/>
    <w:basedOn w:val="a"/>
    <w:next w:val="a"/>
    <w:uiPriority w:val="39"/>
    <w:unhideWhenUsed/>
    <w:rsid w:val="004A3F98"/>
    <w:pPr>
      <w:tabs>
        <w:tab w:val="right" w:leader="dot" w:pos="9628"/>
      </w:tabs>
      <w:spacing w:after="100"/>
    </w:pPr>
    <w:rPr>
      <w:szCs w:val="22"/>
    </w:rPr>
  </w:style>
  <w:style w:type="character" w:styleId="Hyperlink">
    <w:name w:val="Hyperlink"/>
    <w:basedOn w:val="a0"/>
    <w:uiPriority w:val="99"/>
    <w:unhideWhenUsed/>
    <w:rsid w:val="004A3F98"/>
    <w:rPr>
      <w:color w:val="0000FF" w:themeColor="hyperlink"/>
      <w:u w:val="single"/>
    </w:rPr>
  </w:style>
  <w:style w:type="paragraph" w:styleId="TOC3">
    <w:name w:val="toc 3"/>
    <w:basedOn w:val="a"/>
    <w:next w:val="a"/>
    <w:uiPriority w:val="39"/>
    <w:unhideWhenUsed/>
    <w:rsid w:val="004A3F9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4A3F9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A3F98"/>
    <w:pPr>
      <w:tabs>
        <w:tab w:val="right" w:leader="dot" w:pos="9628"/>
      </w:tabs>
      <w:spacing w:after="100"/>
      <w:ind w:left="567"/>
    </w:pPr>
    <w:rPr>
      <w:szCs w:val="22"/>
    </w:rPr>
  </w:style>
  <w:style w:type="paragraph" w:styleId="TOC6">
    <w:name w:val="toc 6"/>
    <w:basedOn w:val="a"/>
    <w:next w:val="a"/>
    <w:autoRedefine/>
    <w:semiHidden/>
    <w:unhideWhenUsed/>
    <w:rsid w:val="004A3F98"/>
    <w:pPr>
      <w:spacing w:after="100"/>
      <w:ind w:left="850"/>
    </w:pPr>
  </w:style>
  <w:style w:type="paragraph" w:styleId="TOC7">
    <w:name w:val="toc 7"/>
    <w:basedOn w:val="a"/>
    <w:next w:val="a"/>
    <w:autoRedefine/>
    <w:semiHidden/>
    <w:unhideWhenUsed/>
    <w:rsid w:val="004A3F98"/>
    <w:pPr>
      <w:spacing w:after="100"/>
      <w:ind w:left="1020"/>
    </w:pPr>
  </w:style>
  <w:style w:type="paragraph" w:styleId="TOC8">
    <w:name w:val="toc 8"/>
    <w:basedOn w:val="a"/>
    <w:next w:val="a"/>
    <w:autoRedefine/>
    <w:semiHidden/>
    <w:unhideWhenUsed/>
    <w:rsid w:val="004A3F98"/>
    <w:pPr>
      <w:spacing w:after="100"/>
      <w:ind w:left="1190"/>
    </w:pPr>
  </w:style>
  <w:style w:type="paragraph" w:styleId="TOC9">
    <w:name w:val="toc 9"/>
    <w:basedOn w:val="a"/>
    <w:next w:val="a"/>
    <w:autoRedefine/>
    <w:semiHidden/>
    <w:unhideWhenUsed/>
    <w:rsid w:val="004A3F98"/>
    <w:pPr>
      <w:spacing w:after="100"/>
      <w:ind w:left="1360"/>
    </w:pPr>
  </w:style>
  <w:style w:type="paragraph" w:customStyle="1" w:styleId="TableHead2">
    <w:name w:val="Table Head2"/>
    <w:basedOn w:val="TableHead"/>
    <w:qFormat/>
    <w:rsid w:val="004A3F98"/>
    <w:pPr>
      <w:outlineLvl w:val="9"/>
    </w:pPr>
  </w:style>
  <w:style w:type="paragraph" w:customStyle="1" w:styleId="TableSideHeading2">
    <w:name w:val="Table SideHeading2"/>
    <w:basedOn w:val="TableSideHeading"/>
    <w:autoRedefine/>
    <w:qFormat/>
    <w:rsid w:val="004A3F98"/>
    <w:pPr>
      <w:keepLines w:val="0"/>
      <w:outlineLvl w:val="9"/>
    </w:pPr>
  </w:style>
  <w:style w:type="paragraph" w:customStyle="1" w:styleId="0">
    <w:name w:val="סגנון שורה ראשונה:  0  ס''מ"/>
    <w:basedOn w:val="2"/>
    <w:rsid w:val="004A3F98"/>
    <w:rPr>
      <w:rFonts w:eastAsia="Times New Roman"/>
    </w:rPr>
  </w:style>
  <w:style w:type="paragraph" w:styleId="ae">
    <w:name w:val="List Paragraph"/>
    <w:basedOn w:val="a"/>
    <w:uiPriority w:val="34"/>
    <w:qFormat/>
    <w:rsid w:val="004A3F98"/>
    <w:pPr>
      <w:widowControl/>
      <w:spacing w:line="259" w:lineRule="auto"/>
    </w:pPr>
    <w:rPr>
      <w:rFonts w:asciiTheme="minorHAnsi" w:hAnsiTheme="minorHAnsi"/>
      <w:sz w:val="22"/>
    </w:rPr>
  </w:style>
  <w:style w:type="table" w:styleId="af">
    <w:name w:val="Table Grid"/>
    <w:basedOn w:val="a1"/>
    <w:rsid w:val="004A3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A3F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A3F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4A3F9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A3F9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schemas.microsoft.com/office/2006/documentManagement/types"/>
    <ds:schemaRef ds:uri="290d5b49-c690-4c6f-bbb9-1e50dab33ee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DCCC1C3-71A1-4368-90E2-4C9AED34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F53F1-D23F-489C-BAFB-1684F651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380</Words>
  <Characters>1905</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13</cp:revision>
  <cp:lastPrinted>2024-12-24T07:23:00Z</cp:lastPrinted>
  <dcterms:created xsi:type="dcterms:W3CDTF">2015-04-20T09:58:00Z</dcterms:created>
  <dcterms:modified xsi:type="dcterms:W3CDTF">2024-12-28T17:51:00Z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2225635</vt:r8>
  </property>
</Properties>
</file>