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E635A2" w:rsidRDefault="004033D8" w:rsidP="00E635A2">
      <w:pPr>
        <w:jc w:val="right"/>
        <w:rPr>
          <w:rFonts w:cs="David"/>
          <w:b/>
          <w:bCs/>
          <w:sz w:val="20"/>
          <w:szCs w:val="20"/>
        </w:rPr>
      </w:pPr>
      <w:r w:rsidRPr="00E635A2">
        <w:rPr>
          <w:rFonts w:cs="David" w:hint="cs"/>
          <w:sz w:val="20"/>
          <w:szCs w:val="20"/>
          <w:rtl/>
        </w:rPr>
        <w:t xml:space="preserve">מספר פנימי: </w:t>
      </w:r>
      <w:bookmarkStart w:id="0" w:name="LGS_Internal_ID"/>
      <w:r>
        <w:rPr>
          <w:rFonts w:cs="David" w:hint="cs"/>
          <w:sz w:val="20"/>
          <w:szCs w:val="20"/>
          <w:rtl/>
        </w:rPr>
        <w:t>2220194</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וחמש</w:t>
      </w:r>
      <w:bookmarkEnd w:id="1"/>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יעקב אשר</w:t>
      </w:r>
      <w:r>
        <w:br/>
      </w:r>
      <w:r>
        <w:rPr>
          <w:rFonts w:hint="cs"/>
          <w:b/>
          <w:bCs/>
          <w:rtl/>
        </w:rPr>
        <w:t xml:space="preserve"> </w:t>
      </w:r>
      <w:r>
        <w:tab/>
      </w:r>
      <w:r>
        <w:tab/>
      </w:r>
      <w:r>
        <w:tab/>
      </w:r>
      <w:r>
        <w:tab/>
      </w:r>
      <w:r>
        <w:rPr>
          <w:rFonts w:hint="cs"/>
          <w:b/>
          <w:bCs/>
          <w:rtl/>
        </w:rPr>
        <w:t>ולדימיר בליאק</w:t>
      </w:r>
      <w:bookmarkEnd w:id="3"/>
    </w:p>
    <w:p w14:paraId="7F6961AA" w14:textId="39F9D96B" w:rsidR="00E13C27" w:rsidRPr="00CF1AA2" w:rsidRDefault="007D585A" w:rsidP="0036422C">
      <w:pPr>
        <w:pStyle w:val="David"/>
        <w:spacing w:before="0" w:line="360" w:lineRule="auto"/>
        <w:ind w:left="3544"/>
        <w:rPr>
          <w:b/>
          <w:bCs/>
          <w:sz w:val="16"/>
          <w:szCs w:val="16"/>
          <w:rtl/>
        </w:rPr>
      </w:pPr>
      <w:bookmarkStart w:id="4" w:name="LGS_Join_List"/>
      <w:r>
        <w:rPr>
          <w:rtl/>
        </w:rPr>
        <w:t>______________________________________________</w:t>
      </w:r>
      <w:r>
        <w:br/>
      </w:r>
      <w:r>
        <w:rPr>
          <w:rtl/>
        </w:rPr>
        <w:t>מצטרף:      חבר הכנסת</w:t>
      </w:r>
      <w:bookmarkEnd w:id="4"/>
      <w:r w:rsidR="002200A1" w:rsidRPr="00CF1AA2">
        <w:rPr>
          <w:rFonts w:hint="cs"/>
          <w:rtl/>
        </w:rPr>
        <w:tab/>
      </w:r>
      <w:bookmarkStart w:id="5" w:name="LGS_PM_NamesJoin"/>
      <w:r>
        <w:rPr>
          <w:rFonts w:hint="cs"/>
          <w:rtl/>
        </w:rPr>
        <w:t>אופיר כץ</w:t>
      </w:r>
      <w:bookmarkEnd w:id="5"/>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3118E30" w:rsidR="00E13C27" w:rsidRPr="00E06736" w:rsidRDefault="00904591" w:rsidP="00904591">
      <w:pPr>
        <w:pStyle w:val="David"/>
        <w:spacing w:before="0" w:line="240" w:lineRule="auto"/>
        <w:ind w:left="3544"/>
        <w:rPr>
          <w:rtl/>
        </w:rPr>
      </w:pPr>
      <w:r>
        <w:t xml:space="preserve">                                            </w:t>
      </w:r>
      <w:r w:rsidR="008F1308">
        <w:t xml:space="preserve"> </w:t>
      </w:r>
      <w:bookmarkStart w:id="6" w:name="Private_Number"/>
      <w:r>
        <w:rPr>
          <w:rFonts w:hint="cs"/>
          <w:rtl/>
        </w:rPr>
        <w:t>פ/5070/25</w:t>
      </w:r>
      <w:bookmarkEnd w:id="6"/>
    </w:p>
    <w:p w14:paraId="7F6961AC" w14:textId="77777777" w:rsidR="00E13C27" w:rsidRDefault="00E13C27" w:rsidP="00E13C27">
      <w:pPr>
        <w:spacing w:before="0" w:line="360" w:lineRule="auto"/>
        <w:ind w:left="2880" w:firstLine="720"/>
        <w:rPr>
          <w:rFonts w:cs="David"/>
          <w:sz w:val="26"/>
          <w:szCs w:val="26"/>
          <w:rtl/>
        </w:rPr>
      </w:pPr>
    </w:p>
    <w:p w14:paraId="7F6961AD" w14:textId="66CE90D5" w:rsidR="00E13C27" w:rsidRPr="00F67051" w:rsidRDefault="00A443CF" w:rsidP="00876039">
      <w:pPr>
        <w:pStyle w:val="HeadHatzaotHok"/>
        <w:rPr>
          <w:rtl/>
        </w:rPr>
      </w:pPr>
      <w:bookmarkStart w:id="7" w:name="LGS_Subject"/>
      <w:r>
        <w:rPr>
          <w:rFonts w:hint="cs"/>
          <w:rtl/>
        </w:rPr>
        <w:t xml:space="preserve">הצעת חוק </w:t>
      </w:r>
      <w:r w:rsidR="00876039">
        <w:rPr>
          <w:rFonts w:hint="cs"/>
          <w:rtl/>
        </w:rPr>
        <w:t xml:space="preserve">הסדרת העיסוק בייעוץ </w:t>
      </w:r>
      <w:r>
        <w:rPr>
          <w:rFonts w:hint="cs"/>
          <w:rtl/>
        </w:rPr>
        <w:t>משכנתאות, התשפ"</w:t>
      </w:r>
      <w:r w:rsidR="00876039">
        <w:rPr>
          <w:rFonts w:hint="cs"/>
          <w:rtl/>
        </w:rPr>
        <w:t>ה</w:t>
      </w:r>
      <w:r w:rsidR="00876039">
        <w:rPr>
          <w:rFonts w:hint="eastAsia"/>
          <w:rtl/>
        </w:rPr>
        <w:t>–</w:t>
      </w:r>
      <w:r>
        <w:rPr>
          <w:rFonts w:hint="cs"/>
          <w:rtl/>
        </w:rPr>
        <w:t>2024</w:t>
      </w:r>
      <w:bookmarkEnd w:id="7"/>
    </w:p>
    <w:tbl>
      <w:tblPr>
        <w:bidiVisual/>
        <w:tblW w:w="22678" w:type="dxa"/>
        <w:tblLayout w:type="fixed"/>
        <w:tblCellMar>
          <w:top w:w="57" w:type="dxa"/>
          <w:left w:w="0" w:type="dxa"/>
          <w:bottom w:w="57" w:type="dxa"/>
          <w:right w:w="0" w:type="dxa"/>
        </w:tblCellMar>
        <w:tblLook w:val="01E0" w:firstRow="1" w:lastRow="1" w:firstColumn="1" w:lastColumn="1" w:noHBand="0" w:noVBand="0"/>
      </w:tblPr>
      <w:tblGrid>
        <w:gridCol w:w="1870"/>
        <w:gridCol w:w="624"/>
        <w:gridCol w:w="624"/>
        <w:gridCol w:w="624"/>
        <w:gridCol w:w="5898"/>
        <w:gridCol w:w="6519"/>
        <w:gridCol w:w="6519"/>
      </w:tblGrid>
      <w:tr w:rsidR="00876039" w14:paraId="5550E5C4" w14:textId="77777777" w:rsidTr="0045086B">
        <w:trPr>
          <w:gridAfter w:val="2"/>
          <w:wAfter w:w="13038" w:type="dxa"/>
          <w:cantSplit/>
        </w:trPr>
        <w:tc>
          <w:tcPr>
            <w:tcW w:w="1870" w:type="dxa"/>
          </w:tcPr>
          <w:p w14:paraId="4231C0EE" w14:textId="77777777" w:rsidR="00876039" w:rsidRDefault="00876039" w:rsidP="00B55E9E">
            <w:pPr>
              <w:pStyle w:val="TableSideHeading"/>
              <w:keepLines w:val="0"/>
            </w:pPr>
          </w:p>
        </w:tc>
        <w:tc>
          <w:tcPr>
            <w:tcW w:w="624" w:type="dxa"/>
          </w:tcPr>
          <w:p w14:paraId="09C33F35" w14:textId="77777777" w:rsidR="00876039" w:rsidRDefault="00876039" w:rsidP="00B55E9E">
            <w:pPr>
              <w:pStyle w:val="TableText"/>
              <w:keepLines w:val="0"/>
            </w:pPr>
          </w:p>
        </w:tc>
        <w:tc>
          <w:tcPr>
            <w:tcW w:w="7146" w:type="dxa"/>
            <w:gridSpan w:val="3"/>
          </w:tcPr>
          <w:p w14:paraId="225C9871" w14:textId="77777777" w:rsidR="00876039" w:rsidRPr="00C34DE2" w:rsidRDefault="00876039" w:rsidP="00B55E9E">
            <w:pPr>
              <w:pStyle w:val="TableHead"/>
            </w:pPr>
            <w:r>
              <w:rPr>
                <w:rFonts w:hint="cs"/>
                <w:rtl/>
              </w:rPr>
              <w:t>פרק א': פרשנות</w:t>
            </w:r>
          </w:p>
        </w:tc>
      </w:tr>
      <w:tr w:rsidR="00876039" w14:paraId="6DE13942" w14:textId="77777777" w:rsidTr="0045086B">
        <w:trPr>
          <w:gridAfter w:val="2"/>
          <w:wAfter w:w="13038" w:type="dxa"/>
          <w:cantSplit/>
        </w:trPr>
        <w:tc>
          <w:tcPr>
            <w:tcW w:w="1870" w:type="dxa"/>
          </w:tcPr>
          <w:p w14:paraId="1B8B6B52" w14:textId="77777777" w:rsidR="00876039" w:rsidRDefault="00876039" w:rsidP="00B55E9E">
            <w:pPr>
              <w:pStyle w:val="TableSideHeading"/>
              <w:keepLines w:val="0"/>
              <w:rPr>
                <w:rtl/>
              </w:rPr>
            </w:pPr>
            <w:r>
              <w:rPr>
                <w:rFonts w:hint="cs"/>
                <w:rtl/>
              </w:rPr>
              <w:t>הגדרות</w:t>
            </w:r>
          </w:p>
        </w:tc>
        <w:tc>
          <w:tcPr>
            <w:tcW w:w="624" w:type="dxa"/>
          </w:tcPr>
          <w:p w14:paraId="4EA0D778" w14:textId="77777777" w:rsidR="00876039" w:rsidRDefault="00876039" w:rsidP="00B55E9E">
            <w:pPr>
              <w:pStyle w:val="TableText"/>
              <w:keepLines w:val="0"/>
              <w:rPr>
                <w:rtl/>
              </w:rPr>
            </w:pPr>
            <w:r>
              <w:rPr>
                <w:rFonts w:hint="cs"/>
                <w:rtl/>
              </w:rPr>
              <w:t>1.</w:t>
            </w:r>
          </w:p>
        </w:tc>
        <w:tc>
          <w:tcPr>
            <w:tcW w:w="7146" w:type="dxa"/>
            <w:gridSpan w:val="3"/>
          </w:tcPr>
          <w:p w14:paraId="0B76F6A8" w14:textId="77777777" w:rsidR="00876039" w:rsidRPr="00AB1183" w:rsidRDefault="00876039" w:rsidP="00B55E9E">
            <w:pPr>
              <w:pStyle w:val="TableBlock"/>
              <w:rPr>
                <w:rtl/>
              </w:rPr>
            </w:pPr>
            <w:r w:rsidRPr="00AB1183">
              <w:rPr>
                <w:rFonts w:hint="cs"/>
                <w:rtl/>
              </w:rPr>
              <w:t xml:space="preserve">בחוק זה </w:t>
            </w:r>
            <w:r w:rsidRPr="00AB1183">
              <w:rPr>
                <w:rtl/>
              </w:rPr>
              <w:t>–</w:t>
            </w:r>
            <w:r w:rsidRPr="007D7118">
              <w:rPr>
                <w:rFonts w:hint="cs"/>
                <w:rtl/>
              </w:rPr>
              <w:t xml:space="preserve"> </w:t>
            </w:r>
          </w:p>
        </w:tc>
      </w:tr>
      <w:tr w:rsidR="00876039" w14:paraId="66A6A0F2" w14:textId="77777777" w:rsidTr="0045086B">
        <w:trPr>
          <w:gridAfter w:val="2"/>
          <w:wAfter w:w="13038" w:type="dxa"/>
          <w:cantSplit/>
        </w:trPr>
        <w:tc>
          <w:tcPr>
            <w:tcW w:w="1870" w:type="dxa"/>
          </w:tcPr>
          <w:p w14:paraId="745E9BF3" w14:textId="77777777" w:rsidR="00876039" w:rsidRDefault="00876039" w:rsidP="00B55E9E">
            <w:pPr>
              <w:pStyle w:val="TableSideHeading"/>
              <w:keepLines w:val="0"/>
              <w:rPr>
                <w:rtl/>
              </w:rPr>
            </w:pPr>
          </w:p>
        </w:tc>
        <w:tc>
          <w:tcPr>
            <w:tcW w:w="624" w:type="dxa"/>
          </w:tcPr>
          <w:p w14:paraId="6C91A698" w14:textId="77777777" w:rsidR="00876039" w:rsidRDefault="00876039" w:rsidP="00B55E9E">
            <w:pPr>
              <w:pStyle w:val="TableText"/>
              <w:keepLines w:val="0"/>
              <w:rPr>
                <w:rtl/>
              </w:rPr>
            </w:pPr>
          </w:p>
        </w:tc>
        <w:tc>
          <w:tcPr>
            <w:tcW w:w="7146" w:type="dxa"/>
            <w:gridSpan w:val="3"/>
          </w:tcPr>
          <w:p w14:paraId="2AB11606" w14:textId="77777777" w:rsidR="00876039" w:rsidRPr="00AB1183" w:rsidRDefault="00876039" w:rsidP="00B55E9E">
            <w:pPr>
              <w:pStyle w:val="TableBlockOutdent"/>
              <w:rPr>
                <w:rtl/>
              </w:rPr>
            </w:pPr>
            <w:r>
              <w:rPr>
                <w:rFonts w:hint="cs"/>
                <w:rtl/>
              </w:rPr>
              <w:t>"</w:t>
            </w:r>
            <w:r w:rsidRPr="00AB1183">
              <w:rPr>
                <w:rFonts w:hint="cs"/>
                <w:rtl/>
              </w:rPr>
              <w:t>א</w:t>
            </w:r>
            <w:r>
              <w:rPr>
                <w:rFonts w:hint="cs"/>
                <w:rtl/>
              </w:rPr>
              <w:t>י</w:t>
            </w:r>
            <w:r w:rsidRPr="00AB1183">
              <w:rPr>
                <w:rFonts w:hint="cs"/>
                <w:rtl/>
              </w:rPr>
              <w:t xml:space="preserve">פיון" </w:t>
            </w:r>
            <w:r w:rsidRPr="00AB1183">
              <w:rPr>
                <w:rtl/>
              </w:rPr>
              <w:t>–</w:t>
            </w:r>
            <w:r w:rsidRPr="00AB1183">
              <w:rPr>
                <w:rFonts w:hint="cs"/>
                <w:rtl/>
              </w:rPr>
              <w:t xml:space="preserve"> גובה ההלוואה הראוי בהתחשב בכושר ההחזר של מבקש ההלוואה, בכללים החלים על מתן הלוואה לדיור ללווה מהסוג של מבקש ההלוואה, ובנסיבות המיוחדות החלות על מבקש ההלוואה;</w:t>
            </w:r>
          </w:p>
        </w:tc>
      </w:tr>
      <w:tr w:rsidR="00876039" w14:paraId="6E798436" w14:textId="77777777" w:rsidTr="0045086B">
        <w:trPr>
          <w:gridAfter w:val="2"/>
          <w:wAfter w:w="13038" w:type="dxa"/>
          <w:cantSplit/>
        </w:trPr>
        <w:tc>
          <w:tcPr>
            <w:tcW w:w="1870" w:type="dxa"/>
          </w:tcPr>
          <w:p w14:paraId="0AAE2403" w14:textId="77777777" w:rsidR="00876039" w:rsidRDefault="00876039" w:rsidP="00B55E9E">
            <w:pPr>
              <w:pStyle w:val="TableSideHeading"/>
            </w:pPr>
          </w:p>
        </w:tc>
        <w:tc>
          <w:tcPr>
            <w:tcW w:w="624" w:type="dxa"/>
          </w:tcPr>
          <w:p w14:paraId="55A84AAD" w14:textId="77777777" w:rsidR="00876039" w:rsidRDefault="00876039" w:rsidP="00B55E9E">
            <w:pPr>
              <w:pStyle w:val="TableText"/>
            </w:pPr>
          </w:p>
        </w:tc>
        <w:tc>
          <w:tcPr>
            <w:tcW w:w="7146" w:type="dxa"/>
            <w:gridSpan w:val="3"/>
          </w:tcPr>
          <w:p w14:paraId="3445A28B" w14:textId="77777777" w:rsidR="00876039" w:rsidRPr="00AB1183" w:rsidRDefault="00876039" w:rsidP="00B55E9E">
            <w:pPr>
              <w:pStyle w:val="TableBlockOutdent"/>
              <w:rPr>
                <w:rtl/>
              </w:rPr>
            </w:pPr>
            <w:r w:rsidRPr="00AB1183">
              <w:rPr>
                <w:rtl/>
              </w:rPr>
              <w:t>"</w:t>
            </w:r>
            <w:r w:rsidRPr="00AB1183">
              <w:rPr>
                <w:rFonts w:hint="cs"/>
                <w:rtl/>
              </w:rPr>
              <w:t>הגוף היציג</w:t>
            </w:r>
            <w:r w:rsidRPr="00AB1183">
              <w:rPr>
                <w:rtl/>
              </w:rPr>
              <w:t xml:space="preserve">" – </w:t>
            </w:r>
            <w:r w:rsidRPr="00AB1183">
              <w:rPr>
                <w:rFonts w:hint="cs"/>
                <w:rtl/>
              </w:rPr>
              <w:t>הגוף המייצג את רוב יועצי המשכנתאות בישראל כאמור בתוספת</w:t>
            </w:r>
            <w:r>
              <w:rPr>
                <w:rFonts w:hint="cs"/>
                <w:rtl/>
              </w:rPr>
              <w:t xml:space="preserve"> הראשונה</w:t>
            </w:r>
            <w:r w:rsidRPr="00AB1183">
              <w:rPr>
                <w:rFonts w:hint="cs"/>
                <w:rtl/>
              </w:rPr>
              <w:t xml:space="preserve">; </w:t>
            </w:r>
          </w:p>
        </w:tc>
      </w:tr>
      <w:tr w:rsidR="0045086B" w14:paraId="6F48940E" w14:textId="77777777" w:rsidTr="0045086B">
        <w:trPr>
          <w:gridAfter w:val="2"/>
          <w:wAfter w:w="13038" w:type="dxa"/>
          <w:cantSplit/>
        </w:trPr>
        <w:tc>
          <w:tcPr>
            <w:tcW w:w="1870" w:type="dxa"/>
          </w:tcPr>
          <w:p w14:paraId="69E6532A" w14:textId="77777777" w:rsidR="0045086B" w:rsidRDefault="0045086B" w:rsidP="00B55E9E">
            <w:pPr>
              <w:pStyle w:val="TableSideHeading"/>
            </w:pPr>
          </w:p>
        </w:tc>
        <w:tc>
          <w:tcPr>
            <w:tcW w:w="624" w:type="dxa"/>
          </w:tcPr>
          <w:p w14:paraId="44115EE7" w14:textId="77777777" w:rsidR="0045086B" w:rsidRDefault="0045086B" w:rsidP="00B55E9E">
            <w:pPr>
              <w:pStyle w:val="TableText"/>
            </w:pPr>
          </w:p>
        </w:tc>
        <w:tc>
          <w:tcPr>
            <w:tcW w:w="7146" w:type="dxa"/>
            <w:gridSpan w:val="3"/>
          </w:tcPr>
          <w:p w14:paraId="6972AC4A" w14:textId="455562F4" w:rsidR="0045086B" w:rsidRPr="0045086B" w:rsidRDefault="0045086B" w:rsidP="0045086B">
            <w:pPr>
              <w:pStyle w:val="TableBlock"/>
              <w:rPr>
                <w:rtl/>
              </w:rPr>
            </w:pPr>
            <w:r w:rsidRPr="00AB1183">
              <w:rPr>
                <w:rFonts w:hint="cs"/>
                <w:rtl/>
              </w:rPr>
              <w:t>"</w:t>
            </w:r>
            <w:r w:rsidRPr="00AB1183">
              <w:rPr>
                <w:rtl/>
              </w:rPr>
              <w:t>גוף פיננסי</w:t>
            </w:r>
            <w:r w:rsidRPr="00AB1183">
              <w:rPr>
                <w:rFonts w:hint="cs"/>
                <w:rtl/>
              </w:rPr>
              <w:t xml:space="preserve">" </w:t>
            </w:r>
            <w:r w:rsidRPr="00AB1183">
              <w:rPr>
                <w:rtl/>
              </w:rPr>
              <w:t>–</w:t>
            </w:r>
            <w:r w:rsidRPr="00AB1183">
              <w:rPr>
                <w:rFonts w:hint="cs"/>
                <w:rtl/>
              </w:rPr>
              <w:t xml:space="preserve"> כ</w:t>
            </w:r>
            <w:r>
              <w:rPr>
                <w:rFonts w:hint="cs"/>
                <w:rtl/>
              </w:rPr>
              <w:t>הגדרתו</w:t>
            </w:r>
            <w:r w:rsidRPr="00AB1183">
              <w:rPr>
                <w:rFonts w:hint="cs"/>
                <w:rtl/>
              </w:rPr>
              <w:t xml:space="preserve"> בחוק </w:t>
            </w:r>
            <w:r w:rsidRPr="00AB1183">
              <w:rPr>
                <w:rtl/>
              </w:rPr>
              <w:t xml:space="preserve">שירות מידע פיננסי, </w:t>
            </w:r>
            <w:r w:rsidRPr="00AB1183">
              <w:rPr>
                <w:rFonts w:hint="cs"/>
                <w:rtl/>
              </w:rPr>
              <w:t>ה</w:t>
            </w:r>
            <w:r w:rsidRPr="00AB1183">
              <w:rPr>
                <w:rtl/>
              </w:rPr>
              <w:t>תשפ"ב</w:t>
            </w:r>
            <w:r>
              <w:rPr>
                <w:rFonts w:hint="cs"/>
                <w:rtl/>
              </w:rPr>
              <w:t>–</w:t>
            </w:r>
            <w:r w:rsidRPr="00AB1183">
              <w:rPr>
                <w:rtl/>
              </w:rPr>
              <w:t>2021</w:t>
            </w:r>
            <w:r>
              <w:rPr>
                <w:rStyle w:val="a5"/>
                <w:rtl/>
              </w:rPr>
              <w:footnoteReference w:id="2"/>
            </w:r>
            <w:r w:rsidRPr="00AB1183">
              <w:rPr>
                <w:rFonts w:hint="cs"/>
                <w:rtl/>
              </w:rPr>
              <w:t>;</w:t>
            </w:r>
          </w:p>
        </w:tc>
      </w:tr>
      <w:tr w:rsidR="00876039" w14:paraId="7EDF5B81" w14:textId="77777777" w:rsidTr="0045086B">
        <w:trPr>
          <w:gridAfter w:val="2"/>
          <w:wAfter w:w="13038" w:type="dxa"/>
          <w:cantSplit/>
        </w:trPr>
        <w:tc>
          <w:tcPr>
            <w:tcW w:w="1870" w:type="dxa"/>
          </w:tcPr>
          <w:p w14:paraId="46D20407" w14:textId="77777777" w:rsidR="00876039" w:rsidRDefault="00876039" w:rsidP="00B55E9E">
            <w:pPr>
              <w:pStyle w:val="TableSideHeading"/>
            </w:pPr>
          </w:p>
        </w:tc>
        <w:tc>
          <w:tcPr>
            <w:tcW w:w="624" w:type="dxa"/>
          </w:tcPr>
          <w:p w14:paraId="01F1567D" w14:textId="77777777" w:rsidR="00876039" w:rsidRDefault="00876039" w:rsidP="00B55E9E">
            <w:pPr>
              <w:pStyle w:val="TableText"/>
            </w:pPr>
          </w:p>
        </w:tc>
        <w:tc>
          <w:tcPr>
            <w:tcW w:w="7146" w:type="dxa"/>
            <w:gridSpan w:val="3"/>
          </w:tcPr>
          <w:p w14:paraId="228FBA00" w14:textId="77777777" w:rsidR="00876039" w:rsidRPr="00AB1183" w:rsidRDefault="00876039" w:rsidP="00B55E9E">
            <w:pPr>
              <w:pStyle w:val="TableBlockOutdent"/>
              <w:rPr>
                <w:rtl/>
              </w:rPr>
            </w:pPr>
            <w:r>
              <w:rPr>
                <w:rFonts w:hint="cs"/>
                <w:rtl/>
              </w:rPr>
              <w:t>"</w:t>
            </w:r>
            <w:r w:rsidRPr="007F0B74">
              <w:rPr>
                <w:rtl/>
              </w:rPr>
              <w:t xml:space="preserve">הלוואה לדיור" – </w:t>
            </w:r>
            <w:r w:rsidRPr="007F0B74">
              <w:rPr>
                <w:rFonts w:hint="cs"/>
                <w:rtl/>
              </w:rPr>
              <w:t xml:space="preserve">הלוואה </w:t>
            </w:r>
            <w:r>
              <w:rPr>
                <w:rFonts w:hint="cs"/>
                <w:rtl/>
              </w:rPr>
              <w:t>שמתקיים בה</w:t>
            </w:r>
            <w:r w:rsidRPr="007F0B74">
              <w:rPr>
                <w:rFonts w:hint="cs"/>
                <w:rtl/>
              </w:rPr>
              <w:t xml:space="preserve"> אחד מאלה, ובלבד שלא ניתנה למטרת עסק:</w:t>
            </w:r>
          </w:p>
        </w:tc>
      </w:tr>
      <w:tr w:rsidR="00876039" w14:paraId="17A04BEE" w14:textId="77777777" w:rsidTr="0045086B">
        <w:trPr>
          <w:gridAfter w:val="2"/>
          <w:wAfter w:w="13038" w:type="dxa"/>
          <w:cantSplit/>
        </w:trPr>
        <w:tc>
          <w:tcPr>
            <w:tcW w:w="1870" w:type="dxa"/>
          </w:tcPr>
          <w:p w14:paraId="59C65BF9" w14:textId="77777777" w:rsidR="00876039" w:rsidRDefault="00876039" w:rsidP="00B55E9E">
            <w:pPr>
              <w:pStyle w:val="TableSideHeading"/>
            </w:pPr>
          </w:p>
        </w:tc>
        <w:tc>
          <w:tcPr>
            <w:tcW w:w="624" w:type="dxa"/>
          </w:tcPr>
          <w:p w14:paraId="29C33FE4" w14:textId="77777777" w:rsidR="00876039" w:rsidRDefault="00876039" w:rsidP="00B55E9E">
            <w:pPr>
              <w:pStyle w:val="TableText"/>
            </w:pPr>
          </w:p>
        </w:tc>
        <w:tc>
          <w:tcPr>
            <w:tcW w:w="624" w:type="dxa"/>
          </w:tcPr>
          <w:p w14:paraId="4276DEE7" w14:textId="77777777" w:rsidR="00876039" w:rsidRDefault="00876039" w:rsidP="00B55E9E">
            <w:pPr>
              <w:pStyle w:val="TableText"/>
            </w:pPr>
          </w:p>
        </w:tc>
        <w:tc>
          <w:tcPr>
            <w:tcW w:w="6522" w:type="dxa"/>
            <w:gridSpan w:val="2"/>
          </w:tcPr>
          <w:p w14:paraId="65520BEC" w14:textId="77777777" w:rsidR="00876039" w:rsidRDefault="00876039" w:rsidP="00B55E9E">
            <w:pPr>
              <w:pStyle w:val="TableBlock"/>
            </w:pPr>
            <w:r w:rsidRPr="00BD24C4">
              <w:rPr>
                <w:rFonts w:hint="cs"/>
                <w:rtl/>
              </w:rPr>
              <w:t>(1)</w:t>
            </w:r>
            <w:r w:rsidRPr="00BD24C4">
              <w:rPr>
                <w:rtl/>
              </w:rPr>
              <w:tab/>
            </w:r>
            <w:r w:rsidRPr="00BD24C4">
              <w:rPr>
                <w:rFonts w:hint="cs"/>
                <w:rtl/>
              </w:rPr>
              <w:t>ההלוואה מיועדת לרכישה או לחכירה של דירת מגורים, בנייתה, הרחבתה, או שיפוצה;</w:t>
            </w:r>
          </w:p>
        </w:tc>
      </w:tr>
      <w:tr w:rsidR="00876039" w14:paraId="4611BF37" w14:textId="77777777" w:rsidTr="0045086B">
        <w:trPr>
          <w:gridAfter w:val="2"/>
          <w:wAfter w:w="13038" w:type="dxa"/>
          <w:cantSplit/>
        </w:trPr>
        <w:tc>
          <w:tcPr>
            <w:tcW w:w="1870" w:type="dxa"/>
          </w:tcPr>
          <w:p w14:paraId="7B8DB237" w14:textId="77777777" w:rsidR="00876039" w:rsidRDefault="00876039" w:rsidP="00B55E9E">
            <w:pPr>
              <w:pStyle w:val="TableSideHeading"/>
            </w:pPr>
          </w:p>
        </w:tc>
        <w:tc>
          <w:tcPr>
            <w:tcW w:w="624" w:type="dxa"/>
          </w:tcPr>
          <w:p w14:paraId="05FAD022" w14:textId="77777777" w:rsidR="00876039" w:rsidRDefault="00876039" w:rsidP="00B55E9E">
            <w:pPr>
              <w:pStyle w:val="TableText"/>
            </w:pPr>
          </w:p>
        </w:tc>
        <w:tc>
          <w:tcPr>
            <w:tcW w:w="624" w:type="dxa"/>
          </w:tcPr>
          <w:p w14:paraId="020F6E6A" w14:textId="77777777" w:rsidR="00876039" w:rsidRDefault="00876039" w:rsidP="00B55E9E">
            <w:pPr>
              <w:pStyle w:val="TableText"/>
            </w:pPr>
          </w:p>
        </w:tc>
        <w:tc>
          <w:tcPr>
            <w:tcW w:w="6522" w:type="dxa"/>
            <w:gridSpan w:val="2"/>
          </w:tcPr>
          <w:p w14:paraId="250B859E" w14:textId="77777777" w:rsidR="00876039" w:rsidRDefault="00876039" w:rsidP="00B55E9E">
            <w:pPr>
              <w:pStyle w:val="TableBlock"/>
            </w:pPr>
            <w:r w:rsidRPr="00BD24C4">
              <w:rPr>
                <w:rFonts w:hint="cs"/>
                <w:rtl/>
              </w:rPr>
              <w:t>(2)</w:t>
            </w:r>
            <w:r w:rsidRPr="00BD24C4">
              <w:rPr>
                <w:rtl/>
              </w:rPr>
              <w:tab/>
            </w:r>
            <w:r w:rsidRPr="00BD24C4">
              <w:rPr>
                <w:rFonts w:hint="cs"/>
                <w:rtl/>
              </w:rPr>
              <w:t>ההלוואה מיועדת</w:t>
            </w:r>
            <w:r>
              <w:rPr>
                <w:rFonts w:hint="cs"/>
                <w:rtl/>
              </w:rPr>
              <w:t xml:space="preserve"> לרכישת מגרש לבניית דירת מגורים </w:t>
            </w:r>
            <w:r w:rsidRPr="00BD24C4">
              <w:rPr>
                <w:rFonts w:hint="cs"/>
                <w:rtl/>
              </w:rPr>
              <w:t>או לרכישת זכות בדירת מגורים תמורת דמי מפתח;</w:t>
            </w:r>
          </w:p>
        </w:tc>
      </w:tr>
      <w:tr w:rsidR="00876039" w14:paraId="4A9AED02" w14:textId="77777777" w:rsidTr="0045086B">
        <w:trPr>
          <w:gridAfter w:val="2"/>
          <w:wAfter w:w="13038" w:type="dxa"/>
          <w:cantSplit/>
        </w:trPr>
        <w:tc>
          <w:tcPr>
            <w:tcW w:w="1870" w:type="dxa"/>
          </w:tcPr>
          <w:p w14:paraId="31E17008" w14:textId="77777777" w:rsidR="00876039" w:rsidRDefault="00876039" w:rsidP="00B55E9E">
            <w:pPr>
              <w:pStyle w:val="TableSideHeading"/>
            </w:pPr>
          </w:p>
        </w:tc>
        <w:tc>
          <w:tcPr>
            <w:tcW w:w="624" w:type="dxa"/>
          </w:tcPr>
          <w:p w14:paraId="3093AE96" w14:textId="77777777" w:rsidR="00876039" w:rsidRDefault="00876039" w:rsidP="00B55E9E">
            <w:pPr>
              <w:pStyle w:val="TableText"/>
            </w:pPr>
          </w:p>
        </w:tc>
        <w:tc>
          <w:tcPr>
            <w:tcW w:w="624" w:type="dxa"/>
          </w:tcPr>
          <w:p w14:paraId="2C9D7581" w14:textId="77777777" w:rsidR="00876039" w:rsidRDefault="00876039" w:rsidP="00B55E9E">
            <w:pPr>
              <w:pStyle w:val="TableText"/>
            </w:pPr>
          </w:p>
        </w:tc>
        <w:tc>
          <w:tcPr>
            <w:tcW w:w="6522" w:type="dxa"/>
            <w:gridSpan w:val="2"/>
          </w:tcPr>
          <w:p w14:paraId="2FB19481" w14:textId="77777777" w:rsidR="00876039" w:rsidRDefault="00876039" w:rsidP="00B55E9E">
            <w:pPr>
              <w:pStyle w:val="TableBlock"/>
            </w:pPr>
            <w:r w:rsidRPr="00BD24C4">
              <w:rPr>
                <w:rFonts w:hint="cs"/>
                <w:rtl/>
              </w:rPr>
              <w:t>(3)</w:t>
            </w:r>
            <w:r w:rsidRPr="00BD24C4">
              <w:rPr>
                <w:rtl/>
              </w:rPr>
              <w:tab/>
            </w:r>
            <w:r w:rsidRPr="00BD24C4">
              <w:rPr>
                <w:rFonts w:hint="cs"/>
                <w:rtl/>
              </w:rPr>
              <w:t>ההלוואה ניתנה ב</w:t>
            </w:r>
            <w:r>
              <w:rPr>
                <w:rFonts w:hint="cs"/>
                <w:rtl/>
              </w:rPr>
              <w:t>כפוף ל</w:t>
            </w:r>
            <w:r w:rsidRPr="00BD24C4">
              <w:rPr>
                <w:rFonts w:hint="cs"/>
                <w:rtl/>
              </w:rPr>
              <w:t>משכון דירת מגורים;</w:t>
            </w:r>
          </w:p>
        </w:tc>
      </w:tr>
      <w:tr w:rsidR="00876039" w14:paraId="6506F8C1" w14:textId="77777777" w:rsidTr="0045086B">
        <w:trPr>
          <w:gridAfter w:val="2"/>
          <w:wAfter w:w="13038" w:type="dxa"/>
          <w:cantSplit/>
        </w:trPr>
        <w:tc>
          <w:tcPr>
            <w:tcW w:w="1870" w:type="dxa"/>
          </w:tcPr>
          <w:p w14:paraId="34833EE4" w14:textId="77777777" w:rsidR="00876039" w:rsidRDefault="00876039" w:rsidP="00B55E9E">
            <w:pPr>
              <w:pStyle w:val="TableSideHeading"/>
            </w:pPr>
          </w:p>
        </w:tc>
        <w:tc>
          <w:tcPr>
            <w:tcW w:w="624" w:type="dxa"/>
          </w:tcPr>
          <w:p w14:paraId="2A109083" w14:textId="77777777" w:rsidR="00876039" w:rsidRDefault="00876039" w:rsidP="00B55E9E">
            <w:pPr>
              <w:pStyle w:val="TableText"/>
            </w:pPr>
          </w:p>
        </w:tc>
        <w:tc>
          <w:tcPr>
            <w:tcW w:w="624" w:type="dxa"/>
          </w:tcPr>
          <w:p w14:paraId="5884C9B4" w14:textId="77777777" w:rsidR="00876039" w:rsidRDefault="00876039" w:rsidP="00B55E9E">
            <w:pPr>
              <w:pStyle w:val="TableText"/>
            </w:pPr>
          </w:p>
        </w:tc>
        <w:tc>
          <w:tcPr>
            <w:tcW w:w="6522" w:type="dxa"/>
            <w:gridSpan w:val="2"/>
          </w:tcPr>
          <w:p w14:paraId="793AEF9B" w14:textId="77777777" w:rsidR="00876039" w:rsidRDefault="00876039" w:rsidP="00B55E9E">
            <w:pPr>
              <w:pStyle w:val="TableBlock"/>
            </w:pPr>
            <w:r w:rsidRPr="00BD24C4">
              <w:rPr>
                <w:rFonts w:hint="cs"/>
                <w:rtl/>
              </w:rPr>
              <w:t>(4)</w:t>
            </w:r>
            <w:r w:rsidRPr="00BD24C4">
              <w:rPr>
                <w:rtl/>
              </w:rPr>
              <w:tab/>
            </w:r>
            <w:r w:rsidRPr="00BD24C4">
              <w:rPr>
                <w:rFonts w:hint="cs"/>
                <w:rtl/>
              </w:rPr>
              <w:t>ההלוואה מיועדת למימון פירעון מוקדם של הלוואה כאמור ב</w:t>
            </w:r>
            <w:r>
              <w:rPr>
                <w:rFonts w:hint="cs"/>
                <w:rtl/>
              </w:rPr>
              <w:t>פסקה (1),</w:t>
            </w:r>
            <w:r w:rsidRPr="00BD24C4">
              <w:rPr>
                <w:rFonts w:hint="cs"/>
                <w:rtl/>
              </w:rPr>
              <w:t xml:space="preserve"> במלואה או בחלקה</w:t>
            </w:r>
            <w:r>
              <w:rPr>
                <w:rFonts w:hint="cs"/>
                <w:rtl/>
              </w:rPr>
              <w:t>;</w:t>
            </w:r>
          </w:p>
        </w:tc>
      </w:tr>
      <w:tr w:rsidR="0045086B" w14:paraId="575537BA" w14:textId="77777777" w:rsidTr="0045086B">
        <w:trPr>
          <w:gridAfter w:val="2"/>
          <w:wAfter w:w="13038" w:type="dxa"/>
          <w:cantSplit/>
          <w:trHeight w:val="60"/>
        </w:trPr>
        <w:tc>
          <w:tcPr>
            <w:tcW w:w="1870" w:type="dxa"/>
          </w:tcPr>
          <w:p w14:paraId="6DFBCD09" w14:textId="77777777" w:rsidR="0045086B" w:rsidRDefault="0045086B">
            <w:pPr>
              <w:pStyle w:val="TableSideHeading"/>
            </w:pPr>
          </w:p>
        </w:tc>
        <w:tc>
          <w:tcPr>
            <w:tcW w:w="624" w:type="dxa"/>
          </w:tcPr>
          <w:p w14:paraId="6FF5B7B8" w14:textId="77777777" w:rsidR="0045086B" w:rsidRDefault="0045086B">
            <w:pPr>
              <w:pStyle w:val="TableText"/>
            </w:pPr>
          </w:p>
        </w:tc>
        <w:tc>
          <w:tcPr>
            <w:tcW w:w="7146" w:type="dxa"/>
            <w:gridSpan w:val="3"/>
          </w:tcPr>
          <w:p w14:paraId="40960BF3" w14:textId="0877DC29" w:rsidR="0045086B" w:rsidRPr="009B66FF" w:rsidRDefault="0045086B" w:rsidP="009B66FF">
            <w:pPr>
              <w:pStyle w:val="TableBlockOutdent"/>
            </w:pPr>
            <w:r w:rsidRPr="009B66FF">
              <w:rPr>
                <w:rtl/>
              </w:rPr>
              <w:t xml:space="preserve">"ועדת פיקוח וערר" </w:t>
            </w:r>
            <w:r w:rsidRPr="009B66FF">
              <w:rPr>
                <w:rFonts w:hint="eastAsia"/>
              </w:rPr>
              <w:t>–</w:t>
            </w:r>
            <w:r w:rsidRPr="009B66FF">
              <w:rPr>
                <w:rtl/>
              </w:rPr>
              <w:t xml:space="preserve"> ועד</w:t>
            </w:r>
            <w:r w:rsidRPr="009B66FF">
              <w:rPr>
                <w:rFonts w:hint="eastAsia"/>
                <w:rtl/>
              </w:rPr>
              <w:t>ת</w:t>
            </w:r>
            <w:r w:rsidRPr="009B66FF">
              <w:rPr>
                <w:rtl/>
              </w:rPr>
              <w:t xml:space="preserve"> </w:t>
            </w:r>
            <w:r w:rsidRPr="009B66FF">
              <w:rPr>
                <w:rFonts w:hint="eastAsia"/>
                <w:rtl/>
              </w:rPr>
              <w:t>משנה</w:t>
            </w:r>
            <w:r w:rsidRPr="009B66FF">
              <w:rPr>
                <w:rtl/>
              </w:rPr>
              <w:t xml:space="preserve"> של המועצה </w:t>
            </w:r>
            <w:r w:rsidRPr="009B66FF">
              <w:rPr>
                <w:rFonts w:hint="eastAsia"/>
                <w:rtl/>
              </w:rPr>
              <w:t>שתפקידה</w:t>
            </w:r>
            <w:r w:rsidRPr="009B66FF">
              <w:rPr>
                <w:rtl/>
              </w:rPr>
              <w:t xml:space="preserve"> </w:t>
            </w:r>
            <w:r w:rsidRPr="009B66FF">
              <w:rPr>
                <w:rFonts w:hint="eastAsia"/>
                <w:rtl/>
              </w:rPr>
              <w:t>פיקוח</w:t>
            </w:r>
            <w:r w:rsidRPr="009B66FF">
              <w:rPr>
                <w:rtl/>
              </w:rPr>
              <w:t xml:space="preserve"> </w:t>
            </w:r>
            <w:r w:rsidRPr="009B66FF">
              <w:rPr>
                <w:rFonts w:hint="eastAsia"/>
                <w:rtl/>
              </w:rPr>
              <w:t>על</w:t>
            </w:r>
            <w:r w:rsidRPr="009B66FF">
              <w:rPr>
                <w:rtl/>
              </w:rPr>
              <w:t xml:space="preserve"> </w:t>
            </w:r>
            <w:r w:rsidRPr="009B66FF">
              <w:rPr>
                <w:rFonts w:hint="eastAsia"/>
                <w:rtl/>
              </w:rPr>
              <w:t>בחינות</w:t>
            </w:r>
            <w:r w:rsidRPr="009B66FF">
              <w:rPr>
                <w:rtl/>
              </w:rPr>
              <w:t xml:space="preserve"> הסמכה לייעוץ משכנתאות </w:t>
            </w:r>
            <w:r w:rsidRPr="009B66FF">
              <w:rPr>
                <w:rFonts w:hint="eastAsia"/>
                <w:rtl/>
              </w:rPr>
              <w:t>וטיפול</w:t>
            </w:r>
            <w:r w:rsidRPr="009B66FF">
              <w:rPr>
                <w:rtl/>
              </w:rPr>
              <w:t xml:space="preserve"> </w:t>
            </w:r>
            <w:r w:rsidRPr="009B66FF">
              <w:rPr>
                <w:rFonts w:hint="eastAsia"/>
                <w:rtl/>
              </w:rPr>
              <w:t>בעררים</w:t>
            </w:r>
            <w:r w:rsidRPr="009B66FF">
              <w:rPr>
                <w:rtl/>
              </w:rPr>
              <w:t xml:space="preserve"> </w:t>
            </w:r>
            <w:r w:rsidRPr="009B66FF">
              <w:rPr>
                <w:rFonts w:hint="eastAsia"/>
                <w:rtl/>
              </w:rPr>
              <w:t>על</w:t>
            </w:r>
            <w:r w:rsidRPr="009B66FF">
              <w:rPr>
                <w:rtl/>
              </w:rPr>
              <w:t xml:space="preserve"> </w:t>
            </w:r>
            <w:r w:rsidRPr="009B66FF">
              <w:rPr>
                <w:rFonts w:hint="eastAsia"/>
                <w:rtl/>
              </w:rPr>
              <w:t>הבחינות</w:t>
            </w:r>
            <w:r w:rsidRPr="009B66FF">
              <w:rPr>
                <w:rtl/>
              </w:rPr>
              <w:t>;</w:t>
            </w:r>
          </w:p>
        </w:tc>
      </w:tr>
      <w:tr w:rsidR="0045086B" w14:paraId="56E3370F" w14:textId="77777777" w:rsidTr="0045086B">
        <w:trPr>
          <w:gridAfter w:val="2"/>
          <w:wAfter w:w="13038" w:type="dxa"/>
          <w:cantSplit/>
          <w:trHeight w:val="60"/>
        </w:trPr>
        <w:tc>
          <w:tcPr>
            <w:tcW w:w="1870" w:type="dxa"/>
          </w:tcPr>
          <w:p w14:paraId="7945B7B4" w14:textId="77777777" w:rsidR="0045086B" w:rsidRDefault="0045086B">
            <w:pPr>
              <w:pStyle w:val="TableSideHeading"/>
            </w:pPr>
          </w:p>
        </w:tc>
        <w:tc>
          <w:tcPr>
            <w:tcW w:w="624" w:type="dxa"/>
          </w:tcPr>
          <w:p w14:paraId="02A5780B" w14:textId="77777777" w:rsidR="0045086B" w:rsidRDefault="0045086B">
            <w:pPr>
              <w:pStyle w:val="TableText"/>
            </w:pPr>
          </w:p>
        </w:tc>
        <w:tc>
          <w:tcPr>
            <w:tcW w:w="7146" w:type="dxa"/>
            <w:gridSpan w:val="3"/>
          </w:tcPr>
          <w:p w14:paraId="20FAF705" w14:textId="64976133" w:rsidR="0045086B" w:rsidRPr="009B66FF" w:rsidRDefault="0045086B" w:rsidP="009B66FF">
            <w:pPr>
              <w:pStyle w:val="TableBlockOutdent"/>
            </w:pPr>
            <w:r w:rsidRPr="009B66FF">
              <w:rPr>
                <w:rFonts w:hint="cs"/>
                <w:rtl/>
              </w:rPr>
              <w:t xml:space="preserve">"חברת פינטק" </w:t>
            </w:r>
            <w:r w:rsidRPr="009B66FF">
              <w:rPr>
                <w:rtl/>
              </w:rPr>
              <w:t>–</w:t>
            </w:r>
            <w:r w:rsidRPr="009B66FF">
              <w:rPr>
                <w:rFonts w:hint="cs"/>
                <w:rtl/>
              </w:rPr>
              <w:t xml:space="preserve"> חברה העוסקת בטכנולוגיה פיננסית, הנותנת ייעוץ משכנתאות באופן מקוון;</w:t>
            </w:r>
          </w:p>
        </w:tc>
      </w:tr>
      <w:tr w:rsidR="0045086B" w14:paraId="14AEFFE0" w14:textId="77777777" w:rsidTr="0045086B">
        <w:trPr>
          <w:gridAfter w:val="2"/>
          <w:wAfter w:w="13038" w:type="dxa"/>
          <w:cantSplit/>
          <w:trHeight w:val="60"/>
        </w:trPr>
        <w:tc>
          <w:tcPr>
            <w:tcW w:w="1870" w:type="dxa"/>
          </w:tcPr>
          <w:p w14:paraId="6A53E359" w14:textId="77777777" w:rsidR="0045086B" w:rsidRDefault="0045086B">
            <w:pPr>
              <w:pStyle w:val="TableSideHeading"/>
            </w:pPr>
          </w:p>
        </w:tc>
        <w:tc>
          <w:tcPr>
            <w:tcW w:w="624" w:type="dxa"/>
          </w:tcPr>
          <w:p w14:paraId="2F45BEDA" w14:textId="77777777" w:rsidR="0045086B" w:rsidRDefault="0045086B" w:rsidP="0045086B">
            <w:pPr>
              <w:pStyle w:val="TableText"/>
            </w:pPr>
          </w:p>
        </w:tc>
        <w:tc>
          <w:tcPr>
            <w:tcW w:w="7146" w:type="dxa"/>
            <w:gridSpan w:val="3"/>
          </w:tcPr>
          <w:p w14:paraId="21B76BCB" w14:textId="5F5CE331" w:rsidR="0045086B" w:rsidRPr="009B66FF" w:rsidRDefault="0045086B" w:rsidP="009B66FF">
            <w:pPr>
              <w:pStyle w:val="TableBlockOutdent"/>
            </w:pPr>
            <w:r w:rsidRPr="009B66FF">
              <w:rPr>
                <w:rtl/>
              </w:rPr>
              <w:t xml:space="preserve">"יועץ משכנתאות" – </w:t>
            </w:r>
            <w:r w:rsidRPr="009B66FF">
              <w:rPr>
                <w:rFonts w:hint="cs"/>
                <w:rtl/>
              </w:rPr>
              <w:t xml:space="preserve">מי שעוסק </w:t>
            </w:r>
            <w:r w:rsidRPr="009B66FF">
              <w:rPr>
                <w:rtl/>
              </w:rPr>
              <w:t>בייעוץ משכנתאות</w:t>
            </w:r>
            <w:r w:rsidRPr="009B66FF">
              <w:rPr>
                <w:rFonts w:hint="cs"/>
                <w:rtl/>
              </w:rPr>
              <w:t xml:space="preserve"> ורשום בפנקס לפי סעיף 1</w:t>
            </w:r>
            <w:r w:rsidR="006B04E9" w:rsidRPr="009B66FF">
              <w:rPr>
                <w:rFonts w:hint="cs"/>
                <w:rtl/>
              </w:rPr>
              <w:t>4</w:t>
            </w:r>
            <w:r w:rsidRPr="009B66FF">
              <w:rPr>
                <w:rFonts w:hint="cs"/>
                <w:rtl/>
              </w:rPr>
              <w:t>;</w:t>
            </w:r>
          </w:p>
        </w:tc>
      </w:tr>
      <w:tr w:rsidR="0045086B" w14:paraId="2BDDE549" w14:textId="77777777" w:rsidTr="0045086B">
        <w:trPr>
          <w:gridAfter w:val="2"/>
          <w:wAfter w:w="13038" w:type="dxa"/>
          <w:cantSplit/>
          <w:trHeight w:val="60"/>
        </w:trPr>
        <w:tc>
          <w:tcPr>
            <w:tcW w:w="1870" w:type="dxa"/>
          </w:tcPr>
          <w:p w14:paraId="38ED4C5A" w14:textId="77777777" w:rsidR="0045086B" w:rsidRDefault="0045086B">
            <w:pPr>
              <w:pStyle w:val="TableSideHeading"/>
            </w:pPr>
          </w:p>
        </w:tc>
        <w:tc>
          <w:tcPr>
            <w:tcW w:w="624" w:type="dxa"/>
          </w:tcPr>
          <w:p w14:paraId="0296EBCB" w14:textId="77777777" w:rsidR="0045086B" w:rsidRDefault="0045086B" w:rsidP="0045086B">
            <w:pPr>
              <w:pStyle w:val="TableText"/>
            </w:pPr>
          </w:p>
        </w:tc>
        <w:tc>
          <w:tcPr>
            <w:tcW w:w="7146" w:type="dxa"/>
            <w:gridSpan w:val="3"/>
          </w:tcPr>
          <w:p w14:paraId="72E08F14" w14:textId="697285DD" w:rsidR="0045086B" w:rsidRPr="009B66FF" w:rsidRDefault="0045086B" w:rsidP="009B66FF">
            <w:pPr>
              <w:pStyle w:val="TableBlockOutdent"/>
            </w:pPr>
            <w:r w:rsidRPr="009B66FF">
              <w:rPr>
                <w:rFonts w:hint="cs"/>
                <w:rtl/>
              </w:rPr>
              <w:t xml:space="preserve">"ייעוץ" </w:t>
            </w:r>
            <w:r w:rsidRPr="009B66FF">
              <w:rPr>
                <w:rtl/>
              </w:rPr>
              <w:t>–</w:t>
            </w:r>
            <w:r w:rsidRPr="009B66FF">
              <w:rPr>
                <w:rFonts w:hint="cs"/>
                <w:rtl/>
              </w:rPr>
              <w:t xml:space="preserve"> בין במישרין ובין בעקיפין ולרבות בדרך של פרסום, בחוות דעת או בכל אמצעי אחר;  </w:t>
            </w:r>
          </w:p>
        </w:tc>
      </w:tr>
      <w:tr w:rsidR="0045086B" w14:paraId="64168612" w14:textId="77777777" w:rsidTr="0045086B">
        <w:trPr>
          <w:gridAfter w:val="2"/>
          <w:wAfter w:w="13038" w:type="dxa"/>
          <w:cantSplit/>
          <w:trHeight w:val="60"/>
        </w:trPr>
        <w:tc>
          <w:tcPr>
            <w:tcW w:w="1870" w:type="dxa"/>
          </w:tcPr>
          <w:p w14:paraId="6E05A7F8" w14:textId="77777777" w:rsidR="0045086B" w:rsidRDefault="0045086B">
            <w:pPr>
              <w:pStyle w:val="TableSideHeading"/>
            </w:pPr>
          </w:p>
        </w:tc>
        <w:tc>
          <w:tcPr>
            <w:tcW w:w="624" w:type="dxa"/>
          </w:tcPr>
          <w:p w14:paraId="6A09D4D8" w14:textId="77777777" w:rsidR="0045086B" w:rsidRDefault="0045086B" w:rsidP="0045086B">
            <w:pPr>
              <w:pStyle w:val="TableText"/>
            </w:pPr>
          </w:p>
        </w:tc>
        <w:tc>
          <w:tcPr>
            <w:tcW w:w="7146" w:type="dxa"/>
            <w:gridSpan w:val="3"/>
          </w:tcPr>
          <w:p w14:paraId="16375723" w14:textId="286A17F2" w:rsidR="0045086B" w:rsidRPr="009B66FF" w:rsidRDefault="0045086B" w:rsidP="009B66FF">
            <w:pPr>
              <w:pStyle w:val="TableBlockOutdent"/>
            </w:pPr>
            <w:r w:rsidRPr="009B66FF">
              <w:rPr>
                <w:rFonts w:hint="cs"/>
                <w:rtl/>
              </w:rPr>
              <w:t>"</w:t>
            </w:r>
            <w:r w:rsidRPr="009B66FF">
              <w:rPr>
                <w:rtl/>
              </w:rPr>
              <w:t>ייעוץ משכנתאות" –</w:t>
            </w:r>
            <w:r w:rsidRPr="009B66FF">
              <w:rPr>
                <w:rFonts w:hint="cs"/>
                <w:rtl/>
              </w:rPr>
              <w:t xml:space="preserve"> ייעוץ דרך עיסוק לעניין </w:t>
            </w:r>
            <w:r w:rsidRPr="009B66FF">
              <w:rPr>
                <w:rtl/>
              </w:rPr>
              <w:t>הלוואה לדיור</w:t>
            </w:r>
            <w:r w:rsidRPr="009B66FF">
              <w:rPr>
                <w:rFonts w:hint="cs"/>
                <w:rtl/>
              </w:rPr>
              <w:t>,</w:t>
            </w:r>
            <w:r w:rsidRPr="009B66FF">
              <w:rPr>
                <w:rtl/>
              </w:rPr>
              <w:t xml:space="preserve"> </w:t>
            </w:r>
            <w:r w:rsidRPr="009B66FF">
              <w:rPr>
                <w:rFonts w:hint="cs"/>
                <w:rtl/>
              </w:rPr>
              <w:t>לגבי</w:t>
            </w:r>
            <w:r w:rsidRPr="009B66FF">
              <w:rPr>
                <w:rtl/>
              </w:rPr>
              <w:t xml:space="preserve"> אחד או יותר מאלה:</w:t>
            </w:r>
          </w:p>
        </w:tc>
      </w:tr>
      <w:tr w:rsidR="0045086B" w14:paraId="1F3804DC" w14:textId="77777777" w:rsidTr="0045086B">
        <w:trPr>
          <w:gridAfter w:val="2"/>
          <w:wAfter w:w="13038" w:type="dxa"/>
          <w:cantSplit/>
          <w:trHeight w:val="60"/>
        </w:trPr>
        <w:tc>
          <w:tcPr>
            <w:tcW w:w="1870" w:type="dxa"/>
          </w:tcPr>
          <w:p w14:paraId="1A872146" w14:textId="77777777" w:rsidR="0045086B" w:rsidRDefault="0045086B">
            <w:pPr>
              <w:pStyle w:val="TableSideHeading"/>
            </w:pPr>
          </w:p>
        </w:tc>
        <w:tc>
          <w:tcPr>
            <w:tcW w:w="624" w:type="dxa"/>
          </w:tcPr>
          <w:p w14:paraId="4D1446EE" w14:textId="77777777" w:rsidR="0045086B" w:rsidRDefault="0045086B">
            <w:pPr>
              <w:pStyle w:val="TableText"/>
            </w:pPr>
          </w:p>
        </w:tc>
        <w:tc>
          <w:tcPr>
            <w:tcW w:w="624" w:type="dxa"/>
          </w:tcPr>
          <w:p w14:paraId="1DF203C3" w14:textId="77777777" w:rsidR="0045086B" w:rsidRDefault="0045086B">
            <w:pPr>
              <w:pStyle w:val="TableText"/>
            </w:pPr>
          </w:p>
        </w:tc>
        <w:tc>
          <w:tcPr>
            <w:tcW w:w="6522" w:type="dxa"/>
            <w:gridSpan w:val="2"/>
          </w:tcPr>
          <w:p w14:paraId="68870782" w14:textId="3CD4C380" w:rsidR="0045086B" w:rsidRDefault="0045086B">
            <w:pPr>
              <w:pStyle w:val="TableBlock"/>
            </w:pPr>
            <w:r w:rsidRPr="00AB1183">
              <w:rPr>
                <w:rFonts w:hint="cs"/>
                <w:rtl/>
              </w:rPr>
              <w:t>(1)</w:t>
            </w:r>
            <w:r w:rsidRPr="00AB1183">
              <w:rPr>
                <w:rtl/>
              </w:rPr>
              <w:tab/>
            </w:r>
            <w:r>
              <w:rPr>
                <w:rFonts w:hint="cs"/>
                <w:rtl/>
              </w:rPr>
              <w:t>ייעוץ לעניין הגשת בקשה להלוואה לדיור;</w:t>
            </w:r>
          </w:p>
        </w:tc>
      </w:tr>
      <w:tr w:rsidR="0045086B" w14:paraId="2B709B6B" w14:textId="77777777" w:rsidTr="0045086B">
        <w:trPr>
          <w:gridAfter w:val="2"/>
          <w:wAfter w:w="13038" w:type="dxa"/>
          <w:cantSplit/>
          <w:trHeight w:val="60"/>
        </w:trPr>
        <w:tc>
          <w:tcPr>
            <w:tcW w:w="1870" w:type="dxa"/>
          </w:tcPr>
          <w:p w14:paraId="22C8B225" w14:textId="77777777" w:rsidR="0045086B" w:rsidRDefault="0045086B">
            <w:pPr>
              <w:pStyle w:val="TableSideHeading"/>
            </w:pPr>
          </w:p>
        </w:tc>
        <w:tc>
          <w:tcPr>
            <w:tcW w:w="624" w:type="dxa"/>
          </w:tcPr>
          <w:p w14:paraId="086704B8" w14:textId="77777777" w:rsidR="0045086B" w:rsidRDefault="0045086B" w:rsidP="0045086B">
            <w:pPr>
              <w:pStyle w:val="TableText"/>
            </w:pPr>
          </w:p>
        </w:tc>
        <w:tc>
          <w:tcPr>
            <w:tcW w:w="624" w:type="dxa"/>
          </w:tcPr>
          <w:p w14:paraId="732CC10F" w14:textId="77777777" w:rsidR="0045086B" w:rsidRDefault="0045086B">
            <w:pPr>
              <w:pStyle w:val="TableText"/>
            </w:pPr>
          </w:p>
        </w:tc>
        <w:tc>
          <w:tcPr>
            <w:tcW w:w="6522" w:type="dxa"/>
            <w:gridSpan w:val="2"/>
          </w:tcPr>
          <w:p w14:paraId="16F761D3" w14:textId="037E3052" w:rsidR="0045086B" w:rsidRDefault="0045086B">
            <w:pPr>
              <w:pStyle w:val="TableBlock"/>
            </w:pPr>
            <w:r>
              <w:rPr>
                <w:rFonts w:hint="cs"/>
                <w:rtl/>
              </w:rPr>
              <w:t>(2)</w:t>
            </w:r>
            <w:r>
              <w:rPr>
                <w:rtl/>
              </w:rPr>
              <w:tab/>
            </w:r>
            <w:r w:rsidRPr="00AB1183">
              <w:rPr>
                <w:rFonts w:hint="cs"/>
                <w:rtl/>
              </w:rPr>
              <w:t>הגשת בקשה להלוואה לדיור, או קבלת הצעות להלוואה לדיור מגוף פיננסי במענה להגשת בקשה כאמור;</w:t>
            </w:r>
          </w:p>
        </w:tc>
      </w:tr>
      <w:tr w:rsidR="0045086B" w14:paraId="0A09CDC3" w14:textId="77777777" w:rsidTr="0045086B">
        <w:trPr>
          <w:gridAfter w:val="2"/>
          <w:wAfter w:w="13038" w:type="dxa"/>
          <w:cantSplit/>
          <w:trHeight w:val="60"/>
        </w:trPr>
        <w:tc>
          <w:tcPr>
            <w:tcW w:w="1870" w:type="dxa"/>
          </w:tcPr>
          <w:p w14:paraId="489D8F36" w14:textId="77777777" w:rsidR="0045086B" w:rsidRDefault="0045086B">
            <w:pPr>
              <w:pStyle w:val="TableSideHeading"/>
            </w:pPr>
          </w:p>
        </w:tc>
        <w:tc>
          <w:tcPr>
            <w:tcW w:w="624" w:type="dxa"/>
          </w:tcPr>
          <w:p w14:paraId="5F8BEBCC" w14:textId="77777777" w:rsidR="0045086B" w:rsidRDefault="0045086B" w:rsidP="0045086B">
            <w:pPr>
              <w:pStyle w:val="TableText"/>
            </w:pPr>
          </w:p>
        </w:tc>
        <w:tc>
          <w:tcPr>
            <w:tcW w:w="624" w:type="dxa"/>
          </w:tcPr>
          <w:p w14:paraId="15E1E181" w14:textId="77777777" w:rsidR="0045086B" w:rsidRDefault="0045086B">
            <w:pPr>
              <w:pStyle w:val="TableText"/>
            </w:pPr>
          </w:p>
        </w:tc>
        <w:tc>
          <w:tcPr>
            <w:tcW w:w="6522" w:type="dxa"/>
            <w:gridSpan w:val="2"/>
          </w:tcPr>
          <w:p w14:paraId="1594D706" w14:textId="571B84E3" w:rsidR="0045086B" w:rsidRDefault="0045086B">
            <w:pPr>
              <w:pStyle w:val="TableBlock"/>
            </w:pPr>
            <w:r w:rsidRPr="00AB1183">
              <w:rPr>
                <w:rFonts w:hint="cs"/>
                <w:rtl/>
              </w:rPr>
              <w:t>(</w:t>
            </w:r>
            <w:r>
              <w:rPr>
                <w:rFonts w:hint="cs"/>
                <w:rtl/>
              </w:rPr>
              <w:t>3</w:t>
            </w:r>
            <w:r w:rsidRPr="00AB1183">
              <w:rPr>
                <w:rFonts w:hint="cs"/>
                <w:rtl/>
              </w:rPr>
              <w:t>)</w:t>
            </w:r>
            <w:r w:rsidRPr="00AB1183">
              <w:rPr>
                <w:rtl/>
              </w:rPr>
              <w:tab/>
            </w:r>
            <w:r w:rsidRPr="00AB1183">
              <w:rPr>
                <w:rFonts w:hint="cs"/>
                <w:rtl/>
              </w:rPr>
              <w:t>א</w:t>
            </w:r>
            <w:r>
              <w:rPr>
                <w:rFonts w:hint="cs"/>
                <w:rtl/>
              </w:rPr>
              <w:t>י</w:t>
            </w:r>
            <w:r w:rsidRPr="00AB1183">
              <w:rPr>
                <w:rFonts w:hint="cs"/>
                <w:rtl/>
              </w:rPr>
              <w:t>פיון ההלוואה לדיור;</w:t>
            </w:r>
          </w:p>
        </w:tc>
      </w:tr>
      <w:tr w:rsidR="0045086B" w14:paraId="6DF7DDF8" w14:textId="77777777" w:rsidTr="0045086B">
        <w:trPr>
          <w:gridAfter w:val="2"/>
          <w:wAfter w:w="13038" w:type="dxa"/>
          <w:cantSplit/>
          <w:trHeight w:val="60"/>
        </w:trPr>
        <w:tc>
          <w:tcPr>
            <w:tcW w:w="1870" w:type="dxa"/>
          </w:tcPr>
          <w:p w14:paraId="79052231" w14:textId="77777777" w:rsidR="0045086B" w:rsidRDefault="0045086B">
            <w:pPr>
              <w:pStyle w:val="TableSideHeading"/>
            </w:pPr>
          </w:p>
        </w:tc>
        <w:tc>
          <w:tcPr>
            <w:tcW w:w="624" w:type="dxa"/>
          </w:tcPr>
          <w:p w14:paraId="54FDA065" w14:textId="77777777" w:rsidR="0045086B" w:rsidRDefault="0045086B" w:rsidP="0045086B">
            <w:pPr>
              <w:pStyle w:val="TableText"/>
            </w:pPr>
          </w:p>
        </w:tc>
        <w:tc>
          <w:tcPr>
            <w:tcW w:w="624" w:type="dxa"/>
          </w:tcPr>
          <w:p w14:paraId="20FF206E" w14:textId="77777777" w:rsidR="0045086B" w:rsidRDefault="0045086B">
            <w:pPr>
              <w:pStyle w:val="TableText"/>
            </w:pPr>
          </w:p>
        </w:tc>
        <w:tc>
          <w:tcPr>
            <w:tcW w:w="6522" w:type="dxa"/>
            <w:gridSpan w:val="2"/>
          </w:tcPr>
          <w:p w14:paraId="768BD85A" w14:textId="21071980" w:rsidR="0045086B" w:rsidRDefault="0045086B">
            <w:pPr>
              <w:pStyle w:val="TableBlock"/>
            </w:pPr>
            <w:r w:rsidRPr="00AB1183">
              <w:rPr>
                <w:rFonts w:hint="cs"/>
                <w:rtl/>
              </w:rPr>
              <w:t>(</w:t>
            </w:r>
            <w:r>
              <w:rPr>
                <w:rFonts w:hint="cs"/>
                <w:rtl/>
              </w:rPr>
              <w:t>4</w:t>
            </w:r>
            <w:r w:rsidRPr="00AB1183">
              <w:rPr>
                <w:rFonts w:hint="cs"/>
                <w:rtl/>
              </w:rPr>
              <w:t>)</w:t>
            </w:r>
            <w:r w:rsidRPr="00AB1183">
              <w:rPr>
                <w:rtl/>
              </w:rPr>
              <w:tab/>
            </w:r>
            <w:r w:rsidRPr="00AB1183">
              <w:rPr>
                <w:rFonts w:hint="cs"/>
                <w:rtl/>
              </w:rPr>
              <w:t>בחירת סוג ההלוואה לדיור, ובכלל זה בהתחשב בנסיבות המיוחדות החלות על מבקש ההלו</w:t>
            </w:r>
            <w:r w:rsidRPr="00CB5111">
              <w:rPr>
                <w:rFonts w:hint="eastAsia"/>
                <w:rtl/>
              </w:rPr>
              <w:t>ואה</w:t>
            </w:r>
            <w:r>
              <w:rPr>
                <w:rFonts w:hint="cs"/>
                <w:rtl/>
              </w:rPr>
              <w:t>;</w:t>
            </w:r>
          </w:p>
        </w:tc>
      </w:tr>
      <w:tr w:rsidR="0045086B" w14:paraId="05F5A2D8" w14:textId="556E3FA6" w:rsidTr="0045086B">
        <w:trPr>
          <w:cantSplit/>
          <w:trHeight w:val="546"/>
        </w:trPr>
        <w:tc>
          <w:tcPr>
            <w:tcW w:w="1870" w:type="dxa"/>
          </w:tcPr>
          <w:p w14:paraId="5781F03C" w14:textId="77777777" w:rsidR="0045086B" w:rsidRDefault="0045086B" w:rsidP="0045086B">
            <w:pPr>
              <w:pStyle w:val="TableSideHeading"/>
            </w:pPr>
          </w:p>
        </w:tc>
        <w:tc>
          <w:tcPr>
            <w:tcW w:w="624" w:type="dxa"/>
          </w:tcPr>
          <w:p w14:paraId="2EEA0BC2" w14:textId="77777777" w:rsidR="0045086B" w:rsidRDefault="0045086B" w:rsidP="0045086B">
            <w:pPr>
              <w:pStyle w:val="TableText"/>
            </w:pPr>
          </w:p>
        </w:tc>
        <w:tc>
          <w:tcPr>
            <w:tcW w:w="7146" w:type="dxa"/>
            <w:gridSpan w:val="3"/>
          </w:tcPr>
          <w:p w14:paraId="63D1E2C6" w14:textId="77777777" w:rsidR="0045086B" w:rsidRPr="003B133D" w:rsidRDefault="0045086B" w:rsidP="0045086B">
            <w:pPr>
              <w:pStyle w:val="TableBlockOutdent"/>
              <w:rPr>
                <w:rtl/>
              </w:rPr>
            </w:pPr>
            <w:r w:rsidRPr="00AB1183">
              <w:rPr>
                <w:rtl/>
              </w:rPr>
              <w:t>"המועצה" – מועצת יועצי המשכנתאות שהוקמה לפי הוראות חוק זה;</w:t>
            </w:r>
          </w:p>
        </w:tc>
        <w:tc>
          <w:tcPr>
            <w:tcW w:w="6519" w:type="dxa"/>
          </w:tcPr>
          <w:p w14:paraId="018C9AC0" w14:textId="77777777" w:rsidR="0045086B" w:rsidRDefault="0045086B" w:rsidP="0045086B">
            <w:pPr>
              <w:widowControl/>
              <w:autoSpaceDE/>
              <w:autoSpaceDN/>
              <w:bidi w:val="0"/>
              <w:adjustRightInd/>
              <w:spacing w:before="0" w:line="240" w:lineRule="auto"/>
              <w:ind w:firstLine="0"/>
              <w:jc w:val="left"/>
              <w:textAlignment w:val="auto"/>
            </w:pPr>
          </w:p>
        </w:tc>
        <w:tc>
          <w:tcPr>
            <w:tcW w:w="6519" w:type="dxa"/>
          </w:tcPr>
          <w:p w14:paraId="0A196A41" w14:textId="0C0E036E" w:rsidR="0045086B" w:rsidRDefault="0045086B" w:rsidP="0045086B">
            <w:pPr>
              <w:widowControl/>
              <w:autoSpaceDE/>
              <w:autoSpaceDN/>
              <w:bidi w:val="0"/>
              <w:adjustRightInd/>
              <w:spacing w:before="0" w:line="240" w:lineRule="auto"/>
              <w:ind w:firstLine="0"/>
              <w:jc w:val="left"/>
              <w:textAlignment w:val="auto"/>
            </w:pPr>
            <w:r w:rsidRPr="00AB1183">
              <w:rPr>
                <w:rFonts w:hint="cs"/>
                <w:rtl/>
              </w:rPr>
              <w:t>(1)</w:t>
            </w:r>
            <w:r w:rsidRPr="00AB1183">
              <w:rPr>
                <w:rtl/>
              </w:rPr>
              <w:tab/>
            </w:r>
            <w:r>
              <w:rPr>
                <w:rFonts w:hint="cs"/>
                <w:rtl/>
              </w:rPr>
              <w:t>ייעוץ לעניין הגשת בקשה להלוואה לדיור;</w:t>
            </w:r>
          </w:p>
        </w:tc>
      </w:tr>
      <w:tr w:rsidR="0045086B" w14:paraId="34067FA9" w14:textId="10A63A57" w:rsidTr="0045086B">
        <w:trPr>
          <w:cantSplit/>
          <w:trHeight w:val="552"/>
        </w:trPr>
        <w:tc>
          <w:tcPr>
            <w:tcW w:w="1870" w:type="dxa"/>
          </w:tcPr>
          <w:p w14:paraId="3B74F4F0" w14:textId="77777777" w:rsidR="0045086B" w:rsidRDefault="0045086B" w:rsidP="0045086B">
            <w:pPr>
              <w:pStyle w:val="TableSideHeading"/>
            </w:pPr>
          </w:p>
        </w:tc>
        <w:tc>
          <w:tcPr>
            <w:tcW w:w="624" w:type="dxa"/>
          </w:tcPr>
          <w:p w14:paraId="10E56512" w14:textId="77777777" w:rsidR="0045086B" w:rsidRDefault="0045086B" w:rsidP="0045086B">
            <w:pPr>
              <w:pStyle w:val="TableText"/>
            </w:pPr>
          </w:p>
        </w:tc>
        <w:tc>
          <w:tcPr>
            <w:tcW w:w="7146" w:type="dxa"/>
            <w:gridSpan w:val="3"/>
          </w:tcPr>
          <w:p w14:paraId="4B631AC3" w14:textId="77777777" w:rsidR="0045086B" w:rsidRPr="00AB1183" w:rsidRDefault="0045086B" w:rsidP="0045086B">
            <w:pPr>
              <w:pStyle w:val="TableBlockOutdent"/>
              <w:rPr>
                <w:rtl/>
              </w:rPr>
            </w:pPr>
            <w:r>
              <w:rPr>
                <w:rFonts w:hint="cs"/>
                <w:rtl/>
              </w:rPr>
              <w:t>"</w:t>
            </w:r>
            <w:r w:rsidRPr="00BD24C4">
              <w:rPr>
                <w:rFonts w:hint="cs"/>
                <w:rtl/>
              </w:rPr>
              <w:t xml:space="preserve">הנגיד" </w:t>
            </w:r>
            <w:r w:rsidRPr="00BD24C4">
              <w:rPr>
                <w:rtl/>
              </w:rPr>
              <w:t>–</w:t>
            </w:r>
            <w:r w:rsidRPr="00BD24C4">
              <w:rPr>
                <w:rFonts w:hint="cs"/>
                <w:rtl/>
              </w:rPr>
              <w:t xml:space="preserve"> נגיד בנק ישראל</w:t>
            </w:r>
            <w:r>
              <w:rPr>
                <w:rFonts w:hint="cs"/>
                <w:rtl/>
              </w:rPr>
              <w:t xml:space="preserve"> בהתאם לחוק בנק ישראל, התש"ע</w:t>
            </w:r>
            <w:r>
              <w:rPr>
                <w:rFonts w:hint="eastAsia"/>
                <w:rtl/>
              </w:rPr>
              <w:t>–</w:t>
            </w:r>
            <w:r>
              <w:rPr>
                <w:rFonts w:hint="cs"/>
                <w:rtl/>
              </w:rPr>
              <w:t>2010</w:t>
            </w:r>
            <w:r>
              <w:rPr>
                <w:rStyle w:val="a5"/>
                <w:rtl/>
              </w:rPr>
              <w:footnoteReference w:id="3"/>
            </w:r>
            <w:r>
              <w:rPr>
                <w:rFonts w:hint="cs"/>
                <w:rtl/>
              </w:rPr>
              <w:t>;</w:t>
            </w:r>
          </w:p>
        </w:tc>
        <w:tc>
          <w:tcPr>
            <w:tcW w:w="6519" w:type="dxa"/>
          </w:tcPr>
          <w:p w14:paraId="5418CD3F" w14:textId="77777777" w:rsidR="0045086B" w:rsidRDefault="0045086B" w:rsidP="0045086B">
            <w:pPr>
              <w:widowControl/>
              <w:autoSpaceDE/>
              <w:autoSpaceDN/>
              <w:bidi w:val="0"/>
              <w:adjustRightInd/>
              <w:spacing w:before="0" w:line="240" w:lineRule="auto"/>
              <w:ind w:firstLine="0"/>
              <w:jc w:val="left"/>
              <w:textAlignment w:val="auto"/>
            </w:pPr>
          </w:p>
        </w:tc>
        <w:tc>
          <w:tcPr>
            <w:tcW w:w="6519" w:type="dxa"/>
          </w:tcPr>
          <w:p w14:paraId="5686BD78" w14:textId="0A1F8302" w:rsidR="0045086B" w:rsidRDefault="0045086B" w:rsidP="0045086B">
            <w:pPr>
              <w:widowControl/>
              <w:autoSpaceDE/>
              <w:autoSpaceDN/>
              <w:bidi w:val="0"/>
              <w:adjustRightInd/>
              <w:spacing w:before="0" w:line="240" w:lineRule="auto"/>
              <w:ind w:firstLine="0"/>
              <w:jc w:val="left"/>
              <w:textAlignment w:val="auto"/>
            </w:pPr>
            <w:r>
              <w:rPr>
                <w:rFonts w:hint="cs"/>
                <w:rtl/>
              </w:rPr>
              <w:t>(2)</w:t>
            </w:r>
            <w:r>
              <w:rPr>
                <w:rtl/>
              </w:rPr>
              <w:tab/>
            </w:r>
            <w:r w:rsidRPr="00AB1183">
              <w:rPr>
                <w:rFonts w:hint="cs"/>
                <w:rtl/>
              </w:rPr>
              <w:t>הגשת בקשה להלוואה לדיור, או קבלת הצעות להלוואה לדיור מגוף פיננסי במענה להגשת בקשה כאמור;</w:t>
            </w:r>
          </w:p>
        </w:tc>
      </w:tr>
      <w:tr w:rsidR="0045086B" w14:paraId="02646437" w14:textId="75F1921B" w:rsidTr="0045086B">
        <w:trPr>
          <w:cantSplit/>
          <w:trHeight w:val="552"/>
        </w:trPr>
        <w:tc>
          <w:tcPr>
            <w:tcW w:w="1870" w:type="dxa"/>
          </w:tcPr>
          <w:p w14:paraId="30BC2AA2" w14:textId="77777777" w:rsidR="0045086B" w:rsidRDefault="0045086B" w:rsidP="0045086B">
            <w:pPr>
              <w:pStyle w:val="TableSideHeading"/>
            </w:pPr>
          </w:p>
        </w:tc>
        <w:tc>
          <w:tcPr>
            <w:tcW w:w="624" w:type="dxa"/>
          </w:tcPr>
          <w:p w14:paraId="3DBC689C" w14:textId="77777777" w:rsidR="0045086B" w:rsidRDefault="0045086B" w:rsidP="0045086B">
            <w:pPr>
              <w:pStyle w:val="TableText"/>
            </w:pPr>
          </w:p>
        </w:tc>
        <w:tc>
          <w:tcPr>
            <w:tcW w:w="7146" w:type="dxa"/>
            <w:gridSpan w:val="3"/>
          </w:tcPr>
          <w:p w14:paraId="000607C3" w14:textId="60653113" w:rsidR="0045086B" w:rsidRPr="0045086B" w:rsidRDefault="0045086B" w:rsidP="009B66FF">
            <w:pPr>
              <w:pStyle w:val="TableBlockOutdent"/>
              <w:rPr>
                <w:rtl/>
              </w:rPr>
            </w:pPr>
            <w:r w:rsidRPr="00AB1183">
              <w:rPr>
                <w:rFonts w:hint="cs"/>
                <w:rtl/>
              </w:rPr>
              <w:t xml:space="preserve">"סוגי </w:t>
            </w:r>
            <w:r w:rsidRPr="009B66FF">
              <w:rPr>
                <w:rFonts w:hint="cs"/>
                <w:rtl/>
              </w:rPr>
              <w:t>הלוואה</w:t>
            </w:r>
            <w:r>
              <w:rPr>
                <w:rFonts w:hint="cs"/>
                <w:rtl/>
              </w:rPr>
              <w:t xml:space="preserve"> לדיור</w:t>
            </w:r>
            <w:r w:rsidRPr="00AB1183">
              <w:rPr>
                <w:rFonts w:hint="cs"/>
                <w:rtl/>
              </w:rPr>
              <w:t xml:space="preserve">" </w:t>
            </w:r>
            <w:r w:rsidRPr="00AB1183">
              <w:rPr>
                <w:rtl/>
              </w:rPr>
              <w:t>–</w:t>
            </w:r>
            <w:r w:rsidRPr="00AB1183">
              <w:rPr>
                <w:rFonts w:hint="cs"/>
                <w:rtl/>
              </w:rPr>
              <w:t xml:space="preserve"> הלוואות </w:t>
            </w:r>
            <w:r>
              <w:rPr>
                <w:rFonts w:hint="cs"/>
                <w:rtl/>
              </w:rPr>
              <w:t xml:space="preserve">לדיור </w:t>
            </w:r>
            <w:r w:rsidRPr="00AB1183">
              <w:rPr>
                <w:rFonts w:hint="cs"/>
                <w:rtl/>
              </w:rPr>
              <w:t>הנבדלות זו מזו בשיעור הריבית הקבוע להלוואה, או אופן עדכונה לאורך תקופת נטילת ההלוואה</w:t>
            </w:r>
            <w:r w:rsidRPr="00CB5111">
              <w:rPr>
                <w:rtl/>
              </w:rPr>
              <w:t>;</w:t>
            </w:r>
          </w:p>
        </w:tc>
        <w:tc>
          <w:tcPr>
            <w:tcW w:w="6519" w:type="dxa"/>
          </w:tcPr>
          <w:p w14:paraId="4F7F005B" w14:textId="77777777" w:rsidR="0045086B" w:rsidRDefault="0045086B" w:rsidP="0045086B">
            <w:pPr>
              <w:widowControl/>
              <w:autoSpaceDE/>
              <w:autoSpaceDN/>
              <w:bidi w:val="0"/>
              <w:adjustRightInd/>
              <w:spacing w:before="0" w:line="240" w:lineRule="auto"/>
              <w:ind w:firstLine="0"/>
              <w:jc w:val="left"/>
              <w:textAlignment w:val="auto"/>
            </w:pPr>
          </w:p>
        </w:tc>
        <w:tc>
          <w:tcPr>
            <w:tcW w:w="6519" w:type="dxa"/>
          </w:tcPr>
          <w:p w14:paraId="563D8849" w14:textId="11A24192" w:rsidR="0045086B" w:rsidRDefault="0045086B" w:rsidP="0045086B">
            <w:pPr>
              <w:widowControl/>
              <w:autoSpaceDE/>
              <w:autoSpaceDN/>
              <w:bidi w:val="0"/>
              <w:adjustRightInd/>
              <w:spacing w:before="0" w:line="240" w:lineRule="auto"/>
              <w:ind w:firstLine="0"/>
              <w:jc w:val="left"/>
              <w:textAlignment w:val="auto"/>
            </w:pPr>
            <w:r w:rsidRPr="00AB1183">
              <w:rPr>
                <w:rFonts w:hint="cs"/>
                <w:rtl/>
              </w:rPr>
              <w:t>(</w:t>
            </w:r>
            <w:r>
              <w:rPr>
                <w:rFonts w:hint="cs"/>
                <w:rtl/>
              </w:rPr>
              <w:t>3</w:t>
            </w:r>
            <w:r w:rsidRPr="00AB1183">
              <w:rPr>
                <w:rFonts w:hint="cs"/>
                <w:rtl/>
              </w:rPr>
              <w:t>)</w:t>
            </w:r>
            <w:r w:rsidRPr="00AB1183">
              <w:rPr>
                <w:rtl/>
              </w:rPr>
              <w:tab/>
            </w:r>
            <w:r w:rsidRPr="00AB1183">
              <w:rPr>
                <w:rFonts w:hint="cs"/>
                <w:rtl/>
              </w:rPr>
              <w:t>א</w:t>
            </w:r>
            <w:r>
              <w:rPr>
                <w:rFonts w:hint="cs"/>
                <w:rtl/>
              </w:rPr>
              <w:t>י</w:t>
            </w:r>
            <w:r w:rsidRPr="00AB1183">
              <w:rPr>
                <w:rFonts w:hint="cs"/>
                <w:rtl/>
              </w:rPr>
              <w:t xml:space="preserve">פיון ההלוואה לדיור; </w:t>
            </w:r>
          </w:p>
        </w:tc>
      </w:tr>
      <w:tr w:rsidR="0045086B" w14:paraId="39B604C6" w14:textId="18BA4AD8" w:rsidTr="0045086B">
        <w:trPr>
          <w:cantSplit/>
        </w:trPr>
        <w:tc>
          <w:tcPr>
            <w:tcW w:w="1870" w:type="dxa"/>
          </w:tcPr>
          <w:p w14:paraId="785C418B" w14:textId="77777777" w:rsidR="0045086B" w:rsidRDefault="0045086B" w:rsidP="0045086B">
            <w:pPr>
              <w:pStyle w:val="TableSideHeading"/>
            </w:pPr>
          </w:p>
        </w:tc>
        <w:tc>
          <w:tcPr>
            <w:tcW w:w="624" w:type="dxa"/>
          </w:tcPr>
          <w:p w14:paraId="064B78D2" w14:textId="77777777" w:rsidR="0045086B" w:rsidRDefault="0045086B" w:rsidP="0045086B">
            <w:pPr>
              <w:pStyle w:val="TableText"/>
            </w:pPr>
          </w:p>
        </w:tc>
        <w:tc>
          <w:tcPr>
            <w:tcW w:w="7146" w:type="dxa"/>
            <w:gridSpan w:val="3"/>
          </w:tcPr>
          <w:p w14:paraId="1866C591" w14:textId="029A1035" w:rsidR="0045086B" w:rsidRPr="00AB1183" w:rsidRDefault="0045086B" w:rsidP="006B04E9">
            <w:pPr>
              <w:pStyle w:val="TableBlockOutdent"/>
              <w:rPr>
                <w:rtl/>
              </w:rPr>
            </w:pPr>
            <w:r w:rsidRPr="00AB1183">
              <w:rPr>
                <w:rtl/>
              </w:rPr>
              <w:t xml:space="preserve">"הפנקס" – פנקס יועצי המשכנתאות המנוהל לפי הוראות סעיף </w:t>
            </w:r>
            <w:r>
              <w:rPr>
                <w:rFonts w:hint="cs"/>
                <w:rtl/>
              </w:rPr>
              <w:t>1</w:t>
            </w:r>
            <w:r w:rsidR="006B04E9">
              <w:rPr>
                <w:rFonts w:hint="cs"/>
                <w:rtl/>
              </w:rPr>
              <w:t>4</w:t>
            </w:r>
            <w:r w:rsidRPr="00AB1183">
              <w:rPr>
                <w:rFonts w:hint="cs"/>
                <w:rtl/>
              </w:rPr>
              <w:t>;</w:t>
            </w:r>
          </w:p>
        </w:tc>
        <w:tc>
          <w:tcPr>
            <w:tcW w:w="6519" w:type="dxa"/>
          </w:tcPr>
          <w:p w14:paraId="3DD5FAEA" w14:textId="77777777" w:rsidR="0045086B" w:rsidRDefault="0045086B" w:rsidP="0045086B">
            <w:pPr>
              <w:widowControl/>
              <w:autoSpaceDE/>
              <w:autoSpaceDN/>
              <w:bidi w:val="0"/>
              <w:adjustRightInd/>
              <w:spacing w:before="0" w:line="240" w:lineRule="auto"/>
              <w:ind w:firstLine="0"/>
              <w:jc w:val="left"/>
              <w:textAlignment w:val="auto"/>
            </w:pPr>
          </w:p>
        </w:tc>
        <w:tc>
          <w:tcPr>
            <w:tcW w:w="6519" w:type="dxa"/>
          </w:tcPr>
          <w:p w14:paraId="5507B08F" w14:textId="230D37B7" w:rsidR="0045086B" w:rsidRDefault="0045086B" w:rsidP="0045086B">
            <w:pPr>
              <w:widowControl/>
              <w:autoSpaceDE/>
              <w:autoSpaceDN/>
              <w:bidi w:val="0"/>
              <w:adjustRightInd/>
              <w:spacing w:before="0" w:line="240" w:lineRule="auto"/>
              <w:ind w:firstLine="0"/>
              <w:jc w:val="left"/>
              <w:textAlignment w:val="auto"/>
            </w:pPr>
            <w:r w:rsidRPr="00AB1183">
              <w:rPr>
                <w:rFonts w:hint="cs"/>
                <w:rtl/>
              </w:rPr>
              <w:t>(</w:t>
            </w:r>
            <w:r>
              <w:rPr>
                <w:rFonts w:hint="cs"/>
                <w:rtl/>
              </w:rPr>
              <w:t>4</w:t>
            </w:r>
            <w:r w:rsidRPr="00AB1183">
              <w:rPr>
                <w:rFonts w:hint="cs"/>
                <w:rtl/>
              </w:rPr>
              <w:t>)</w:t>
            </w:r>
            <w:r w:rsidRPr="00AB1183">
              <w:rPr>
                <w:rtl/>
              </w:rPr>
              <w:tab/>
            </w:r>
            <w:r w:rsidRPr="00AB1183">
              <w:rPr>
                <w:rFonts w:hint="cs"/>
                <w:rtl/>
              </w:rPr>
              <w:t>בחירת סוג ההלוואה לדיור, ובכלל זה בהתחשב בנסיבות המיוחדות החלות על מבקש ההלו</w:t>
            </w:r>
            <w:r w:rsidRPr="00CB5111">
              <w:rPr>
                <w:rFonts w:hint="eastAsia"/>
                <w:rtl/>
              </w:rPr>
              <w:t>ואה</w:t>
            </w:r>
            <w:r>
              <w:rPr>
                <w:rFonts w:hint="cs"/>
                <w:rtl/>
              </w:rPr>
              <w:t>;</w:t>
            </w:r>
          </w:p>
        </w:tc>
      </w:tr>
      <w:tr w:rsidR="0045086B" w14:paraId="0911674A" w14:textId="77777777" w:rsidTr="0045086B">
        <w:trPr>
          <w:gridAfter w:val="2"/>
          <w:wAfter w:w="13038" w:type="dxa"/>
          <w:cantSplit/>
        </w:trPr>
        <w:tc>
          <w:tcPr>
            <w:tcW w:w="1870" w:type="dxa"/>
          </w:tcPr>
          <w:p w14:paraId="16E1E325" w14:textId="77777777" w:rsidR="0045086B" w:rsidRDefault="0045086B" w:rsidP="0045086B">
            <w:pPr>
              <w:pStyle w:val="TableSideHeading"/>
            </w:pPr>
          </w:p>
        </w:tc>
        <w:tc>
          <w:tcPr>
            <w:tcW w:w="624" w:type="dxa"/>
          </w:tcPr>
          <w:p w14:paraId="72D3B34B" w14:textId="77777777" w:rsidR="0045086B" w:rsidRDefault="0045086B" w:rsidP="0045086B">
            <w:pPr>
              <w:pStyle w:val="TableText"/>
            </w:pPr>
          </w:p>
        </w:tc>
        <w:tc>
          <w:tcPr>
            <w:tcW w:w="7146" w:type="dxa"/>
            <w:gridSpan w:val="3"/>
          </w:tcPr>
          <w:p w14:paraId="3E922E92" w14:textId="4556FE6F" w:rsidR="0045086B" w:rsidRPr="00AB1183" w:rsidRDefault="0045086B" w:rsidP="006B04E9">
            <w:pPr>
              <w:pStyle w:val="TableBlockOutdent"/>
              <w:rPr>
                <w:rtl/>
              </w:rPr>
            </w:pPr>
            <w:r w:rsidRPr="00BD24C4">
              <w:rPr>
                <w:rtl/>
              </w:rPr>
              <w:t>"הרשם" –</w:t>
            </w:r>
            <w:r w:rsidRPr="00BD24C4">
              <w:rPr>
                <w:rFonts w:hint="cs"/>
                <w:rtl/>
              </w:rPr>
              <w:t xml:space="preserve"> מי שמונה כרשם יועצי משכנתאות כאמור בסעיף </w:t>
            </w:r>
            <w:r>
              <w:rPr>
                <w:rFonts w:hint="cs"/>
                <w:rtl/>
              </w:rPr>
              <w:t>1</w:t>
            </w:r>
            <w:r w:rsidR="006B04E9">
              <w:rPr>
                <w:rFonts w:hint="cs"/>
                <w:rtl/>
              </w:rPr>
              <w:t>3</w:t>
            </w:r>
            <w:r w:rsidRPr="00BD24C4">
              <w:rPr>
                <w:rFonts w:hint="cs"/>
                <w:rtl/>
              </w:rPr>
              <w:t>;</w:t>
            </w:r>
          </w:p>
        </w:tc>
      </w:tr>
      <w:tr w:rsidR="0045086B" w14:paraId="022B5A61" w14:textId="77777777" w:rsidTr="0045086B">
        <w:trPr>
          <w:gridAfter w:val="2"/>
          <w:wAfter w:w="13038" w:type="dxa"/>
          <w:cantSplit/>
        </w:trPr>
        <w:tc>
          <w:tcPr>
            <w:tcW w:w="1870" w:type="dxa"/>
          </w:tcPr>
          <w:p w14:paraId="22A0177C" w14:textId="77777777" w:rsidR="0045086B" w:rsidRDefault="0045086B" w:rsidP="0045086B">
            <w:pPr>
              <w:pStyle w:val="TableSideHeading"/>
            </w:pPr>
          </w:p>
        </w:tc>
        <w:tc>
          <w:tcPr>
            <w:tcW w:w="624" w:type="dxa"/>
          </w:tcPr>
          <w:p w14:paraId="72B1B474" w14:textId="77777777" w:rsidR="0045086B" w:rsidRDefault="0045086B" w:rsidP="0045086B">
            <w:pPr>
              <w:pStyle w:val="TableText"/>
            </w:pPr>
          </w:p>
        </w:tc>
        <w:tc>
          <w:tcPr>
            <w:tcW w:w="7146" w:type="dxa"/>
            <w:gridSpan w:val="3"/>
          </w:tcPr>
          <w:p w14:paraId="2664C020" w14:textId="77777777" w:rsidR="0045086B" w:rsidRPr="00AB1183" w:rsidRDefault="0045086B" w:rsidP="0045086B">
            <w:pPr>
              <w:pStyle w:val="TableBlockOutdent"/>
              <w:rPr>
                <w:rtl/>
              </w:rPr>
            </w:pPr>
            <w:r w:rsidRPr="00AB1183">
              <w:rPr>
                <w:rtl/>
              </w:rPr>
              <w:t>"השר" – שר המשפטים.</w:t>
            </w:r>
          </w:p>
        </w:tc>
      </w:tr>
      <w:tr w:rsidR="0045086B" w14:paraId="1C6AFB8A" w14:textId="77777777" w:rsidTr="0045086B">
        <w:trPr>
          <w:gridAfter w:val="2"/>
          <w:wAfter w:w="13038" w:type="dxa"/>
          <w:cantSplit/>
        </w:trPr>
        <w:tc>
          <w:tcPr>
            <w:tcW w:w="1870" w:type="dxa"/>
          </w:tcPr>
          <w:p w14:paraId="5436EB0B" w14:textId="77777777" w:rsidR="0045086B" w:rsidRDefault="0045086B" w:rsidP="0045086B">
            <w:pPr>
              <w:pStyle w:val="TableSideHeading"/>
              <w:keepLines w:val="0"/>
              <w:rPr>
                <w:rtl/>
              </w:rPr>
            </w:pPr>
          </w:p>
        </w:tc>
        <w:tc>
          <w:tcPr>
            <w:tcW w:w="624" w:type="dxa"/>
          </w:tcPr>
          <w:p w14:paraId="59E3DA7E" w14:textId="77777777" w:rsidR="0045086B" w:rsidRDefault="0045086B" w:rsidP="0045086B">
            <w:pPr>
              <w:pStyle w:val="TableText"/>
              <w:keepLines w:val="0"/>
            </w:pPr>
          </w:p>
        </w:tc>
        <w:tc>
          <w:tcPr>
            <w:tcW w:w="7146" w:type="dxa"/>
            <w:gridSpan w:val="3"/>
          </w:tcPr>
          <w:p w14:paraId="1541E7EC" w14:textId="77777777" w:rsidR="0045086B" w:rsidRPr="00AB1183" w:rsidRDefault="0045086B" w:rsidP="0045086B">
            <w:pPr>
              <w:pStyle w:val="TableHead"/>
              <w:rPr>
                <w:rtl/>
              </w:rPr>
            </w:pPr>
            <w:r w:rsidRPr="00AB1183">
              <w:rPr>
                <w:rFonts w:hint="cs"/>
                <w:rtl/>
              </w:rPr>
              <w:t xml:space="preserve">פרק </w:t>
            </w:r>
            <w:r>
              <w:rPr>
                <w:rFonts w:hint="cs"/>
                <w:rtl/>
              </w:rPr>
              <w:t>ב'</w:t>
            </w:r>
            <w:r w:rsidRPr="00AB1183">
              <w:rPr>
                <w:rFonts w:hint="cs"/>
                <w:rtl/>
              </w:rPr>
              <w:t xml:space="preserve">: </w:t>
            </w:r>
            <w:r>
              <w:rPr>
                <w:rFonts w:hint="cs"/>
                <w:rtl/>
              </w:rPr>
              <w:t xml:space="preserve">הסדרת </w:t>
            </w:r>
            <w:r w:rsidRPr="00AB1183">
              <w:rPr>
                <w:rFonts w:hint="cs"/>
                <w:rtl/>
              </w:rPr>
              <w:t>העיסוק בייעוץ משכנתאות</w:t>
            </w:r>
          </w:p>
        </w:tc>
      </w:tr>
      <w:tr w:rsidR="0045086B" w14:paraId="553E5E89" w14:textId="77777777" w:rsidTr="0045086B">
        <w:trPr>
          <w:gridAfter w:val="2"/>
          <w:wAfter w:w="13038" w:type="dxa"/>
          <w:cantSplit/>
          <w:trHeight w:val="895"/>
        </w:trPr>
        <w:tc>
          <w:tcPr>
            <w:tcW w:w="1870" w:type="dxa"/>
          </w:tcPr>
          <w:p w14:paraId="4F409674" w14:textId="77777777" w:rsidR="0045086B" w:rsidRDefault="0045086B" w:rsidP="0045086B">
            <w:pPr>
              <w:pStyle w:val="TableSideHeading"/>
              <w:keepLines w:val="0"/>
              <w:rPr>
                <w:rtl/>
              </w:rPr>
            </w:pPr>
            <w:r>
              <w:rPr>
                <w:rFonts w:hint="cs"/>
                <w:sz w:val="26"/>
                <w:rtl/>
              </w:rPr>
              <w:t>ייחוד עיסוק</w:t>
            </w:r>
          </w:p>
        </w:tc>
        <w:tc>
          <w:tcPr>
            <w:tcW w:w="624" w:type="dxa"/>
          </w:tcPr>
          <w:p w14:paraId="7BD8B841" w14:textId="77777777" w:rsidR="0045086B" w:rsidRDefault="0045086B" w:rsidP="0045086B">
            <w:pPr>
              <w:pStyle w:val="TableText"/>
              <w:keepLines w:val="0"/>
            </w:pPr>
            <w:r w:rsidRPr="009B45F3">
              <w:rPr>
                <w:rFonts w:hint="cs"/>
                <w:sz w:val="26"/>
                <w:rtl/>
              </w:rPr>
              <w:t>2.</w:t>
            </w:r>
          </w:p>
        </w:tc>
        <w:tc>
          <w:tcPr>
            <w:tcW w:w="7146" w:type="dxa"/>
            <w:gridSpan w:val="3"/>
          </w:tcPr>
          <w:p w14:paraId="442186D4" w14:textId="77777777" w:rsidR="0045086B" w:rsidRPr="00AB1183" w:rsidRDefault="0045086B" w:rsidP="0045086B">
            <w:pPr>
              <w:pStyle w:val="TableBlock"/>
              <w:rPr>
                <w:rtl/>
              </w:rPr>
            </w:pPr>
            <w:r>
              <w:rPr>
                <w:rtl/>
              </w:rPr>
              <w:t>לא יעסוק אדם בייעוץ משכנתאות, אלא אם כן הוא יועץ משכנתאות לפי הוראות חוק זה</w:t>
            </w:r>
            <w:r>
              <w:rPr>
                <w:rFonts w:hint="cs"/>
                <w:sz w:val="26"/>
                <w:rtl/>
              </w:rPr>
              <w:t>.</w:t>
            </w:r>
            <w:r>
              <w:rPr>
                <w:sz w:val="26"/>
                <w:rtl/>
              </w:rPr>
              <w:t xml:space="preserve"> </w:t>
            </w:r>
            <w:r w:rsidRPr="00AB1183">
              <w:rPr>
                <w:rFonts w:hint="cs"/>
                <w:rtl/>
              </w:rPr>
              <w:t xml:space="preserve"> </w:t>
            </w:r>
          </w:p>
        </w:tc>
      </w:tr>
      <w:tr w:rsidR="0045086B" w14:paraId="7643B592" w14:textId="77777777" w:rsidTr="0045086B">
        <w:trPr>
          <w:gridAfter w:val="2"/>
          <w:wAfter w:w="13038" w:type="dxa"/>
          <w:cantSplit/>
          <w:trHeight w:val="1962"/>
        </w:trPr>
        <w:tc>
          <w:tcPr>
            <w:tcW w:w="1870" w:type="dxa"/>
          </w:tcPr>
          <w:p w14:paraId="54BDA0B5" w14:textId="77777777" w:rsidR="0045086B" w:rsidRDefault="0045086B" w:rsidP="0045086B">
            <w:pPr>
              <w:pStyle w:val="TableSideHeading"/>
              <w:keepLines w:val="0"/>
              <w:rPr>
                <w:sz w:val="26"/>
                <w:rtl/>
              </w:rPr>
            </w:pPr>
            <w:r>
              <w:rPr>
                <w:rFonts w:hint="cs"/>
                <w:sz w:val="26"/>
                <w:rtl/>
              </w:rPr>
              <w:lastRenderedPageBreak/>
              <w:t>חובות מקצועיות</w:t>
            </w:r>
          </w:p>
        </w:tc>
        <w:tc>
          <w:tcPr>
            <w:tcW w:w="624" w:type="dxa"/>
          </w:tcPr>
          <w:p w14:paraId="09CB3206" w14:textId="77777777" w:rsidR="0045086B" w:rsidRPr="009B45F3" w:rsidRDefault="0045086B" w:rsidP="0045086B">
            <w:pPr>
              <w:pStyle w:val="TableText"/>
              <w:rPr>
                <w:rtl/>
              </w:rPr>
            </w:pPr>
            <w:r>
              <w:rPr>
                <w:rFonts w:hint="cs"/>
                <w:rtl/>
              </w:rPr>
              <w:t>3.</w:t>
            </w:r>
          </w:p>
        </w:tc>
        <w:tc>
          <w:tcPr>
            <w:tcW w:w="7146" w:type="dxa"/>
            <w:gridSpan w:val="3"/>
          </w:tcPr>
          <w:p w14:paraId="534AC3BB" w14:textId="77777777" w:rsidR="0045086B" w:rsidRDefault="0045086B" w:rsidP="0045086B">
            <w:pPr>
              <w:pStyle w:val="TableBlock"/>
              <w:rPr>
                <w:rtl/>
              </w:rPr>
            </w:pPr>
            <w:r>
              <w:rPr>
                <w:rtl/>
              </w:rPr>
              <w:t>במילוי תפקידו</w:t>
            </w:r>
            <w:r>
              <w:rPr>
                <w:rFonts w:hint="cs"/>
                <w:rtl/>
              </w:rPr>
              <w:t>,</w:t>
            </w:r>
            <w:r>
              <w:rPr>
                <w:rtl/>
              </w:rPr>
              <w:t xml:space="preserve"> יפעל יועץ משכנתאות </w:t>
            </w:r>
            <w:r w:rsidRPr="00C46105">
              <w:rPr>
                <w:rtl/>
              </w:rPr>
              <w:t xml:space="preserve">באמונה ובשקידה כפי </w:t>
            </w:r>
            <w:r>
              <w:rPr>
                <w:rFonts w:hint="cs"/>
                <w:rtl/>
              </w:rPr>
              <w:t>שיועץ משכנתאות</w:t>
            </w:r>
            <w:r w:rsidRPr="00C46105">
              <w:rPr>
                <w:rtl/>
              </w:rPr>
              <w:t xml:space="preserve"> סביר היה נוהג באותן נסיבות</w:t>
            </w:r>
            <w:r>
              <w:rPr>
                <w:rtl/>
              </w:rPr>
              <w:t xml:space="preserve">, </w:t>
            </w:r>
            <w:r>
              <w:rPr>
                <w:rFonts w:hint="cs"/>
                <w:rtl/>
              </w:rPr>
              <w:t xml:space="preserve">לא יעדיף את ענייניו האישים או את עניינו של אחר על פני לקוחותיו, לא יעדיף את עניינו של לקוח אחד על פני לקוח אחר, </w:t>
            </w:r>
            <w:r>
              <w:rPr>
                <w:rtl/>
              </w:rPr>
              <w:t xml:space="preserve">וינקוט </w:t>
            </w:r>
            <w:r>
              <w:rPr>
                <w:rFonts w:hint="cs"/>
                <w:rtl/>
              </w:rPr>
              <w:t>את ה</w:t>
            </w:r>
            <w:r>
              <w:rPr>
                <w:rtl/>
              </w:rPr>
              <w:t>אמצעים הראויים בנסיבות העניין לקבל</w:t>
            </w:r>
            <w:r>
              <w:rPr>
                <w:rFonts w:hint="cs"/>
                <w:rtl/>
              </w:rPr>
              <w:t>ה</w:t>
            </w:r>
            <w:r>
              <w:rPr>
                <w:rtl/>
              </w:rPr>
              <w:t xml:space="preserve"> ולמסיר</w:t>
            </w:r>
            <w:r>
              <w:rPr>
                <w:rFonts w:hint="cs"/>
                <w:rtl/>
              </w:rPr>
              <w:t>ה של</w:t>
            </w:r>
            <w:r>
              <w:rPr>
                <w:rtl/>
              </w:rPr>
              <w:t xml:space="preserve"> מידע מהותי</w:t>
            </w:r>
            <w:r>
              <w:rPr>
                <w:rFonts w:hint="cs"/>
                <w:rtl/>
              </w:rPr>
              <w:t xml:space="preserve"> </w:t>
            </w:r>
            <w:r>
              <w:rPr>
                <w:rtl/>
              </w:rPr>
              <w:t>הנוגע למתן שירות ייעוץ המשכנתאות ללקוחו.</w:t>
            </w:r>
          </w:p>
        </w:tc>
      </w:tr>
      <w:tr w:rsidR="0045086B" w14:paraId="2A658E3A" w14:textId="77777777" w:rsidTr="0045086B">
        <w:trPr>
          <w:gridAfter w:val="2"/>
          <w:wAfter w:w="13038" w:type="dxa"/>
          <w:cantSplit/>
        </w:trPr>
        <w:tc>
          <w:tcPr>
            <w:tcW w:w="1870" w:type="dxa"/>
          </w:tcPr>
          <w:p w14:paraId="1E999DAC" w14:textId="77777777" w:rsidR="0045086B" w:rsidRDefault="0045086B" w:rsidP="0045086B">
            <w:pPr>
              <w:pStyle w:val="TableSideHeading"/>
              <w:rPr>
                <w:sz w:val="26"/>
                <w:rtl/>
              </w:rPr>
            </w:pPr>
            <w:r>
              <w:rPr>
                <w:rFonts w:hint="cs"/>
                <w:sz w:val="26"/>
                <w:rtl/>
              </w:rPr>
              <w:t>סייגים לעיסוק והיעדר ניגוד עניינים</w:t>
            </w:r>
            <w:r>
              <w:rPr>
                <w:sz w:val="26"/>
                <w:rtl/>
              </w:rPr>
              <w:t xml:space="preserve"> </w:t>
            </w:r>
          </w:p>
        </w:tc>
        <w:tc>
          <w:tcPr>
            <w:tcW w:w="624" w:type="dxa"/>
          </w:tcPr>
          <w:p w14:paraId="06429E3D" w14:textId="77777777" w:rsidR="0045086B" w:rsidRDefault="0045086B" w:rsidP="0045086B">
            <w:pPr>
              <w:pStyle w:val="TableText"/>
              <w:rPr>
                <w:rtl/>
              </w:rPr>
            </w:pPr>
            <w:r>
              <w:rPr>
                <w:rFonts w:hint="cs"/>
                <w:rtl/>
              </w:rPr>
              <w:t>4.</w:t>
            </w:r>
          </w:p>
        </w:tc>
        <w:tc>
          <w:tcPr>
            <w:tcW w:w="7146" w:type="dxa"/>
            <w:gridSpan w:val="3"/>
          </w:tcPr>
          <w:p w14:paraId="44BD39F7" w14:textId="77777777" w:rsidR="0045086B" w:rsidRDefault="0045086B" w:rsidP="0045086B">
            <w:pPr>
              <w:pStyle w:val="TableBlock"/>
              <w:rPr>
                <w:rtl/>
              </w:rPr>
            </w:pPr>
            <w:r>
              <w:rPr>
                <w:rFonts w:hint="cs"/>
                <w:rtl/>
              </w:rPr>
              <w:t>(א)</w:t>
            </w:r>
            <w:r>
              <w:rPr>
                <w:rtl/>
              </w:rPr>
              <w:tab/>
            </w:r>
            <w:r w:rsidRPr="005B589B">
              <w:rPr>
                <w:sz w:val="26"/>
                <w:rtl/>
              </w:rPr>
              <w:t xml:space="preserve">יועץ משכנתאות לא יעסוק בייעוץ משכנתאות עבור לקוח </w:t>
            </w:r>
            <w:r>
              <w:rPr>
                <w:rFonts w:hint="cs"/>
                <w:sz w:val="26"/>
                <w:rtl/>
              </w:rPr>
              <w:t>אם מתקיים אחד מאלה:</w:t>
            </w:r>
          </w:p>
        </w:tc>
      </w:tr>
      <w:tr w:rsidR="0045086B" w14:paraId="7F18B5AB" w14:textId="77777777" w:rsidTr="0045086B">
        <w:trPr>
          <w:gridAfter w:val="2"/>
          <w:wAfter w:w="13038" w:type="dxa"/>
          <w:cantSplit/>
        </w:trPr>
        <w:tc>
          <w:tcPr>
            <w:tcW w:w="1870" w:type="dxa"/>
          </w:tcPr>
          <w:p w14:paraId="150E0437" w14:textId="77777777" w:rsidR="0045086B" w:rsidRDefault="0045086B" w:rsidP="0045086B">
            <w:pPr>
              <w:pStyle w:val="TableSideHeading"/>
            </w:pPr>
          </w:p>
        </w:tc>
        <w:tc>
          <w:tcPr>
            <w:tcW w:w="624" w:type="dxa"/>
          </w:tcPr>
          <w:p w14:paraId="55C46DD9" w14:textId="77777777" w:rsidR="0045086B" w:rsidRDefault="0045086B" w:rsidP="0045086B">
            <w:pPr>
              <w:pStyle w:val="TableText"/>
            </w:pPr>
          </w:p>
        </w:tc>
        <w:tc>
          <w:tcPr>
            <w:tcW w:w="624" w:type="dxa"/>
          </w:tcPr>
          <w:p w14:paraId="6BB6FCB0" w14:textId="77777777" w:rsidR="0045086B" w:rsidRDefault="0045086B" w:rsidP="0045086B">
            <w:pPr>
              <w:pStyle w:val="TableText"/>
            </w:pPr>
          </w:p>
        </w:tc>
        <w:tc>
          <w:tcPr>
            <w:tcW w:w="6522" w:type="dxa"/>
            <w:gridSpan w:val="2"/>
          </w:tcPr>
          <w:p w14:paraId="6608EA7D" w14:textId="77777777" w:rsidR="0045086B" w:rsidRDefault="0045086B" w:rsidP="0045086B">
            <w:pPr>
              <w:pStyle w:val="TableBlock"/>
            </w:pPr>
            <w:r>
              <w:rPr>
                <w:rFonts w:hint="cs"/>
                <w:rtl/>
              </w:rPr>
              <w:t>(1)</w:t>
            </w:r>
            <w:r>
              <w:rPr>
                <w:rtl/>
              </w:rPr>
              <w:tab/>
            </w:r>
            <w:r w:rsidRPr="005B589B">
              <w:rPr>
                <w:sz w:val="26"/>
                <w:rtl/>
              </w:rPr>
              <w:t>חשש שלא יוכל למלא את חובתו המקצועית כלפיו;</w:t>
            </w:r>
          </w:p>
        </w:tc>
      </w:tr>
      <w:tr w:rsidR="0045086B" w14:paraId="6427814F" w14:textId="77777777" w:rsidTr="0045086B">
        <w:trPr>
          <w:gridAfter w:val="2"/>
          <w:wAfter w:w="13038" w:type="dxa"/>
          <w:cantSplit/>
        </w:trPr>
        <w:tc>
          <w:tcPr>
            <w:tcW w:w="1870" w:type="dxa"/>
          </w:tcPr>
          <w:p w14:paraId="71FE4F6A" w14:textId="77777777" w:rsidR="0045086B" w:rsidRDefault="0045086B" w:rsidP="0045086B">
            <w:pPr>
              <w:pStyle w:val="TableSideHeading"/>
            </w:pPr>
          </w:p>
        </w:tc>
        <w:tc>
          <w:tcPr>
            <w:tcW w:w="624" w:type="dxa"/>
          </w:tcPr>
          <w:p w14:paraId="44397DBC" w14:textId="77777777" w:rsidR="0045086B" w:rsidRDefault="0045086B" w:rsidP="0045086B">
            <w:pPr>
              <w:pStyle w:val="TableText"/>
            </w:pPr>
          </w:p>
        </w:tc>
        <w:tc>
          <w:tcPr>
            <w:tcW w:w="624" w:type="dxa"/>
          </w:tcPr>
          <w:p w14:paraId="6C99623F" w14:textId="77777777" w:rsidR="0045086B" w:rsidRDefault="0045086B" w:rsidP="0045086B">
            <w:pPr>
              <w:pStyle w:val="TableText"/>
            </w:pPr>
          </w:p>
        </w:tc>
        <w:tc>
          <w:tcPr>
            <w:tcW w:w="6522" w:type="dxa"/>
            <w:gridSpan w:val="2"/>
          </w:tcPr>
          <w:p w14:paraId="535AF9A1" w14:textId="77777777" w:rsidR="0045086B" w:rsidRDefault="0045086B" w:rsidP="0045086B">
            <w:pPr>
              <w:pStyle w:val="TableBlock"/>
              <w:rPr>
                <w:rtl/>
              </w:rPr>
            </w:pPr>
            <w:r>
              <w:rPr>
                <w:rFonts w:hint="cs"/>
                <w:rtl/>
              </w:rPr>
              <w:t>(2)</w:t>
            </w:r>
            <w:r>
              <w:rPr>
                <w:rtl/>
              </w:rPr>
              <w:tab/>
            </w:r>
            <w:r>
              <w:rPr>
                <w:rFonts w:hint="cs"/>
                <w:sz w:val="26"/>
                <w:rtl/>
              </w:rPr>
              <w:t xml:space="preserve">נסיבות שבהן עלול להיווצר </w:t>
            </w:r>
            <w:r w:rsidRPr="001C2202">
              <w:rPr>
                <w:rFonts w:hint="cs"/>
                <w:sz w:val="26"/>
                <w:rtl/>
              </w:rPr>
              <w:t xml:space="preserve">ניגוד </w:t>
            </w:r>
            <w:r w:rsidRPr="007D7944">
              <w:rPr>
                <w:sz w:val="26"/>
                <w:rtl/>
              </w:rPr>
              <w:t xml:space="preserve">בין </w:t>
            </w:r>
            <w:r w:rsidRPr="003B133D">
              <w:rPr>
                <w:rFonts w:hint="eastAsia"/>
                <w:sz w:val="26"/>
                <w:rtl/>
              </w:rPr>
              <w:t>עניין</w:t>
            </w:r>
            <w:r w:rsidRPr="003B133D">
              <w:rPr>
                <w:sz w:val="26"/>
                <w:rtl/>
              </w:rPr>
              <w:t xml:space="preserve"> </w:t>
            </w:r>
            <w:r w:rsidRPr="003B133D">
              <w:rPr>
                <w:rFonts w:hint="eastAsia"/>
                <w:sz w:val="26"/>
                <w:rtl/>
              </w:rPr>
              <w:t>אישי</w:t>
            </w:r>
            <w:r w:rsidRPr="003B133D">
              <w:rPr>
                <w:sz w:val="26"/>
                <w:rtl/>
              </w:rPr>
              <w:t xml:space="preserve"> </w:t>
            </w:r>
            <w:r w:rsidRPr="003B133D">
              <w:rPr>
                <w:rFonts w:hint="eastAsia"/>
                <w:sz w:val="26"/>
                <w:rtl/>
              </w:rPr>
              <w:t>שלו</w:t>
            </w:r>
            <w:r w:rsidRPr="003B133D">
              <w:rPr>
                <w:sz w:val="26"/>
                <w:rtl/>
              </w:rPr>
              <w:t xml:space="preserve"> או עניינו של אחר </w:t>
            </w:r>
            <w:r w:rsidRPr="003B133D">
              <w:rPr>
                <w:rFonts w:hint="eastAsia"/>
                <w:sz w:val="26"/>
                <w:rtl/>
              </w:rPr>
              <w:t>ובין</w:t>
            </w:r>
            <w:r w:rsidRPr="003B133D">
              <w:rPr>
                <w:sz w:val="26"/>
                <w:rtl/>
              </w:rPr>
              <w:t xml:space="preserve"> </w:t>
            </w:r>
            <w:r w:rsidRPr="003B133D">
              <w:rPr>
                <w:rFonts w:hint="eastAsia"/>
                <w:sz w:val="26"/>
                <w:rtl/>
              </w:rPr>
              <w:t>עניינו</w:t>
            </w:r>
            <w:r w:rsidRPr="003B133D">
              <w:rPr>
                <w:sz w:val="26"/>
                <w:rtl/>
              </w:rPr>
              <w:t xml:space="preserve"> </w:t>
            </w:r>
            <w:r w:rsidRPr="003B133D">
              <w:rPr>
                <w:rFonts w:hint="eastAsia"/>
                <w:sz w:val="26"/>
                <w:rtl/>
              </w:rPr>
              <w:t>של</w:t>
            </w:r>
            <w:r w:rsidRPr="003B133D">
              <w:rPr>
                <w:sz w:val="26"/>
                <w:rtl/>
              </w:rPr>
              <w:t xml:space="preserve"> </w:t>
            </w:r>
            <w:r w:rsidRPr="003B133D">
              <w:rPr>
                <w:rFonts w:hint="eastAsia"/>
                <w:sz w:val="26"/>
                <w:rtl/>
              </w:rPr>
              <w:t>לקוחו</w:t>
            </w:r>
            <w:r w:rsidRPr="001C2202">
              <w:rPr>
                <w:sz w:val="26"/>
                <w:rtl/>
              </w:rPr>
              <w:t>.</w:t>
            </w:r>
          </w:p>
        </w:tc>
      </w:tr>
      <w:tr w:rsidR="0045086B" w14:paraId="6D9AE6D5" w14:textId="77777777" w:rsidTr="0045086B">
        <w:trPr>
          <w:gridAfter w:val="2"/>
          <w:wAfter w:w="13038" w:type="dxa"/>
          <w:cantSplit/>
        </w:trPr>
        <w:tc>
          <w:tcPr>
            <w:tcW w:w="1870" w:type="dxa"/>
          </w:tcPr>
          <w:p w14:paraId="5A989C26" w14:textId="77777777" w:rsidR="0045086B" w:rsidRDefault="0045086B" w:rsidP="0045086B">
            <w:pPr>
              <w:pStyle w:val="TableSideHeading"/>
            </w:pPr>
          </w:p>
        </w:tc>
        <w:tc>
          <w:tcPr>
            <w:tcW w:w="624" w:type="dxa"/>
          </w:tcPr>
          <w:p w14:paraId="2BAB3F96" w14:textId="77777777" w:rsidR="0045086B" w:rsidRDefault="0045086B" w:rsidP="0045086B">
            <w:pPr>
              <w:pStyle w:val="TableText"/>
            </w:pPr>
          </w:p>
        </w:tc>
        <w:tc>
          <w:tcPr>
            <w:tcW w:w="7146" w:type="dxa"/>
            <w:gridSpan w:val="3"/>
          </w:tcPr>
          <w:p w14:paraId="63B338E7" w14:textId="77777777" w:rsidR="0045086B" w:rsidRPr="003B133D" w:rsidRDefault="0045086B" w:rsidP="0045086B">
            <w:pPr>
              <w:pStyle w:val="TableBlock"/>
              <w:rPr>
                <w:sz w:val="26"/>
                <w:rtl/>
              </w:rPr>
            </w:pPr>
            <w:r>
              <w:rPr>
                <w:rFonts w:hint="cs"/>
                <w:rtl/>
              </w:rPr>
              <w:t>(ב)</w:t>
            </w:r>
            <w:r>
              <w:rPr>
                <w:rtl/>
              </w:rPr>
              <w:tab/>
            </w:r>
            <w:r>
              <w:rPr>
                <w:rFonts w:hint="cs"/>
                <w:sz w:val="26"/>
                <w:rtl/>
              </w:rPr>
              <w:t>יועץ משכנתאות לא יהיה עובד של גוף פיננסי.</w:t>
            </w:r>
          </w:p>
        </w:tc>
      </w:tr>
      <w:tr w:rsidR="0045086B" w14:paraId="449EEB83" w14:textId="77777777" w:rsidTr="0045086B">
        <w:trPr>
          <w:gridAfter w:val="2"/>
          <w:wAfter w:w="13038" w:type="dxa"/>
          <w:cantSplit/>
        </w:trPr>
        <w:tc>
          <w:tcPr>
            <w:tcW w:w="1870" w:type="dxa"/>
          </w:tcPr>
          <w:p w14:paraId="6A966F50" w14:textId="77777777" w:rsidR="0045086B" w:rsidRDefault="0045086B" w:rsidP="0045086B">
            <w:pPr>
              <w:pStyle w:val="TableSideHeading"/>
            </w:pPr>
          </w:p>
        </w:tc>
        <w:tc>
          <w:tcPr>
            <w:tcW w:w="624" w:type="dxa"/>
          </w:tcPr>
          <w:p w14:paraId="28394CAC" w14:textId="77777777" w:rsidR="0045086B" w:rsidRDefault="0045086B" w:rsidP="0045086B">
            <w:pPr>
              <w:pStyle w:val="TableText"/>
            </w:pPr>
          </w:p>
        </w:tc>
        <w:tc>
          <w:tcPr>
            <w:tcW w:w="7146" w:type="dxa"/>
            <w:gridSpan w:val="3"/>
          </w:tcPr>
          <w:p w14:paraId="393F1895" w14:textId="77777777" w:rsidR="0045086B" w:rsidRDefault="0045086B" w:rsidP="0045086B">
            <w:pPr>
              <w:pStyle w:val="TableBlock"/>
              <w:rPr>
                <w:rtl/>
              </w:rPr>
            </w:pPr>
            <w:r>
              <w:rPr>
                <w:rFonts w:hint="cs"/>
                <w:rtl/>
              </w:rPr>
              <w:t>(ג)</w:t>
            </w:r>
            <w:r>
              <w:rPr>
                <w:rtl/>
              </w:rPr>
              <w:tab/>
              <w:t xml:space="preserve">יועץ משכנתאות לא יקבל </w:t>
            </w:r>
            <w:r>
              <w:rPr>
                <w:rFonts w:hint="cs"/>
                <w:rtl/>
              </w:rPr>
              <w:t>תמורה כספית או אחרת, במישרין או בעקיפין, בקשר עם ייעוץ משכנתאות, זולת מלקוחו בלבד.</w:t>
            </w:r>
          </w:p>
        </w:tc>
      </w:tr>
      <w:tr w:rsidR="0045086B" w14:paraId="7A131778" w14:textId="77777777" w:rsidTr="0045086B">
        <w:trPr>
          <w:gridAfter w:val="2"/>
          <w:wAfter w:w="13038" w:type="dxa"/>
          <w:cantSplit/>
        </w:trPr>
        <w:tc>
          <w:tcPr>
            <w:tcW w:w="1870" w:type="dxa"/>
          </w:tcPr>
          <w:p w14:paraId="1FBDE333" w14:textId="77777777" w:rsidR="0045086B" w:rsidRDefault="0045086B" w:rsidP="0045086B">
            <w:pPr>
              <w:pStyle w:val="TableSideHeading"/>
            </w:pPr>
          </w:p>
        </w:tc>
        <w:tc>
          <w:tcPr>
            <w:tcW w:w="624" w:type="dxa"/>
          </w:tcPr>
          <w:p w14:paraId="52C1D080" w14:textId="77777777" w:rsidR="0045086B" w:rsidRDefault="0045086B" w:rsidP="0045086B">
            <w:pPr>
              <w:pStyle w:val="TableText"/>
            </w:pPr>
          </w:p>
        </w:tc>
        <w:tc>
          <w:tcPr>
            <w:tcW w:w="7146" w:type="dxa"/>
            <w:gridSpan w:val="3"/>
          </w:tcPr>
          <w:p w14:paraId="7068A872" w14:textId="77777777" w:rsidR="0045086B" w:rsidRPr="007B3434" w:rsidRDefault="0045086B" w:rsidP="0045086B">
            <w:pPr>
              <w:pStyle w:val="TableHead"/>
              <w:rPr>
                <w:rtl/>
              </w:rPr>
            </w:pPr>
            <w:r w:rsidRPr="007B3434">
              <w:rPr>
                <w:rFonts w:hint="eastAsia"/>
                <w:rtl/>
              </w:rPr>
              <w:t>פרק</w:t>
            </w:r>
            <w:r w:rsidRPr="007B3434">
              <w:rPr>
                <w:rtl/>
              </w:rPr>
              <w:t xml:space="preserve"> </w:t>
            </w:r>
            <w:r>
              <w:rPr>
                <w:rFonts w:hint="cs"/>
                <w:rtl/>
              </w:rPr>
              <w:t>ג'</w:t>
            </w:r>
            <w:r w:rsidRPr="007B3434">
              <w:rPr>
                <w:rtl/>
              </w:rPr>
              <w:t xml:space="preserve">: </w:t>
            </w:r>
            <w:r w:rsidRPr="00AB1183">
              <w:rPr>
                <w:rFonts w:hint="cs"/>
                <w:rtl/>
              </w:rPr>
              <w:t>מועצת יועצי המשכנתאות</w:t>
            </w:r>
          </w:p>
        </w:tc>
      </w:tr>
      <w:tr w:rsidR="0045086B" w14:paraId="1FA7CC87" w14:textId="77777777" w:rsidTr="0045086B">
        <w:trPr>
          <w:gridAfter w:val="2"/>
          <w:wAfter w:w="13038" w:type="dxa"/>
          <w:cantSplit/>
        </w:trPr>
        <w:tc>
          <w:tcPr>
            <w:tcW w:w="1870" w:type="dxa"/>
          </w:tcPr>
          <w:p w14:paraId="497852C0" w14:textId="77777777" w:rsidR="0045086B" w:rsidRDefault="0045086B" w:rsidP="0045086B">
            <w:pPr>
              <w:pStyle w:val="TableSideHeading"/>
            </w:pPr>
            <w:r>
              <w:rPr>
                <w:rFonts w:hint="cs"/>
                <w:sz w:val="26"/>
                <w:rtl/>
              </w:rPr>
              <w:t>מועצת יועצי המשכנתאות</w:t>
            </w:r>
          </w:p>
        </w:tc>
        <w:tc>
          <w:tcPr>
            <w:tcW w:w="624" w:type="dxa"/>
          </w:tcPr>
          <w:p w14:paraId="280B68D7" w14:textId="77777777" w:rsidR="0045086B" w:rsidRDefault="0045086B" w:rsidP="0045086B">
            <w:pPr>
              <w:pStyle w:val="TableText"/>
            </w:pPr>
            <w:r>
              <w:rPr>
                <w:rFonts w:hint="cs"/>
                <w:rtl/>
              </w:rPr>
              <w:t>5.</w:t>
            </w:r>
          </w:p>
        </w:tc>
        <w:tc>
          <w:tcPr>
            <w:tcW w:w="7146" w:type="dxa"/>
            <w:gridSpan w:val="3"/>
          </w:tcPr>
          <w:p w14:paraId="58C1D8D2" w14:textId="77777777" w:rsidR="0045086B" w:rsidRPr="003B133D" w:rsidRDefault="0045086B" w:rsidP="0045086B">
            <w:pPr>
              <w:pStyle w:val="TableBlock"/>
              <w:rPr>
                <w:rtl/>
              </w:rPr>
            </w:pPr>
            <w:r w:rsidRPr="003B133D">
              <w:rPr>
                <w:rtl/>
              </w:rPr>
              <w:t>(א)</w:t>
            </w:r>
            <w:r w:rsidRPr="00AB1183">
              <w:rPr>
                <w:rtl/>
              </w:rPr>
              <w:tab/>
            </w:r>
            <w:r w:rsidRPr="00AB1183">
              <w:rPr>
                <w:rFonts w:hint="cs"/>
                <w:rtl/>
              </w:rPr>
              <w:t>תוקם מועצת יועצי המשכנתאות, ואלה חבריה:</w:t>
            </w:r>
          </w:p>
        </w:tc>
      </w:tr>
      <w:tr w:rsidR="0045086B" w14:paraId="3458AE90" w14:textId="77777777" w:rsidTr="0045086B">
        <w:trPr>
          <w:gridAfter w:val="2"/>
          <w:wAfter w:w="13038" w:type="dxa"/>
          <w:cantSplit/>
        </w:trPr>
        <w:tc>
          <w:tcPr>
            <w:tcW w:w="1870" w:type="dxa"/>
          </w:tcPr>
          <w:p w14:paraId="035E2187" w14:textId="77777777" w:rsidR="0045086B" w:rsidRDefault="0045086B" w:rsidP="0045086B">
            <w:pPr>
              <w:pStyle w:val="TableSideHeading"/>
            </w:pPr>
          </w:p>
        </w:tc>
        <w:tc>
          <w:tcPr>
            <w:tcW w:w="624" w:type="dxa"/>
          </w:tcPr>
          <w:p w14:paraId="4D38DA49" w14:textId="77777777" w:rsidR="0045086B" w:rsidRDefault="0045086B" w:rsidP="0045086B">
            <w:pPr>
              <w:pStyle w:val="TableText"/>
            </w:pPr>
          </w:p>
        </w:tc>
        <w:tc>
          <w:tcPr>
            <w:tcW w:w="624" w:type="dxa"/>
          </w:tcPr>
          <w:p w14:paraId="191AFCBC" w14:textId="77777777" w:rsidR="0045086B" w:rsidRDefault="0045086B" w:rsidP="0045086B">
            <w:pPr>
              <w:pStyle w:val="TableText"/>
            </w:pPr>
          </w:p>
        </w:tc>
        <w:tc>
          <w:tcPr>
            <w:tcW w:w="6522" w:type="dxa"/>
            <w:gridSpan w:val="2"/>
          </w:tcPr>
          <w:p w14:paraId="3B5E8673" w14:textId="77777777" w:rsidR="0045086B" w:rsidRPr="00AB1183" w:rsidRDefault="0045086B" w:rsidP="0045086B">
            <w:pPr>
              <w:pStyle w:val="TableBlock"/>
            </w:pPr>
            <w:r>
              <w:rPr>
                <w:rFonts w:hint="cs"/>
                <w:rtl/>
              </w:rPr>
              <w:t>(1)</w:t>
            </w:r>
            <w:r>
              <w:rPr>
                <w:rtl/>
              </w:rPr>
              <w:tab/>
            </w:r>
            <w:r>
              <w:rPr>
                <w:rFonts w:hint="cs"/>
                <w:sz w:val="26"/>
                <w:rtl/>
              </w:rPr>
              <w:t xml:space="preserve">שני עובדי המדינה, שאחד מהם ימנה השר מבין עובדי משרדו והשני </w:t>
            </w:r>
            <w:r>
              <w:rPr>
                <w:rFonts w:hint="eastAsia"/>
                <w:sz w:val="26"/>
                <w:rtl/>
              </w:rPr>
              <w:t>–</w:t>
            </w:r>
            <w:r>
              <w:rPr>
                <w:rFonts w:hint="cs"/>
                <w:sz w:val="26"/>
                <w:rtl/>
              </w:rPr>
              <w:t xml:space="preserve">  ימנה שר האוצר מבין עובדי משרדו, ובלבד שאחד מהם, לפחות, יהיה בעל </w:t>
            </w:r>
            <w:r w:rsidRPr="00D622FC">
              <w:rPr>
                <w:rFonts w:hint="eastAsia"/>
                <w:sz w:val="26"/>
                <w:rtl/>
              </w:rPr>
              <w:t>ידע</w:t>
            </w:r>
            <w:r>
              <w:rPr>
                <w:rFonts w:hint="cs"/>
                <w:sz w:val="26"/>
                <w:rtl/>
              </w:rPr>
              <w:t xml:space="preserve"> בתחום ייעוץ המשכנתאות; </w:t>
            </w:r>
          </w:p>
        </w:tc>
      </w:tr>
      <w:tr w:rsidR="0045086B" w14:paraId="1E588571" w14:textId="77777777" w:rsidTr="0045086B">
        <w:trPr>
          <w:gridAfter w:val="2"/>
          <w:wAfter w:w="13038" w:type="dxa"/>
          <w:cantSplit/>
        </w:trPr>
        <w:tc>
          <w:tcPr>
            <w:tcW w:w="1870" w:type="dxa"/>
          </w:tcPr>
          <w:p w14:paraId="492D9A69" w14:textId="77777777" w:rsidR="0045086B" w:rsidRDefault="0045086B" w:rsidP="0045086B">
            <w:pPr>
              <w:pStyle w:val="TableSideHeading"/>
            </w:pPr>
          </w:p>
        </w:tc>
        <w:tc>
          <w:tcPr>
            <w:tcW w:w="624" w:type="dxa"/>
          </w:tcPr>
          <w:p w14:paraId="75898EA6" w14:textId="77777777" w:rsidR="0045086B" w:rsidRDefault="0045086B" w:rsidP="0045086B">
            <w:pPr>
              <w:pStyle w:val="TableText"/>
            </w:pPr>
          </w:p>
        </w:tc>
        <w:tc>
          <w:tcPr>
            <w:tcW w:w="624" w:type="dxa"/>
          </w:tcPr>
          <w:p w14:paraId="393274B6" w14:textId="77777777" w:rsidR="0045086B" w:rsidRDefault="0045086B" w:rsidP="0045086B">
            <w:pPr>
              <w:pStyle w:val="TableText"/>
            </w:pPr>
          </w:p>
        </w:tc>
        <w:tc>
          <w:tcPr>
            <w:tcW w:w="6522" w:type="dxa"/>
            <w:gridSpan w:val="2"/>
          </w:tcPr>
          <w:p w14:paraId="5FB42E13" w14:textId="77777777" w:rsidR="0045086B" w:rsidRPr="003B133D" w:rsidRDefault="0045086B" w:rsidP="0045086B">
            <w:pPr>
              <w:pStyle w:val="TableBlock"/>
              <w:rPr>
                <w:b/>
                <w:bCs/>
                <w:sz w:val="26"/>
              </w:rPr>
            </w:pPr>
            <w:r>
              <w:rPr>
                <w:rFonts w:hint="cs"/>
                <w:rtl/>
              </w:rPr>
              <w:t>(2)</w:t>
            </w:r>
            <w:r>
              <w:rPr>
                <w:rtl/>
              </w:rPr>
              <w:tab/>
            </w:r>
            <w:r>
              <w:rPr>
                <w:rFonts w:hint="cs"/>
                <w:sz w:val="26"/>
                <w:rtl/>
              </w:rPr>
              <w:t>נציג בנק ישראל שימנה הנגיד מבין עובדי הבנק;</w:t>
            </w:r>
          </w:p>
        </w:tc>
      </w:tr>
      <w:tr w:rsidR="0045086B" w14:paraId="22428E12" w14:textId="77777777" w:rsidTr="0045086B">
        <w:trPr>
          <w:gridAfter w:val="2"/>
          <w:wAfter w:w="13038" w:type="dxa"/>
          <w:cantSplit/>
        </w:trPr>
        <w:tc>
          <w:tcPr>
            <w:tcW w:w="1870" w:type="dxa"/>
          </w:tcPr>
          <w:p w14:paraId="4504012A" w14:textId="77777777" w:rsidR="0045086B" w:rsidRDefault="0045086B" w:rsidP="0045086B">
            <w:pPr>
              <w:pStyle w:val="TableSideHeading"/>
            </w:pPr>
          </w:p>
        </w:tc>
        <w:tc>
          <w:tcPr>
            <w:tcW w:w="624" w:type="dxa"/>
          </w:tcPr>
          <w:p w14:paraId="45AD7C2D" w14:textId="77777777" w:rsidR="0045086B" w:rsidRDefault="0045086B" w:rsidP="0045086B">
            <w:pPr>
              <w:pStyle w:val="TableText"/>
            </w:pPr>
          </w:p>
        </w:tc>
        <w:tc>
          <w:tcPr>
            <w:tcW w:w="624" w:type="dxa"/>
          </w:tcPr>
          <w:p w14:paraId="2B81B4F9" w14:textId="77777777" w:rsidR="0045086B" w:rsidRDefault="0045086B" w:rsidP="0045086B">
            <w:pPr>
              <w:pStyle w:val="TableText"/>
            </w:pPr>
          </w:p>
        </w:tc>
        <w:tc>
          <w:tcPr>
            <w:tcW w:w="6522" w:type="dxa"/>
            <w:gridSpan w:val="2"/>
          </w:tcPr>
          <w:p w14:paraId="2A087A24" w14:textId="77777777" w:rsidR="0045086B" w:rsidRPr="003B133D" w:rsidRDefault="0045086B" w:rsidP="0045086B">
            <w:pPr>
              <w:pStyle w:val="TableBlock"/>
              <w:rPr>
                <w:b/>
                <w:bCs/>
                <w:sz w:val="26"/>
                <w:rtl/>
              </w:rPr>
            </w:pPr>
            <w:r>
              <w:rPr>
                <w:rFonts w:hint="cs"/>
                <w:rtl/>
              </w:rPr>
              <w:t>(3)</w:t>
            </w:r>
            <w:r>
              <w:rPr>
                <w:rtl/>
              </w:rPr>
              <w:tab/>
            </w:r>
            <w:r>
              <w:rPr>
                <w:rFonts w:hint="cs"/>
                <w:sz w:val="26"/>
                <w:rtl/>
              </w:rPr>
              <w:t>נציג ציבור שימנה השר;</w:t>
            </w:r>
          </w:p>
        </w:tc>
      </w:tr>
      <w:tr w:rsidR="0045086B" w14:paraId="513B2E29" w14:textId="77777777" w:rsidTr="0045086B">
        <w:trPr>
          <w:gridAfter w:val="2"/>
          <w:wAfter w:w="13038" w:type="dxa"/>
          <w:cantSplit/>
        </w:trPr>
        <w:tc>
          <w:tcPr>
            <w:tcW w:w="1870" w:type="dxa"/>
          </w:tcPr>
          <w:p w14:paraId="6E511DF4" w14:textId="77777777" w:rsidR="0045086B" w:rsidRDefault="0045086B" w:rsidP="0045086B">
            <w:pPr>
              <w:pStyle w:val="TableSideHeading"/>
            </w:pPr>
          </w:p>
        </w:tc>
        <w:tc>
          <w:tcPr>
            <w:tcW w:w="624" w:type="dxa"/>
          </w:tcPr>
          <w:p w14:paraId="38F71C8B" w14:textId="77777777" w:rsidR="0045086B" w:rsidRDefault="0045086B" w:rsidP="0045086B">
            <w:pPr>
              <w:pStyle w:val="TableText"/>
            </w:pPr>
          </w:p>
        </w:tc>
        <w:tc>
          <w:tcPr>
            <w:tcW w:w="624" w:type="dxa"/>
          </w:tcPr>
          <w:p w14:paraId="7B0EC08E" w14:textId="77777777" w:rsidR="0045086B" w:rsidRDefault="0045086B" w:rsidP="0045086B">
            <w:pPr>
              <w:pStyle w:val="TableText"/>
            </w:pPr>
          </w:p>
        </w:tc>
        <w:tc>
          <w:tcPr>
            <w:tcW w:w="6522" w:type="dxa"/>
            <w:gridSpan w:val="2"/>
          </w:tcPr>
          <w:p w14:paraId="7FFE1366" w14:textId="77777777" w:rsidR="0045086B" w:rsidRDefault="0045086B" w:rsidP="0045086B">
            <w:pPr>
              <w:pStyle w:val="TableBlock"/>
              <w:rPr>
                <w:rtl/>
              </w:rPr>
            </w:pPr>
            <w:r>
              <w:rPr>
                <w:rFonts w:hint="cs"/>
                <w:rtl/>
              </w:rPr>
              <w:t>(4)</w:t>
            </w:r>
            <w:r>
              <w:rPr>
                <w:rtl/>
              </w:rPr>
              <w:tab/>
            </w:r>
            <w:r>
              <w:rPr>
                <w:rFonts w:hint="cs"/>
                <w:sz w:val="26"/>
                <w:rtl/>
              </w:rPr>
              <w:t>שלושה יועצי משכנתאות שימנה השר לפי המלצת הגוף היציג.</w:t>
            </w:r>
          </w:p>
        </w:tc>
      </w:tr>
      <w:tr w:rsidR="0045086B" w14:paraId="65060473" w14:textId="77777777" w:rsidTr="0045086B">
        <w:trPr>
          <w:gridAfter w:val="2"/>
          <w:wAfter w:w="13038" w:type="dxa"/>
          <w:cantSplit/>
        </w:trPr>
        <w:tc>
          <w:tcPr>
            <w:tcW w:w="1870" w:type="dxa"/>
          </w:tcPr>
          <w:p w14:paraId="6666A958" w14:textId="77777777" w:rsidR="0045086B" w:rsidRDefault="0045086B" w:rsidP="0045086B">
            <w:pPr>
              <w:pStyle w:val="TableSideHeading"/>
            </w:pPr>
          </w:p>
        </w:tc>
        <w:tc>
          <w:tcPr>
            <w:tcW w:w="624" w:type="dxa"/>
          </w:tcPr>
          <w:p w14:paraId="0B7B75A1" w14:textId="77777777" w:rsidR="0045086B" w:rsidRDefault="0045086B" w:rsidP="0045086B">
            <w:pPr>
              <w:pStyle w:val="TableText"/>
            </w:pPr>
          </w:p>
        </w:tc>
        <w:tc>
          <w:tcPr>
            <w:tcW w:w="7146" w:type="dxa"/>
            <w:gridSpan w:val="3"/>
          </w:tcPr>
          <w:p w14:paraId="1A5C611B" w14:textId="77777777" w:rsidR="0045086B" w:rsidRDefault="0045086B" w:rsidP="0045086B">
            <w:pPr>
              <w:pStyle w:val="TableBlock"/>
              <w:rPr>
                <w:rtl/>
              </w:rPr>
            </w:pPr>
            <w:r>
              <w:rPr>
                <w:rFonts w:hint="cs"/>
                <w:rtl/>
              </w:rPr>
              <w:t>(ב)</w:t>
            </w:r>
            <w:r>
              <w:rPr>
                <w:rtl/>
              </w:rPr>
              <w:tab/>
            </w:r>
            <w:r w:rsidRPr="00CB5111">
              <w:rPr>
                <w:rFonts w:hint="cs"/>
                <w:rtl/>
              </w:rPr>
              <w:t>חבר אחד לפחות מבין חברי המועצה יהיה אדם הכשיר להתמנות לשופט בית משפט מחוזי.</w:t>
            </w:r>
          </w:p>
        </w:tc>
      </w:tr>
      <w:tr w:rsidR="0045086B" w14:paraId="5AD45884" w14:textId="77777777" w:rsidTr="0045086B">
        <w:trPr>
          <w:gridAfter w:val="2"/>
          <w:wAfter w:w="13038" w:type="dxa"/>
          <w:cantSplit/>
        </w:trPr>
        <w:tc>
          <w:tcPr>
            <w:tcW w:w="1870" w:type="dxa"/>
          </w:tcPr>
          <w:p w14:paraId="32E5A019" w14:textId="77777777" w:rsidR="0045086B" w:rsidRDefault="0045086B" w:rsidP="0045086B">
            <w:pPr>
              <w:pStyle w:val="TableSideHeading"/>
            </w:pPr>
          </w:p>
        </w:tc>
        <w:tc>
          <w:tcPr>
            <w:tcW w:w="624" w:type="dxa"/>
          </w:tcPr>
          <w:p w14:paraId="2E3B9D46" w14:textId="77777777" w:rsidR="0045086B" w:rsidRDefault="0045086B" w:rsidP="0045086B">
            <w:pPr>
              <w:pStyle w:val="TableText"/>
            </w:pPr>
          </w:p>
        </w:tc>
        <w:tc>
          <w:tcPr>
            <w:tcW w:w="7146" w:type="dxa"/>
            <w:gridSpan w:val="3"/>
          </w:tcPr>
          <w:p w14:paraId="400D5721" w14:textId="77777777" w:rsidR="0045086B" w:rsidRPr="003B133D" w:rsidRDefault="0045086B" w:rsidP="0045086B">
            <w:pPr>
              <w:pStyle w:val="TableBlock"/>
              <w:rPr>
                <w:sz w:val="26"/>
                <w:rtl/>
              </w:rPr>
            </w:pPr>
            <w:r>
              <w:rPr>
                <w:rFonts w:hint="cs"/>
                <w:rtl/>
              </w:rPr>
              <w:t>(ג)</w:t>
            </w:r>
            <w:r>
              <w:rPr>
                <w:rtl/>
              </w:rPr>
              <w:tab/>
            </w:r>
            <w:r>
              <w:rPr>
                <w:rFonts w:hint="cs"/>
                <w:sz w:val="26"/>
                <w:rtl/>
              </w:rPr>
              <w:t xml:space="preserve">השר ימנה את יושב ראש המועצה מבין חברי המועצה. </w:t>
            </w:r>
          </w:p>
        </w:tc>
      </w:tr>
      <w:tr w:rsidR="0045086B" w14:paraId="6F9ADE4C" w14:textId="77777777" w:rsidTr="0045086B">
        <w:trPr>
          <w:gridAfter w:val="2"/>
          <w:wAfter w:w="13038" w:type="dxa"/>
          <w:cantSplit/>
          <w:trHeight w:val="1630"/>
        </w:trPr>
        <w:tc>
          <w:tcPr>
            <w:tcW w:w="1870" w:type="dxa"/>
          </w:tcPr>
          <w:p w14:paraId="1F549D64" w14:textId="77777777" w:rsidR="0045086B" w:rsidRDefault="0045086B" w:rsidP="0045086B">
            <w:pPr>
              <w:pStyle w:val="TableSideHeading"/>
            </w:pPr>
          </w:p>
        </w:tc>
        <w:tc>
          <w:tcPr>
            <w:tcW w:w="624" w:type="dxa"/>
          </w:tcPr>
          <w:p w14:paraId="0C26CC37" w14:textId="77777777" w:rsidR="0045086B" w:rsidRDefault="0045086B" w:rsidP="0045086B">
            <w:pPr>
              <w:pStyle w:val="TableText"/>
            </w:pPr>
          </w:p>
        </w:tc>
        <w:tc>
          <w:tcPr>
            <w:tcW w:w="7146" w:type="dxa"/>
            <w:gridSpan w:val="3"/>
          </w:tcPr>
          <w:p w14:paraId="47750703" w14:textId="77777777" w:rsidR="0045086B" w:rsidRDefault="0045086B" w:rsidP="0045086B">
            <w:pPr>
              <w:pStyle w:val="TableBlock"/>
              <w:rPr>
                <w:rtl/>
              </w:rPr>
            </w:pPr>
            <w:r>
              <w:rPr>
                <w:rFonts w:hint="cs"/>
                <w:rtl/>
              </w:rPr>
              <w:t>(ד)</w:t>
            </w:r>
            <w:r>
              <w:rPr>
                <w:rtl/>
              </w:rPr>
              <w:tab/>
            </w:r>
            <w:r>
              <w:rPr>
                <w:rFonts w:hint="cs"/>
                <w:sz w:val="26"/>
                <w:rtl/>
              </w:rPr>
              <w:t>מי שממנה חבר מועצה רשאי למנות לו גם ממלא מקום, אשר ימלא את תפקיד חבר המועצה בהעדרו של החבר; ואולם המועצה תהיה רשאית למנות ממלא מקום חבר מועצה כמינוי קבוע בוועדת משנה של המועצה ככל שתוקם לפי סעיף 6(4).</w:t>
            </w:r>
          </w:p>
        </w:tc>
      </w:tr>
      <w:tr w:rsidR="0045086B" w14:paraId="710D4641" w14:textId="77777777" w:rsidTr="0045086B">
        <w:trPr>
          <w:gridAfter w:val="2"/>
          <w:wAfter w:w="13038" w:type="dxa"/>
          <w:cantSplit/>
        </w:trPr>
        <w:tc>
          <w:tcPr>
            <w:tcW w:w="1870" w:type="dxa"/>
          </w:tcPr>
          <w:p w14:paraId="234EEC24" w14:textId="77777777" w:rsidR="0045086B" w:rsidRDefault="0045086B" w:rsidP="0045086B">
            <w:pPr>
              <w:pStyle w:val="TableSideHeading"/>
            </w:pPr>
          </w:p>
        </w:tc>
        <w:tc>
          <w:tcPr>
            <w:tcW w:w="624" w:type="dxa"/>
          </w:tcPr>
          <w:p w14:paraId="25C5F586" w14:textId="77777777" w:rsidR="0045086B" w:rsidRDefault="0045086B" w:rsidP="0045086B">
            <w:pPr>
              <w:pStyle w:val="TableText"/>
            </w:pPr>
          </w:p>
        </w:tc>
        <w:tc>
          <w:tcPr>
            <w:tcW w:w="7146" w:type="dxa"/>
            <w:gridSpan w:val="3"/>
          </w:tcPr>
          <w:p w14:paraId="3668E45B" w14:textId="77777777" w:rsidR="0045086B" w:rsidRPr="003B133D" w:rsidRDefault="0045086B" w:rsidP="0045086B">
            <w:pPr>
              <w:pStyle w:val="TableBlock"/>
              <w:rPr>
                <w:sz w:val="26"/>
                <w:rtl/>
              </w:rPr>
            </w:pPr>
            <w:r>
              <w:rPr>
                <w:rFonts w:hint="cs"/>
                <w:rtl/>
              </w:rPr>
              <w:t>(ה)</w:t>
            </w:r>
            <w:r>
              <w:rPr>
                <w:rtl/>
              </w:rPr>
              <w:tab/>
            </w:r>
            <w:r>
              <w:rPr>
                <w:rFonts w:hint="cs"/>
                <w:sz w:val="26"/>
                <w:rtl/>
              </w:rPr>
              <w:t>רשם יועצי המשכנתאות יוזמן לכל דיוני המועצה וישמש בהם כמשקיף.</w:t>
            </w:r>
          </w:p>
        </w:tc>
      </w:tr>
      <w:tr w:rsidR="0045086B" w14:paraId="3A486E13" w14:textId="77777777" w:rsidTr="0045086B">
        <w:trPr>
          <w:gridAfter w:val="2"/>
          <w:wAfter w:w="13038" w:type="dxa"/>
          <w:cantSplit/>
        </w:trPr>
        <w:tc>
          <w:tcPr>
            <w:tcW w:w="1870" w:type="dxa"/>
          </w:tcPr>
          <w:p w14:paraId="254D2B98" w14:textId="77777777" w:rsidR="0045086B" w:rsidRDefault="0045086B" w:rsidP="0045086B">
            <w:pPr>
              <w:pStyle w:val="TableSideHeading"/>
            </w:pPr>
          </w:p>
        </w:tc>
        <w:tc>
          <w:tcPr>
            <w:tcW w:w="624" w:type="dxa"/>
          </w:tcPr>
          <w:p w14:paraId="1C8E22FD" w14:textId="77777777" w:rsidR="0045086B" w:rsidRDefault="0045086B" w:rsidP="0045086B">
            <w:pPr>
              <w:pStyle w:val="TableText"/>
            </w:pPr>
          </w:p>
        </w:tc>
        <w:tc>
          <w:tcPr>
            <w:tcW w:w="7146" w:type="dxa"/>
            <w:gridSpan w:val="3"/>
          </w:tcPr>
          <w:p w14:paraId="13E1034D" w14:textId="77777777" w:rsidR="0045086B" w:rsidRPr="00AB1183" w:rsidRDefault="0045086B" w:rsidP="0045086B">
            <w:pPr>
              <w:pStyle w:val="TableBlock"/>
              <w:rPr>
                <w:rtl/>
              </w:rPr>
            </w:pPr>
            <w:r>
              <w:rPr>
                <w:rFonts w:hint="cs"/>
                <w:rtl/>
              </w:rPr>
              <w:t>(ו)</w:t>
            </w:r>
            <w:r>
              <w:rPr>
                <w:rtl/>
              </w:rPr>
              <w:tab/>
            </w:r>
            <w:r>
              <w:rPr>
                <w:rFonts w:hint="cs"/>
                <w:sz w:val="26"/>
                <w:rtl/>
              </w:rPr>
              <w:t xml:space="preserve">הרכב המועצה ומענה יפורסמו ברשומות ובאתר האינטרנט של משרד המשפטים. </w:t>
            </w:r>
          </w:p>
        </w:tc>
      </w:tr>
      <w:tr w:rsidR="0045086B" w14:paraId="3A1B3DC8" w14:textId="77777777" w:rsidTr="0045086B">
        <w:trPr>
          <w:gridAfter w:val="2"/>
          <w:wAfter w:w="13038" w:type="dxa"/>
          <w:cantSplit/>
          <w:trHeight w:val="855"/>
        </w:trPr>
        <w:tc>
          <w:tcPr>
            <w:tcW w:w="1870" w:type="dxa"/>
          </w:tcPr>
          <w:p w14:paraId="07B3A539" w14:textId="77777777" w:rsidR="0045086B" w:rsidRDefault="0045086B" w:rsidP="0045086B">
            <w:pPr>
              <w:pStyle w:val="TableSideHeading"/>
            </w:pPr>
            <w:r>
              <w:rPr>
                <w:rFonts w:hint="cs"/>
                <w:rtl/>
              </w:rPr>
              <w:t>תפקידי המועצה וסמכויותיה</w:t>
            </w:r>
          </w:p>
        </w:tc>
        <w:tc>
          <w:tcPr>
            <w:tcW w:w="624" w:type="dxa"/>
          </w:tcPr>
          <w:p w14:paraId="11D638C7" w14:textId="77777777" w:rsidR="0045086B" w:rsidRDefault="0045086B" w:rsidP="0045086B">
            <w:pPr>
              <w:pStyle w:val="TableText"/>
            </w:pPr>
            <w:r>
              <w:rPr>
                <w:rFonts w:hint="cs"/>
                <w:rtl/>
              </w:rPr>
              <w:t>6.</w:t>
            </w:r>
          </w:p>
        </w:tc>
        <w:tc>
          <w:tcPr>
            <w:tcW w:w="7146" w:type="dxa"/>
            <w:gridSpan w:val="3"/>
          </w:tcPr>
          <w:p w14:paraId="624CDF31" w14:textId="77777777" w:rsidR="0045086B" w:rsidRPr="003B133D" w:rsidRDefault="0045086B" w:rsidP="0045086B">
            <w:pPr>
              <w:pStyle w:val="TableBlock"/>
              <w:rPr>
                <w:sz w:val="26"/>
                <w:rtl/>
              </w:rPr>
            </w:pPr>
            <w:r>
              <w:rPr>
                <w:rFonts w:hint="cs"/>
                <w:sz w:val="26"/>
                <w:rtl/>
              </w:rPr>
              <w:t>(א)</w:t>
            </w:r>
            <w:r>
              <w:rPr>
                <w:sz w:val="26"/>
                <w:rtl/>
              </w:rPr>
              <w:tab/>
            </w:r>
            <w:r w:rsidRPr="00EA2BEF">
              <w:rPr>
                <w:sz w:val="26"/>
                <w:rtl/>
              </w:rPr>
              <w:t xml:space="preserve">המועצה תפעל לקידום מקצוע ייעוץ המשכנתאות ולקידומם המקצועי של </w:t>
            </w:r>
            <w:r>
              <w:rPr>
                <w:rFonts w:hint="cs"/>
                <w:sz w:val="26"/>
                <w:rtl/>
              </w:rPr>
              <w:t>יועצי המשכנתאות</w:t>
            </w:r>
            <w:r w:rsidRPr="00EA2BEF">
              <w:rPr>
                <w:sz w:val="26"/>
                <w:rtl/>
              </w:rPr>
              <w:t>, ואלה יהיו תפקידיה:</w:t>
            </w:r>
          </w:p>
        </w:tc>
      </w:tr>
      <w:tr w:rsidR="0045086B" w14:paraId="0F68036C" w14:textId="77777777" w:rsidTr="0045086B">
        <w:trPr>
          <w:gridAfter w:val="2"/>
          <w:wAfter w:w="13038" w:type="dxa"/>
          <w:cantSplit/>
        </w:trPr>
        <w:tc>
          <w:tcPr>
            <w:tcW w:w="1870" w:type="dxa"/>
          </w:tcPr>
          <w:p w14:paraId="421DF979" w14:textId="77777777" w:rsidR="0045086B" w:rsidRDefault="0045086B" w:rsidP="0045086B">
            <w:pPr>
              <w:pStyle w:val="TableSideHeading"/>
            </w:pPr>
          </w:p>
        </w:tc>
        <w:tc>
          <w:tcPr>
            <w:tcW w:w="624" w:type="dxa"/>
          </w:tcPr>
          <w:p w14:paraId="12F86C4E" w14:textId="77777777" w:rsidR="0045086B" w:rsidRDefault="0045086B" w:rsidP="0045086B">
            <w:pPr>
              <w:pStyle w:val="TableText"/>
            </w:pPr>
          </w:p>
        </w:tc>
        <w:tc>
          <w:tcPr>
            <w:tcW w:w="624" w:type="dxa"/>
          </w:tcPr>
          <w:p w14:paraId="5F5F9B8A" w14:textId="77777777" w:rsidR="0045086B" w:rsidRDefault="0045086B" w:rsidP="0045086B">
            <w:pPr>
              <w:pStyle w:val="TableText"/>
            </w:pPr>
          </w:p>
        </w:tc>
        <w:tc>
          <w:tcPr>
            <w:tcW w:w="6522" w:type="dxa"/>
            <w:gridSpan w:val="2"/>
          </w:tcPr>
          <w:p w14:paraId="71DEE79A" w14:textId="77777777" w:rsidR="0045086B" w:rsidRDefault="0045086B" w:rsidP="0045086B">
            <w:pPr>
              <w:pStyle w:val="TableBlock"/>
            </w:pPr>
            <w:r>
              <w:rPr>
                <w:rFonts w:hint="cs"/>
                <w:rtl/>
              </w:rPr>
              <w:t>(1)</w:t>
            </w:r>
            <w:r>
              <w:rPr>
                <w:rtl/>
              </w:rPr>
              <w:tab/>
            </w:r>
            <w:r>
              <w:rPr>
                <w:rFonts w:hint="cs"/>
                <w:sz w:val="26"/>
                <w:rtl/>
              </w:rPr>
              <w:t>קיום</w:t>
            </w:r>
            <w:r w:rsidRPr="00EA2BEF">
              <w:rPr>
                <w:sz w:val="26"/>
                <w:rtl/>
              </w:rPr>
              <w:t xml:space="preserve"> בחינות הסמכה</w:t>
            </w:r>
            <w:r>
              <w:rPr>
                <w:rFonts w:hint="cs"/>
                <w:sz w:val="26"/>
                <w:rtl/>
              </w:rPr>
              <w:t>, קביעת</w:t>
            </w:r>
            <w:r w:rsidRPr="00EA2BEF">
              <w:rPr>
                <w:sz w:val="26"/>
                <w:rtl/>
              </w:rPr>
              <w:t xml:space="preserve"> נושא</w:t>
            </w:r>
            <w:r>
              <w:rPr>
                <w:rFonts w:hint="cs"/>
                <w:sz w:val="26"/>
                <w:rtl/>
              </w:rPr>
              <w:t xml:space="preserve">י הבחינות </w:t>
            </w:r>
            <w:r w:rsidRPr="00EA2BEF">
              <w:rPr>
                <w:sz w:val="26"/>
                <w:rtl/>
              </w:rPr>
              <w:t xml:space="preserve">בהתאם לאמור בתוספת </w:t>
            </w:r>
            <w:r>
              <w:rPr>
                <w:rFonts w:hint="cs"/>
                <w:sz w:val="26"/>
                <w:rtl/>
              </w:rPr>
              <w:t>השנייה</w:t>
            </w:r>
            <w:r w:rsidRPr="00EA2BEF">
              <w:rPr>
                <w:sz w:val="26"/>
                <w:rtl/>
              </w:rPr>
              <w:t xml:space="preserve"> ונוהל הכנת שאלוני</w:t>
            </w:r>
            <w:r>
              <w:rPr>
                <w:rFonts w:hint="cs"/>
                <w:sz w:val="26"/>
                <w:rtl/>
              </w:rPr>
              <w:t xml:space="preserve"> הבחינה</w:t>
            </w:r>
            <w:r w:rsidRPr="00EA2BEF">
              <w:rPr>
                <w:sz w:val="26"/>
                <w:rtl/>
              </w:rPr>
              <w:t>;</w:t>
            </w:r>
          </w:p>
        </w:tc>
      </w:tr>
      <w:tr w:rsidR="0045086B" w14:paraId="309BF8DA" w14:textId="77777777" w:rsidTr="0045086B">
        <w:trPr>
          <w:gridAfter w:val="2"/>
          <w:wAfter w:w="13038" w:type="dxa"/>
          <w:cantSplit/>
        </w:trPr>
        <w:tc>
          <w:tcPr>
            <w:tcW w:w="1870" w:type="dxa"/>
          </w:tcPr>
          <w:p w14:paraId="2457FF1B" w14:textId="77777777" w:rsidR="0045086B" w:rsidRDefault="0045086B" w:rsidP="0045086B">
            <w:pPr>
              <w:pStyle w:val="TableSideHeading"/>
            </w:pPr>
          </w:p>
        </w:tc>
        <w:tc>
          <w:tcPr>
            <w:tcW w:w="624" w:type="dxa"/>
          </w:tcPr>
          <w:p w14:paraId="5EE2837A" w14:textId="77777777" w:rsidR="0045086B" w:rsidRDefault="0045086B" w:rsidP="0045086B">
            <w:pPr>
              <w:pStyle w:val="TableText"/>
            </w:pPr>
          </w:p>
        </w:tc>
        <w:tc>
          <w:tcPr>
            <w:tcW w:w="624" w:type="dxa"/>
          </w:tcPr>
          <w:p w14:paraId="32DAC2E7" w14:textId="77777777" w:rsidR="0045086B" w:rsidRDefault="0045086B" w:rsidP="0045086B">
            <w:pPr>
              <w:pStyle w:val="TableText"/>
            </w:pPr>
          </w:p>
        </w:tc>
        <w:tc>
          <w:tcPr>
            <w:tcW w:w="6522" w:type="dxa"/>
            <w:gridSpan w:val="2"/>
          </w:tcPr>
          <w:p w14:paraId="0D73DAC2" w14:textId="77777777" w:rsidR="0045086B" w:rsidRPr="003B133D" w:rsidRDefault="0045086B" w:rsidP="0045086B">
            <w:pPr>
              <w:pStyle w:val="TableBlock"/>
              <w:rPr>
                <w:sz w:val="26"/>
                <w:rtl/>
              </w:rPr>
            </w:pPr>
            <w:r>
              <w:rPr>
                <w:rFonts w:hint="cs"/>
                <w:rtl/>
              </w:rPr>
              <w:t>(2)</w:t>
            </w:r>
            <w:r>
              <w:rPr>
                <w:rtl/>
              </w:rPr>
              <w:tab/>
            </w:r>
            <w:r>
              <w:rPr>
                <w:rFonts w:hint="cs"/>
                <w:sz w:val="26"/>
                <w:rtl/>
              </w:rPr>
              <w:t>ייעוץ</w:t>
            </w:r>
            <w:r w:rsidRPr="00EA2BEF">
              <w:rPr>
                <w:sz w:val="26"/>
                <w:rtl/>
              </w:rPr>
              <w:t xml:space="preserve"> לשר בנושאי חקיקה</w:t>
            </w:r>
            <w:r>
              <w:rPr>
                <w:rFonts w:hint="cs"/>
                <w:sz w:val="26"/>
                <w:rtl/>
              </w:rPr>
              <w:t xml:space="preserve"> הנוגעת לייעוץ משכנתאות</w:t>
            </w:r>
            <w:r w:rsidRPr="00EA2BEF">
              <w:rPr>
                <w:sz w:val="26"/>
                <w:rtl/>
              </w:rPr>
              <w:t xml:space="preserve"> ובכל עניין הנוגע לביצועו של חוק זה;</w:t>
            </w:r>
          </w:p>
        </w:tc>
      </w:tr>
      <w:tr w:rsidR="0045086B" w14:paraId="487AD4C6" w14:textId="77777777" w:rsidTr="0045086B">
        <w:trPr>
          <w:gridAfter w:val="2"/>
          <w:wAfter w:w="13038" w:type="dxa"/>
          <w:cantSplit/>
        </w:trPr>
        <w:tc>
          <w:tcPr>
            <w:tcW w:w="1870" w:type="dxa"/>
          </w:tcPr>
          <w:p w14:paraId="6AA69BC2" w14:textId="77777777" w:rsidR="0045086B" w:rsidRDefault="0045086B" w:rsidP="0045086B">
            <w:pPr>
              <w:pStyle w:val="TableSideHeading"/>
            </w:pPr>
          </w:p>
        </w:tc>
        <w:tc>
          <w:tcPr>
            <w:tcW w:w="624" w:type="dxa"/>
          </w:tcPr>
          <w:p w14:paraId="14B25625" w14:textId="77777777" w:rsidR="0045086B" w:rsidRDefault="0045086B" w:rsidP="0045086B">
            <w:pPr>
              <w:pStyle w:val="TableText"/>
            </w:pPr>
          </w:p>
        </w:tc>
        <w:tc>
          <w:tcPr>
            <w:tcW w:w="624" w:type="dxa"/>
          </w:tcPr>
          <w:p w14:paraId="189F75CD" w14:textId="77777777" w:rsidR="0045086B" w:rsidRDefault="0045086B" w:rsidP="0045086B">
            <w:pPr>
              <w:pStyle w:val="TableText"/>
            </w:pPr>
          </w:p>
        </w:tc>
        <w:tc>
          <w:tcPr>
            <w:tcW w:w="6522" w:type="dxa"/>
            <w:gridSpan w:val="2"/>
          </w:tcPr>
          <w:p w14:paraId="38770154" w14:textId="77777777" w:rsidR="0045086B" w:rsidRDefault="0045086B" w:rsidP="0045086B">
            <w:pPr>
              <w:pStyle w:val="TableBlock"/>
              <w:rPr>
                <w:rtl/>
              </w:rPr>
            </w:pPr>
            <w:r>
              <w:rPr>
                <w:rFonts w:hint="cs"/>
                <w:rtl/>
              </w:rPr>
              <w:t>(3)</w:t>
            </w:r>
            <w:r>
              <w:rPr>
                <w:rtl/>
              </w:rPr>
              <w:tab/>
            </w:r>
            <w:r>
              <w:rPr>
                <w:rFonts w:hint="cs"/>
                <w:sz w:val="26"/>
                <w:rtl/>
              </w:rPr>
              <w:t>קידום תקינה מקצועית</w:t>
            </w:r>
            <w:r w:rsidRPr="00EA2BEF">
              <w:rPr>
                <w:sz w:val="26"/>
                <w:rtl/>
              </w:rPr>
              <w:t xml:space="preserve"> </w:t>
            </w:r>
            <w:r>
              <w:rPr>
                <w:rFonts w:hint="cs"/>
                <w:sz w:val="26"/>
                <w:rtl/>
              </w:rPr>
              <w:t>בנושאים כפי שתקבע</w:t>
            </w:r>
            <w:r w:rsidRPr="00EA2BEF">
              <w:rPr>
                <w:sz w:val="26"/>
                <w:rtl/>
              </w:rPr>
              <w:t>;</w:t>
            </w:r>
          </w:p>
        </w:tc>
      </w:tr>
      <w:tr w:rsidR="0045086B" w14:paraId="5440C623" w14:textId="77777777" w:rsidTr="0045086B">
        <w:trPr>
          <w:gridAfter w:val="2"/>
          <w:wAfter w:w="13038" w:type="dxa"/>
          <w:cantSplit/>
        </w:trPr>
        <w:tc>
          <w:tcPr>
            <w:tcW w:w="1870" w:type="dxa"/>
          </w:tcPr>
          <w:p w14:paraId="2B4180EE" w14:textId="77777777" w:rsidR="0045086B" w:rsidRDefault="0045086B" w:rsidP="0045086B">
            <w:pPr>
              <w:pStyle w:val="TableSideHeading"/>
            </w:pPr>
          </w:p>
        </w:tc>
        <w:tc>
          <w:tcPr>
            <w:tcW w:w="624" w:type="dxa"/>
          </w:tcPr>
          <w:p w14:paraId="0AFBEB81" w14:textId="77777777" w:rsidR="0045086B" w:rsidRDefault="0045086B" w:rsidP="0045086B">
            <w:pPr>
              <w:pStyle w:val="TableText"/>
            </w:pPr>
          </w:p>
        </w:tc>
        <w:tc>
          <w:tcPr>
            <w:tcW w:w="624" w:type="dxa"/>
          </w:tcPr>
          <w:p w14:paraId="7D865A73" w14:textId="77777777" w:rsidR="0045086B" w:rsidRDefault="0045086B" w:rsidP="0045086B">
            <w:pPr>
              <w:pStyle w:val="TableText"/>
            </w:pPr>
          </w:p>
        </w:tc>
        <w:tc>
          <w:tcPr>
            <w:tcW w:w="6522" w:type="dxa"/>
            <w:gridSpan w:val="2"/>
          </w:tcPr>
          <w:p w14:paraId="2648DC86" w14:textId="77777777" w:rsidR="0045086B" w:rsidRDefault="0045086B" w:rsidP="0045086B">
            <w:pPr>
              <w:pStyle w:val="TableBlock"/>
              <w:rPr>
                <w:rtl/>
              </w:rPr>
            </w:pPr>
            <w:r>
              <w:rPr>
                <w:rFonts w:hint="cs"/>
                <w:rtl/>
              </w:rPr>
              <w:t>(4)</w:t>
            </w:r>
            <w:r>
              <w:rPr>
                <w:rtl/>
              </w:rPr>
              <w:tab/>
            </w:r>
            <w:r>
              <w:rPr>
                <w:rFonts w:hint="cs"/>
                <w:sz w:val="26"/>
                <w:rtl/>
              </w:rPr>
              <w:t>מילוי תפקידים אחרים ככל שיוטלו עליה לפי הוראות חוק זה.</w:t>
            </w:r>
          </w:p>
        </w:tc>
      </w:tr>
      <w:tr w:rsidR="0045086B" w14:paraId="016D63EB" w14:textId="77777777" w:rsidTr="0045086B">
        <w:trPr>
          <w:gridAfter w:val="2"/>
          <w:wAfter w:w="13038" w:type="dxa"/>
          <w:cantSplit/>
        </w:trPr>
        <w:tc>
          <w:tcPr>
            <w:tcW w:w="1870" w:type="dxa"/>
          </w:tcPr>
          <w:p w14:paraId="53FE152A" w14:textId="77777777" w:rsidR="0045086B" w:rsidRDefault="0045086B" w:rsidP="0045086B">
            <w:pPr>
              <w:pStyle w:val="TableSideHeading"/>
            </w:pPr>
          </w:p>
        </w:tc>
        <w:tc>
          <w:tcPr>
            <w:tcW w:w="624" w:type="dxa"/>
          </w:tcPr>
          <w:p w14:paraId="557ECE0A" w14:textId="77777777" w:rsidR="0045086B" w:rsidRDefault="0045086B" w:rsidP="0045086B">
            <w:pPr>
              <w:pStyle w:val="TableText"/>
            </w:pPr>
          </w:p>
        </w:tc>
        <w:tc>
          <w:tcPr>
            <w:tcW w:w="7146" w:type="dxa"/>
            <w:gridSpan w:val="3"/>
          </w:tcPr>
          <w:p w14:paraId="7CB3310B" w14:textId="77777777" w:rsidR="0045086B" w:rsidRDefault="0045086B" w:rsidP="0045086B">
            <w:pPr>
              <w:pStyle w:val="TableBlock"/>
              <w:rPr>
                <w:rtl/>
              </w:rPr>
            </w:pPr>
            <w:r>
              <w:rPr>
                <w:rFonts w:hint="cs"/>
                <w:rtl/>
              </w:rPr>
              <w:t>(ב)</w:t>
            </w:r>
            <w:r>
              <w:rPr>
                <w:rtl/>
              </w:rPr>
              <w:tab/>
            </w:r>
            <w:r w:rsidRPr="00EA2BEF">
              <w:rPr>
                <w:sz w:val="26"/>
                <w:rtl/>
              </w:rPr>
              <w:t>המועצה תמנה ועדות משנה בנושאים שתראה לנכון, ובפרט שתמנה ועדת פיקוח וערר</w:t>
            </w:r>
            <w:r>
              <w:rPr>
                <w:rFonts w:hint="cs"/>
                <w:sz w:val="26"/>
                <w:rtl/>
              </w:rPr>
              <w:t>.</w:t>
            </w:r>
          </w:p>
        </w:tc>
      </w:tr>
      <w:tr w:rsidR="0045086B" w14:paraId="58C15D79" w14:textId="77777777" w:rsidTr="0045086B">
        <w:trPr>
          <w:gridAfter w:val="2"/>
          <w:wAfter w:w="13038" w:type="dxa"/>
          <w:cantSplit/>
        </w:trPr>
        <w:tc>
          <w:tcPr>
            <w:tcW w:w="1870" w:type="dxa"/>
          </w:tcPr>
          <w:p w14:paraId="5C9ED7A8" w14:textId="77777777" w:rsidR="0045086B" w:rsidRPr="00BD55C1" w:rsidRDefault="0045086B" w:rsidP="0045086B">
            <w:pPr>
              <w:pStyle w:val="TableBlock"/>
              <w:tabs>
                <w:tab w:val="clear" w:pos="624"/>
                <w:tab w:val="clear" w:pos="1247"/>
              </w:tabs>
            </w:pPr>
            <w:r>
              <w:rPr>
                <w:rFonts w:hint="cs"/>
                <w:rtl/>
              </w:rPr>
              <w:t>סדרי דין במועצה</w:t>
            </w:r>
          </w:p>
        </w:tc>
        <w:tc>
          <w:tcPr>
            <w:tcW w:w="624" w:type="dxa"/>
          </w:tcPr>
          <w:p w14:paraId="54C42518" w14:textId="77777777" w:rsidR="0045086B" w:rsidRDefault="0045086B" w:rsidP="0045086B">
            <w:pPr>
              <w:pStyle w:val="TableText"/>
            </w:pPr>
            <w:r>
              <w:rPr>
                <w:rFonts w:hint="cs"/>
                <w:rtl/>
              </w:rPr>
              <w:t>7.</w:t>
            </w:r>
          </w:p>
        </w:tc>
        <w:tc>
          <w:tcPr>
            <w:tcW w:w="7146" w:type="dxa"/>
            <w:gridSpan w:val="3"/>
          </w:tcPr>
          <w:p w14:paraId="03CFDF97" w14:textId="77777777" w:rsidR="0045086B" w:rsidRDefault="0045086B" w:rsidP="0045086B">
            <w:pPr>
              <w:pStyle w:val="TableBlock"/>
              <w:rPr>
                <w:rtl/>
              </w:rPr>
            </w:pPr>
            <w:r>
              <w:rPr>
                <w:rtl/>
              </w:rPr>
              <w:t xml:space="preserve">המועצה תקבע את סדרי עבודתה ואת סדר דיוניה, אלא אם כן </w:t>
            </w:r>
            <w:r>
              <w:rPr>
                <w:rFonts w:hint="cs"/>
                <w:rtl/>
              </w:rPr>
              <w:t>נקבעו לפי חוק זה</w:t>
            </w:r>
            <w:r>
              <w:rPr>
                <w:rtl/>
              </w:rPr>
              <w:t>.</w:t>
            </w:r>
          </w:p>
        </w:tc>
      </w:tr>
      <w:tr w:rsidR="0045086B" w14:paraId="0CF4CA5A" w14:textId="77777777" w:rsidTr="0045086B">
        <w:trPr>
          <w:gridAfter w:val="2"/>
          <w:wAfter w:w="13038" w:type="dxa"/>
          <w:cantSplit/>
        </w:trPr>
        <w:tc>
          <w:tcPr>
            <w:tcW w:w="1870" w:type="dxa"/>
          </w:tcPr>
          <w:p w14:paraId="0D2BDEF3" w14:textId="77777777" w:rsidR="0045086B" w:rsidRDefault="0045086B" w:rsidP="0045086B">
            <w:pPr>
              <w:pStyle w:val="TableBlock"/>
              <w:tabs>
                <w:tab w:val="clear" w:pos="624"/>
                <w:tab w:val="clear" w:pos="1247"/>
              </w:tabs>
              <w:rPr>
                <w:rtl/>
              </w:rPr>
            </w:pPr>
            <w:r>
              <w:rPr>
                <w:rFonts w:hint="cs"/>
                <w:rtl/>
              </w:rPr>
              <w:t>סייגים למינוי</w:t>
            </w:r>
          </w:p>
        </w:tc>
        <w:tc>
          <w:tcPr>
            <w:tcW w:w="624" w:type="dxa"/>
          </w:tcPr>
          <w:p w14:paraId="6714CAA5" w14:textId="77777777" w:rsidR="0045086B" w:rsidRDefault="0045086B" w:rsidP="0045086B">
            <w:pPr>
              <w:pStyle w:val="TableText"/>
              <w:rPr>
                <w:rtl/>
              </w:rPr>
            </w:pPr>
            <w:r>
              <w:rPr>
                <w:rFonts w:hint="cs"/>
                <w:rtl/>
              </w:rPr>
              <w:t xml:space="preserve">8. </w:t>
            </w:r>
          </w:p>
        </w:tc>
        <w:tc>
          <w:tcPr>
            <w:tcW w:w="7146" w:type="dxa"/>
            <w:gridSpan w:val="3"/>
          </w:tcPr>
          <w:p w14:paraId="23AF08E4" w14:textId="77777777" w:rsidR="0045086B" w:rsidRDefault="0045086B" w:rsidP="0045086B">
            <w:pPr>
              <w:pStyle w:val="TableBlock"/>
              <w:rPr>
                <w:rtl/>
              </w:rPr>
            </w:pPr>
            <w:r>
              <w:rPr>
                <w:rFonts w:hint="cs"/>
                <w:rtl/>
              </w:rPr>
              <w:t>לא ימונה לחבר מועצה מי שהורשע בעבירה פלילית שמפאת מהותה, חומרתה או נסיבותיה אין הוא ראוי לכהן כחבר המועצה או מי שהוגש נגדו כתב אישום בעבירה כאמור וטרם ניתן פסק דין סופי בעניינו.</w:t>
            </w:r>
          </w:p>
        </w:tc>
      </w:tr>
      <w:tr w:rsidR="0045086B" w14:paraId="56A10474" w14:textId="77777777" w:rsidTr="0045086B">
        <w:trPr>
          <w:gridAfter w:val="2"/>
          <w:wAfter w:w="13038" w:type="dxa"/>
          <w:cantSplit/>
        </w:trPr>
        <w:tc>
          <w:tcPr>
            <w:tcW w:w="1870" w:type="dxa"/>
          </w:tcPr>
          <w:p w14:paraId="2603A907" w14:textId="77777777" w:rsidR="0045086B" w:rsidRDefault="0045086B" w:rsidP="0045086B">
            <w:pPr>
              <w:pStyle w:val="TableBlock"/>
              <w:tabs>
                <w:tab w:val="clear" w:pos="624"/>
                <w:tab w:val="clear" w:pos="1247"/>
              </w:tabs>
              <w:rPr>
                <w:rtl/>
              </w:rPr>
            </w:pPr>
            <w:r>
              <w:rPr>
                <w:rFonts w:hint="cs"/>
                <w:rtl/>
              </w:rPr>
              <w:t>הפסקת כהונה</w:t>
            </w:r>
          </w:p>
        </w:tc>
        <w:tc>
          <w:tcPr>
            <w:tcW w:w="624" w:type="dxa"/>
          </w:tcPr>
          <w:p w14:paraId="75782C35" w14:textId="77777777" w:rsidR="0045086B" w:rsidRDefault="0045086B" w:rsidP="0045086B">
            <w:pPr>
              <w:pStyle w:val="TableText"/>
              <w:rPr>
                <w:rtl/>
              </w:rPr>
            </w:pPr>
            <w:r>
              <w:rPr>
                <w:rFonts w:hint="cs"/>
                <w:rtl/>
              </w:rPr>
              <w:t>9.</w:t>
            </w:r>
          </w:p>
        </w:tc>
        <w:tc>
          <w:tcPr>
            <w:tcW w:w="7146" w:type="dxa"/>
            <w:gridSpan w:val="3"/>
          </w:tcPr>
          <w:p w14:paraId="1E44F613" w14:textId="77777777" w:rsidR="0045086B" w:rsidRPr="00576A74" w:rsidRDefault="0045086B" w:rsidP="0045086B">
            <w:pPr>
              <w:pStyle w:val="TableBlock"/>
              <w:tabs>
                <w:tab w:val="clear" w:pos="1247"/>
              </w:tabs>
              <w:rPr>
                <w:rtl/>
              </w:rPr>
            </w:pPr>
            <w:r>
              <w:rPr>
                <w:rFonts w:hint="cs"/>
                <w:rtl/>
              </w:rPr>
              <w:t>(א)</w:t>
            </w:r>
            <w:r>
              <w:rPr>
                <w:rtl/>
              </w:rPr>
              <w:tab/>
            </w:r>
            <w:r>
              <w:rPr>
                <w:rFonts w:hint="cs"/>
                <w:rtl/>
              </w:rPr>
              <w:t>חבר המועצה יחדל לכהן לפני תום תקופת כהונתו בהתקיים אחד מאלה:</w:t>
            </w:r>
          </w:p>
        </w:tc>
      </w:tr>
      <w:tr w:rsidR="0045086B" w14:paraId="04AB8A24" w14:textId="77777777" w:rsidTr="0045086B">
        <w:trPr>
          <w:gridAfter w:val="2"/>
          <w:wAfter w:w="13038" w:type="dxa"/>
          <w:cantSplit/>
          <w:trHeight w:val="60"/>
        </w:trPr>
        <w:tc>
          <w:tcPr>
            <w:tcW w:w="1870" w:type="dxa"/>
          </w:tcPr>
          <w:p w14:paraId="7A34AFE7" w14:textId="77777777" w:rsidR="0045086B" w:rsidRDefault="0045086B" w:rsidP="0045086B">
            <w:pPr>
              <w:pStyle w:val="TableSideHeading"/>
            </w:pPr>
          </w:p>
        </w:tc>
        <w:tc>
          <w:tcPr>
            <w:tcW w:w="624" w:type="dxa"/>
          </w:tcPr>
          <w:p w14:paraId="524D21FC" w14:textId="77777777" w:rsidR="0045086B" w:rsidRDefault="0045086B" w:rsidP="0045086B">
            <w:pPr>
              <w:pStyle w:val="TableText"/>
            </w:pPr>
          </w:p>
        </w:tc>
        <w:tc>
          <w:tcPr>
            <w:tcW w:w="624" w:type="dxa"/>
          </w:tcPr>
          <w:p w14:paraId="741D9E21" w14:textId="77777777" w:rsidR="0045086B" w:rsidRDefault="0045086B" w:rsidP="0045086B">
            <w:pPr>
              <w:pStyle w:val="TableText"/>
              <w:tabs>
                <w:tab w:val="clear" w:pos="624"/>
              </w:tabs>
              <w:jc w:val="both"/>
            </w:pPr>
          </w:p>
        </w:tc>
        <w:tc>
          <w:tcPr>
            <w:tcW w:w="6522" w:type="dxa"/>
            <w:gridSpan w:val="2"/>
          </w:tcPr>
          <w:p w14:paraId="2F48532C" w14:textId="2AC37548" w:rsidR="0045086B" w:rsidRPr="003F3DB4" w:rsidRDefault="0045086B" w:rsidP="0045086B">
            <w:pPr>
              <w:pStyle w:val="TableBlock"/>
            </w:pPr>
            <w:r>
              <w:rPr>
                <w:rFonts w:hint="cs"/>
                <w:rtl/>
              </w:rPr>
              <w:t>(1)</w:t>
            </w:r>
            <w:r>
              <w:rPr>
                <w:rtl/>
              </w:rPr>
              <w:tab/>
            </w:r>
            <w:r w:rsidRPr="003F3DB4">
              <w:rPr>
                <w:rFonts w:hint="cs"/>
                <w:rtl/>
              </w:rPr>
              <w:t>הוא התפטר במסירת כתב התפטרות לשר וליושב ראש המועצה;</w:t>
            </w:r>
          </w:p>
        </w:tc>
      </w:tr>
      <w:tr w:rsidR="0045086B" w14:paraId="38922AAF" w14:textId="77777777" w:rsidTr="0045086B">
        <w:trPr>
          <w:gridAfter w:val="2"/>
          <w:wAfter w:w="13038" w:type="dxa"/>
          <w:cantSplit/>
          <w:trHeight w:val="60"/>
        </w:trPr>
        <w:tc>
          <w:tcPr>
            <w:tcW w:w="1870" w:type="dxa"/>
          </w:tcPr>
          <w:p w14:paraId="43DF41AC" w14:textId="77777777" w:rsidR="0045086B" w:rsidRDefault="0045086B" w:rsidP="0045086B">
            <w:pPr>
              <w:pStyle w:val="TableSideHeading"/>
            </w:pPr>
          </w:p>
        </w:tc>
        <w:tc>
          <w:tcPr>
            <w:tcW w:w="624" w:type="dxa"/>
          </w:tcPr>
          <w:p w14:paraId="66E73EF8" w14:textId="77777777" w:rsidR="0045086B" w:rsidRDefault="0045086B" w:rsidP="0045086B">
            <w:pPr>
              <w:pStyle w:val="TableText"/>
            </w:pPr>
          </w:p>
        </w:tc>
        <w:tc>
          <w:tcPr>
            <w:tcW w:w="624" w:type="dxa"/>
          </w:tcPr>
          <w:p w14:paraId="5067A7FA" w14:textId="77777777" w:rsidR="0045086B" w:rsidRDefault="0045086B" w:rsidP="0045086B">
            <w:pPr>
              <w:pStyle w:val="TableText"/>
              <w:tabs>
                <w:tab w:val="clear" w:pos="624"/>
              </w:tabs>
              <w:jc w:val="both"/>
            </w:pPr>
          </w:p>
        </w:tc>
        <w:tc>
          <w:tcPr>
            <w:tcW w:w="6522" w:type="dxa"/>
            <w:gridSpan w:val="2"/>
          </w:tcPr>
          <w:p w14:paraId="33A413A3" w14:textId="35BC4C7A" w:rsidR="0045086B" w:rsidRPr="003F3DB4" w:rsidRDefault="0045086B" w:rsidP="0045086B">
            <w:pPr>
              <w:pStyle w:val="TableBlock"/>
              <w:rPr>
                <w:rtl/>
              </w:rPr>
            </w:pPr>
            <w:r>
              <w:rPr>
                <w:rFonts w:hint="cs"/>
                <w:rtl/>
              </w:rPr>
              <w:t>(2)</w:t>
            </w:r>
            <w:r>
              <w:rPr>
                <w:rtl/>
              </w:rPr>
              <w:tab/>
            </w:r>
            <w:r w:rsidRPr="003F3DB4">
              <w:rPr>
                <w:rFonts w:hint="cs"/>
                <w:rtl/>
              </w:rPr>
              <w:t xml:space="preserve">חדל להתקיים בו תנאי למינויו לפי סעיף 5(א), ולגבי נציג ציבור </w:t>
            </w:r>
            <w:r w:rsidRPr="003F3DB4">
              <w:rPr>
                <w:rFonts w:hint="eastAsia"/>
                <w:rtl/>
              </w:rPr>
              <w:t>–</w:t>
            </w:r>
            <w:r w:rsidRPr="003F3DB4">
              <w:rPr>
                <w:rFonts w:hint="cs"/>
                <w:rtl/>
              </w:rPr>
              <w:t xml:space="preserve"> אם התמנה להיות עובד המדינה;</w:t>
            </w:r>
          </w:p>
        </w:tc>
      </w:tr>
      <w:tr w:rsidR="0045086B" w14:paraId="380FFD0C" w14:textId="77777777" w:rsidTr="0045086B">
        <w:trPr>
          <w:gridAfter w:val="2"/>
          <w:wAfter w:w="13038" w:type="dxa"/>
          <w:cantSplit/>
          <w:trHeight w:val="60"/>
        </w:trPr>
        <w:tc>
          <w:tcPr>
            <w:tcW w:w="1870" w:type="dxa"/>
          </w:tcPr>
          <w:p w14:paraId="5A7C4693" w14:textId="77777777" w:rsidR="0045086B" w:rsidRDefault="0045086B" w:rsidP="0045086B">
            <w:pPr>
              <w:pStyle w:val="TableSideHeading"/>
            </w:pPr>
          </w:p>
        </w:tc>
        <w:tc>
          <w:tcPr>
            <w:tcW w:w="624" w:type="dxa"/>
          </w:tcPr>
          <w:p w14:paraId="6CAC6EC9" w14:textId="77777777" w:rsidR="0045086B" w:rsidRDefault="0045086B" w:rsidP="0045086B">
            <w:pPr>
              <w:pStyle w:val="TableText"/>
            </w:pPr>
          </w:p>
        </w:tc>
        <w:tc>
          <w:tcPr>
            <w:tcW w:w="624" w:type="dxa"/>
          </w:tcPr>
          <w:p w14:paraId="2E22F8C0" w14:textId="77777777" w:rsidR="0045086B" w:rsidRDefault="0045086B" w:rsidP="0045086B">
            <w:pPr>
              <w:pStyle w:val="TableText"/>
              <w:tabs>
                <w:tab w:val="clear" w:pos="624"/>
              </w:tabs>
              <w:jc w:val="both"/>
            </w:pPr>
          </w:p>
        </w:tc>
        <w:tc>
          <w:tcPr>
            <w:tcW w:w="6522" w:type="dxa"/>
            <w:gridSpan w:val="2"/>
          </w:tcPr>
          <w:p w14:paraId="0EADAE9A" w14:textId="07C72E47" w:rsidR="0045086B" w:rsidRPr="003F3DB4" w:rsidRDefault="0045086B" w:rsidP="0045086B">
            <w:pPr>
              <w:pStyle w:val="TableBlock"/>
              <w:rPr>
                <w:rtl/>
              </w:rPr>
            </w:pPr>
            <w:r>
              <w:rPr>
                <w:rFonts w:hint="cs"/>
                <w:rtl/>
              </w:rPr>
              <w:t>(3)</w:t>
            </w:r>
            <w:r>
              <w:rPr>
                <w:rtl/>
              </w:rPr>
              <w:tab/>
            </w:r>
            <w:r w:rsidRPr="003F3DB4">
              <w:rPr>
                <w:rFonts w:hint="cs"/>
                <w:rtl/>
              </w:rPr>
              <w:t>השר העבירו מכהונתו בהודעה בכתב בשל אחד מאלה:</w:t>
            </w:r>
          </w:p>
        </w:tc>
      </w:tr>
      <w:tr w:rsidR="0045086B" w14:paraId="74FEC704" w14:textId="77777777" w:rsidTr="0045086B">
        <w:trPr>
          <w:gridAfter w:val="2"/>
          <w:wAfter w:w="13038" w:type="dxa"/>
          <w:cantSplit/>
          <w:trHeight w:val="60"/>
        </w:trPr>
        <w:tc>
          <w:tcPr>
            <w:tcW w:w="1870" w:type="dxa"/>
          </w:tcPr>
          <w:p w14:paraId="586B8A8D" w14:textId="77777777" w:rsidR="0045086B" w:rsidRDefault="0045086B" w:rsidP="0045086B">
            <w:pPr>
              <w:pStyle w:val="TableSideHeading"/>
            </w:pPr>
          </w:p>
        </w:tc>
        <w:tc>
          <w:tcPr>
            <w:tcW w:w="624" w:type="dxa"/>
          </w:tcPr>
          <w:p w14:paraId="30AF3138" w14:textId="77777777" w:rsidR="0045086B" w:rsidRDefault="0045086B" w:rsidP="0045086B">
            <w:pPr>
              <w:pStyle w:val="TableText"/>
            </w:pPr>
          </w:p>
        </w:tc>
        <w:tc>
          <w:tcPr>
            <w:tcW w:w="624" w:type="dxa"/>
          </w:tcPr>
          <w:p w14:paraId="4BFFFDB2" w14:textId="77777777" w:rsidR="0045086B" w:rsidRDefault="0045086B" w:rsidP="0045086B">
            <w:pPr>
              <w:pStyle w:val="TableText"/>
            </w:pPr>
          </w:p>
        </w:tc>
        <w:tc>
          <w:tcPr>
            <w:tcW w:w="624" w:type="dxa"/>
          </w:tcPr>
          <w:p w14:paraId="36B47307" w14:textId="77777777" w:rsidR="0045086B" w:rsidRDefault="0045086B" w:rsidP="0045086B">
            <w:pPr>
              <w:pStyle w:val="TableText"/>
            </w:pPr>
          </w:p>
        </w:tc>
        <w:tc>
          <w:tcPr>
            <w:tcW w:w="5898" w:type="dxa"/>
          </w:tcPr>
          <w:p w14:paraId="43AD9375" w14:textId="0577D8A4" w:rsidR="0045086B" w:rsidRPr="003F3DB4" w:rsidRDefault="0045086B" w:rsidP="0045086B">
            <w:pPr>
              <w:pStyle w:val="TableBlock"/>
            </w:pPr>
            <w:r>
              <w:rPr>
                <w:rFonts w:hint="cs"/>
                <w:rtl/>
              </w:rPr>
              <w:t>(א)</w:t>
            </w:r>
            <w:r>
              <w:rPr>
                <w:rtl/>
              </w:rPr>
              <w:tab/>
            </w:r>
            <w:r w:rsidRPr="003F3DB4">
              <w:rPr>
                <w:rFonts w:hint="cs"/>
                <w:rtl/>
              </w:rPr>
              <w:t>הוא הורשע בעבירה כאמור בסעיף 8, או הוגש נגדו כתב אישום בשל עבירה כאמור;</w:t>
            </w:r>
          </w:p>
        </w:tc>
      </w:tr>
      <w:tr w:rsidR="0045086B" w14:paraId="796E149F" w14:textId="77777777" w:rsidTr="0045086B">
        <w:trPr>
          <w:gridAfter w:val="2"/>
          <w:wAfter w:w="13038" w:type="dxa"/>
          <w:cantSplit/>
          <w:trHeight w:val="60"/>
        </w:trPr>
        <w:tc>
          <w:tcPr>
            <w:tcW w:w="1870" w:type="dxa"/>
          </w:tcPr>
          <w:p w14:paraId="6D25EAA6" w14:textId="77777777" w:rsidR="0045086B" w:rsidRDefault="0045086B" w:rsidP="0045086B">
            <w:pPr>
              <w:pStyle w:val="TableSideHeading"/>
            </w:pPr>
          </w:p>
        </w:tc>
        <w:tc>
          <w:tcPr>
            <w:tcW w:w="624" w:type="dxa"/>
          </w:tcPr>
          <w:p w14:paraId="62A7C86E" w14:textId="77777777" w:rsidR="0045086B" w:rsidRDefault="0045086B" w:rsidP="0045086B">
            <w:pPr>
              <w:pStyle w:val="TableText"/>
            </w:pPr>
          </w:p>
        </w:tc>
        <w:tc>
          <w:tcPr>
            <w:tcW w:w="624" w:type="dxa"/>
          </w:tcPr>
          <w:p w14:paraId="59C113FA" w14:textId="77777777" w:rsidR="0045086B" w:rsidRDefault="0045086B" w:rsidP="0045086B">
            <w:pPr>
              <w:pStyle w:val="TableText"/>
            </w:pPr>
          </w:p>
        </w:tc>
        <w:tc>
          <w:tcPr>
            <w:tcW w:w="624" w:type="dxa"/>
          </w:tcPr>
          <w:p w14:paraId="5F284CDD" w14:textId="77777777" w:rsidR="0045086B" w:rsidRDefault="0045086B" w:rsidP="0045086B">
            <w:pPr>
              <w:pStyle w:val="TableText"/>
            </w:pPr>
          </w:p>
        </w:tc>
        <w:tc>
          <w:tcPr>
            <w:tcW w:w="5898" w:type="dxa"/>
          </w:tcPr>
          <w:p w14:paraId="28199B78" w14:textId="4C54B291" w:rsidR="0045086B" w:rsidRPr="003F3DB4" w:rsidRDefault="0045086B" w:rsidP="0045086B">
            <w:pPr>
              <w:pStyle w:val="TableBlock"/>
              <w:rPr>
                <w:rtl/>
              </w:rPr>
            </w:pPr>
            <w:r>
              <w:rPr>
                <w:rFonts w:hint="cs"/>
                <w:rtl/>
              </w:rPr>
              <w:t>(ב)</w:t>
            </w:r>
            <w:r>
              <w:rPr>
                <w:rtl/>
              </w:rPr>
              <w:tab/>
            </w:r>
            <w:r w:rsidRPr="003F3DB4">
              <w:rPr>
                <w:rFonts w:hint="cs"/>
                <w:rtl/>
              </w:rPr>
              <w:t>נבצר ממנו דרך קבע למלא את תפקידו;</w:t>
            </w:r>
          </w:p>
        </w:tc>
      </w:tr>
      <w:tr w:rsidR="0045086B" w14:paraId="57ED11A5" w14:textId="77777777" w:rsidTr="0045086B">
        <w:trPr>
          <w:gridAfter w:val="2"/>
          <w:wAfter w:w="13038" w:type="dxa"/>
          <w:cantSplit/>
          <w:trHeight w:val="516"/>
        </w:trPr>
        <w:tc>
          <w:tcPr>
            <w:tcW w:w="1870" w:type="dxa"/>
          </w:tcPr>
          <w:p w14:paraId="0F1A034A" w14:textId="77777777" w:rsidR="0045086B" w:rsidRDefault="0045086B" w:rsidP="0045086B">
            <w:pPr>
              <w:pStyle w:val="TableSideHeading"/>
            </w:pPr>
          </w:p>
        </w:tc>
        <w:tc>
          <w:tcPr>
            <w:tcW w:w="624" w:type="dxa"/>
          </w:tcPr>
          <w:p w14:paraId="73FCD42B" w14:textId="77777777" w:rsidR="0045086B" w:rsidRDefault="0045086B" w:rsidP="0045086B">
            <w:pPr>
              <w:pStyle w:val="TableText"/>
            </w:pPr>
          </w:p>
        </w:tc>
        <w:tc>
          <w:tcPr>
            <w:tcW w:w="624" w:type="dxa"/>
          </w:tcPr>
          <w:p w14:paraId="45646EDB" w14:textId="77777777" w:rsidR="0045086B" w:rsidRDefault="0045086B" w:rsidP="0045086B">
            <w:pPr>
              <w:pStyle w:val="TableText"/>
            </w:pPr>
          </w:p>
        </w:tc>
        <w:tc>
          <w:tcPr>
            <w:tcW w:w="624" w:type="dxa"/>
          </w:tcPr>
          <w:p w14:paraId="38FD9D81" w14:textId="77777777" w:rsidR="0045086B" w:rsidRDefault="0045086B" w:rsidP="0045086B">
            <w:pPr>
              <w:pStyle w:val="TableText"/>
            </w:pPr>
          </w:p>
        </w:tc>
        <w:tc>
          <w:tcPr>
            <w:tcW w:w="5898" w:type="dxa"/>
          </w:tcPr>
          <w:p w14:paraId="74901E73" w14:textId="3D1720F8" w:rsidR="0045086B" w:rsidRPr="003F3DB4" w:rsidRDefault="0045086B" w:rsidP="006B04E9">
            <w:pPr>
              <w:pStyle w:val="TableBlock"/>
              <w:rPr>
                <w:rtl/>
              </w:rPr>
            </w:pPr>
            <w:r>
              <w:rPr>
                <w:rFonts w:hint="cs"/>
                <w:rtl/>
              </w:rPr>
              <w:t>(ג)</w:t>
            </w:r>
            <w:r>
              <w:rPr>
                <w:rtl/>
              </w:rPr>
              <w:tab/>
            </w:r>
            <w:r w:rsidRPr="003F3DB4">
              <w:rPr>
                <w:rFonts w:hint="cs"/>
                <w:rtl/>
              </w:rPr>
              <w:t>התקיים בו הסייג האמור בסעיף 1</w:t>
            </w:r>
            <w:r w:rsidR="006B04E9">
              <w:rPr>
                <w:rFonts w:hint="cs"/>
                <w:rtl/>
              </w:rPr>
              <w:t>1</w:t>
            </w:r>
            <w:r w:rsidRPr="003F3DB4">
              <w:rPr>
                <w:rFonts w:hint="cs"/>
                <w:rtl/>
              </w:rPr>
              <w:t>;</w:t>
            </w:r>
          </w:p>
        </w:tc>
      </w:tr>
      <w:tr w:rsidR="0045086B" w14:paraId="11B8EB12" w14:textId="77777777" w:rsidTr="0045086B">
        <w:trPr>
          <w:gridAfter w:val="2"/>
          <w:wAfter w:w="13038" w:type="dxa"/>
          <w:cantSplit/>
          <w:trHeight w:val="60"/>
        </w:trPr>
        <w:tc>
          <w:tcPr>
            <w:tcW w:w="1870" w:type="dxa"/>
          </w:tcPr>
          <w:p w14:paraId="3CCAC820" w14:textId="77777777" w:rsidR="0045086B" w:rsidRDefault="0045086B" w:rsidP="0045086B">
            <w:pPr>
              <w:pStyle w:val="TableSideHeading"/>
            </w:pPr>
          </w:p>
        </w:tc>
        <w:tc>
          <w:tcPr>
            <w:tcW w:w="624" w:type="dxa"/>
          </w:tcPr>
          <w:p w14:paraId="4A6C3DA7" w14:textId="77777777" w:rsidR="0045086B" w:rsidRDefault="0045086B" w:rsidP="0045086B">
            <w:pPr>
              <w:pStyle w:val="TableText"/>
            </w:pPr>
          </w:p>
        </w:tc>
        <w:tc>
          <w:tcPr>
            <w:tcW w:w="624" w:type="dxa"/>
          </w:tcPr>
          <w:p w14:paraId="35861B31" w14:textId="77777777" w:rsidR="0045086B" w:rsidRDefault="0045086B" w:rsidP="0045086B">
            <w:pPr>
              <w:pStyle w:val="TableText"/>
            </w:pPr>
          </w:p>
        </w:tc>
        <w:tc>
          <w:tcPr>
            <w:tcW w:w="624" w:type="dxa"/>
          </w:tcPr>
          <w:p w14:paraId="74CDF360" w14:textId="77777777" w:rsidR="0045086B" w:rsidRDefault="0045086B" w:rsidP="0045086B">
            <w:pPr>
              <w:pStyle w:val="TableText"/>
            </w:pPr>
          </w:p>
        </w:tc>
        <w:tc>
          <w:tcPr>
            <w:tcW w:w="5898" w:type="dxa"/>
          </w:tcPr>
          <w:p w14:paraId="1BFE9C25" w14:textId="79C6B83A" w:rsidR="0045086B" w:rsidRPr="003F3DB4" w:rsidRDefault="0045086B" w:rsidP="0045086B">
            <w:pPr>
              <w:pStyle w:val="TableBlock"/>
              <w:rPr>
                <w:rtl/>
              </w:rPr>
            </w:pPr>
            <w:r>
              <w:rPr>
                <w:rFonts w:hint="cs"/>
                <w:rtl/>
              </w:rPr>
              <w:t>(ד)</w:t>
            </w:r>
            <w:r>
              <w:rPr>
                <w:rtl/>
              </w:rPr>
              <w:tab/>
            </w:r>
            <w:r w:rsidRPr="003F3DB4">
              <w:rPr>
                <w:rFonts w:hint="cs"/>
                <w:rtl/>
              </w:rPr>
              <w:t>הוא נעדר בלא סיבה מוצדקת מארבע ישיבות רצופות של המועצה או מיותר משלוש ישיבות שקיימה המועצה בשנה אחת;</w:t>
            </w:r>
          </w:p>
        </w:tc>
      </w:tr>
      <w:tr w:rsidR="0045086B" w14:paraId="5D942398" w14:textId="77777777" w:rsidTr="0045086B">
        <w:trPr>
          <w:gridAfter w:val="2"/>
          <w:wAfter w:w="13038" w:type="dxa"/>
          <w:cantSplit/>
          <w:trHeight w:val="944"/>
        </w:trPr>
        <w:tc>
          <w:tcPr>
            <w:tcW w:w="1870" w:type="dxa"/>
          </w:tcPr>
          <w:p w14:paraId="7E1ECAC8" w14:textId="77777777" w:rsidR="0045086B" w:rsidRDefault="0045086B" w:rsidP="0045086B">
            <w:pPr>
              <w:pStyle w:val="TableSideHeading"/>
            </w:pPr>
          </w:p>
        </w:tc>
        <w:tc>
          <w:tcPr>
            <w:tcW w:w="624" w:type="dxa"/>
          </w:tcPr>
          <w:p w14:paraId="7E56522A" w14:textId="77777777" w:rsidR="0045086B" w:rsidRDefault="0045086B" w:rsidP="0045086B">
            <w:pPr>
              <w:pStyle w:val="TableText"/>
            </w:pPr>
          </w:p>
        </w:tc>
        <w:tc>
          <w:tcPr>
            <w:tcW w:w="624" w:type="dxa"/>
          </w:tcPr>
          <w:p w14:paraId="509B0AAB" w14:textId="77777777" w:rsidR="0045086B" w:rsidRDefault="0045086B" w:rsidP="0045086B">
            <w:pPr>
              <w:pStyle w:val="TableText"/>
            </w:pPr>
          </w:p>
        </w:tc>
        <w:tc>
          <w:tcPr>
            <w:tcW w:w="624" w:type="dxa"/>
          </w:tcPr>
          <w:p w14:paraId="66F5343C" w14:textId="77777777" w:rsidR="0045086B" w:rsidRDefault="0045086B" w:rsidP="0045086B">
            <w:pPr>
              <w:pStyle w:val="TableText"/>
            </w:pPr>
          </w:p>
        </w:tc>
        <w:tc>
          <w:tcPr>
            <w:tcW w:w="5898" w:type="dxa"/>
          </w:tcPr>
          <w:p w14:paraId="67E1D423" w14:textId="3B839417" w:rsidR="0045086B" w:rsidRPr="003F3DB4" w:rsidRDefault="0045086B" w:rsidP="0045086B">
            <w:pPr>
              <w:pStyle w:val="TableBlock"/>
              <w:rPr>
                <w:rtl/>
              </w:rPr>
            </w:pPr>
            <w:r>
              <w:rPr>
                <w:rFonts w:hint="cs"/>
                <w:rtl/>
              </w:rPr>
              <w:t>(ה)</w:t>
            </w:r>
            <w:r>
              <w:rPr>
                <w:rtl/>
              </w:rPr>
              <w:tab/>
            </w:r>
            <w:r w:rsidRPr="003F3DB4">
              <w:rPr>
                <w:rFonts w:hint="cs"/>
                <w:rtl/>
              </w:rPr>
              <w:t xml:space="preserve">התקיימה בו אחת הנסיבות הפוסלות אדם מהיות חבר המועצה. </w:t>
            </w:r>
          </w:p>
        </w:tc>
      </w:tr>
      <w:tr w:rsidR="0045086B" w14:paraId="50833DAC" w14:textId="77777777" w:rsidTr="0045086B">
        <w:trPr>
          <w:gridAfter w:val="2"/>
          <w:wAfter w:w="13038" w:type="dxa"/>
          <w:cantSplit/>
          <w:trHeight w:val="60"/>
        </w:trPr>
        <w:tc>
          <w:tcPr>
            <w:tcW w:w="1870" w:type="dxa"/>
          </w:tcPr>
          <w:p w14:paraId="1726791B" w14:textId="77777777" w:rsidR="0045086B" w:rsidRDefault="0045086B" w:rsidP="0045086B">
            <w:pPr>
              <w:pStyle w:val="TableSideHeading"/>
            </w:pPr>
          </w:p>
        </w:tc>
        <w:tc>
          <w:tcPr>
            <w:tcW w:w="624" w:type="dxa"/>
          </w:tcPr>
          <w:p w14:paraId="3A00B017" w14:textId="77777777" w:rsidR="0045086B" w:rsidRDefault="0045086B" w:rsidP="0045086B">
            <w:pPr>
              <w:pStyle w:val="TableText"/>
            </w:pPr>
          </w:p>
        </w:tc>
        <w:tc>
          <w:tcPr>
            <w:tcW w:w="624" w:type="dxa"/>
          </w:tcPr>
          <w:p w14:paraId="47702D6F" w14:textId="77777777" w:rsidR="0045086B" w:rsidRDefault="0045086B" w:rsidP="0045086B">
            <w:pPr>
              <w:pStyle w:val="TableText"/>
            </w:pPr>
          </w:p>
        </w:tc>
        <w:tc>
          <w:tcPr>
            <w:tcW w:w="6522" w:type="dxa"/>
            <w:gridSpan w:val="2"/>
          </w:tcPr>
          <w:p w14:paraId="358BD550" w14:textId="77777777" w:rsidR="0045086B" w:rsidRDefault="0045086B" w:rsidP="0045086B">
            <w:pPr>
              <w:pStyle w:val="TableBlock"/>
            </w:pPr>
            <w:r>
              <w:rPr>
                <w:rFonts w:hint="cs"/>
                <w:rtl/>
              </w:rPr>
              <w:t>(ב)</w:t>
            </w:r>
            <w:r>
              <w:rPr>
                <w:rtl/>
              </w:rPr>
              <w:tab/>
            </w:r>
            <w:r>
              <w:rPr>
                <w:rFonts w:hint="cs"/>
                <w:rtl/>
              </w:rPr>
              <w:t xml:space="preserve">התפטר חבר המועצה או חדל מסיבה אחרת לכהן כחבר המועצה לפני תום תקופת כהונתו, יפעל השר בהקדם האפשרי למינוי חבר אחר במקומו, באותה דרך שבה התמנה אותו חבר לפי סעיף 5, ליתרת תקופת כהונתו. </w:t>
            </w:r>
          </w:p>
        </w:tc>
      </w:tr>
      <w:tr w:rsidR="0045086B" w14:paraId="3DB3AAB3" w14:textId="77777777" w:rsidTr="0045086B">
        <w:trPr>
          <w:gridAfter w:val="2"/>
          <w:wAfter w:w="13038" w:type="dxa"/>
          <w:cantSplit/>
        </w:trPr>
        <w:tc>
          <w:tcPr>
            <w:tcW w:w="1870" w:type="dxa"/>
          </w:tcPr>
          <w:p w14:paraId="55E1C0A1" w14:textId="77777777" w:rsidR="0045086B" w:rsidRDefault="0045086B" w:rsidP="0045086B">
            <w:pPr>
              <w:pStyle w:val="TableSideHeading"/>
              <w:rPr>
                <w:rtl/>
              </w:rPr>
            </w:pPr>
            <w:r>
              <w:rPr>
                <w:rFonts w:hint="cs"/>
                <w:rtl/>
              </w:rPr>
              <w:t>תוקף פעולות</w:t>
            </w:r>
          </w:p>
        </w:tc>
        <w:tc>
          <w:tcPr>
            <w:tcW w:w="624" w:type="dxa"/>
          </w:tcPr>
          <w:p w14:paraId="50A7D5D3" w14:textId="0636F0ED" w:rsidR="0045086B" w:rsidRDefault="0045086B" w:rsidP="0045086B">
            <w:pPr>
              <w:pStyle w:val="TableText"/>
              <w:rPr>
                <w:rtl/>
              </w:rPr>
            </w:pPr>
            <w:r>
              <w:rPr>
                <w:rFonts w:hint="cs"/>
                <w:rtl/>
              </w:rPr>
              <w:t>10.</w:t>
            </w:r>
          </w:p>
        </w:tc>
        <w:tc>
          <w:tcPr>
            <w:tcW w:w="7146" w:type="dxa"/>
            <w:gridSpan w:val="3"/>
          </w:tcPr>
          <w:p w14:paraId="51C2EAB9" w14:textId="77777777" w:rsidR="0045086B" w:rsidRPr="003B133D" w:rsidRDefault="0045086B" w:rsidP="0045086B">
            <w:pPr>
              <w:pStyle w:val="TableBlock"/>
              <w:rPr>
                <w:sz w:val="26"/>
                <w:rtl/>
              </w:rPr>
            </w:pPr>
            <w:r w:rsidRPr="00EA2BEF">
              <w:rPr>
                <w:sz w:val="26"/>
                <w:rtl/>
              </w:rPr>
              <w:t xml:space="preserve">קיום המועצה, סמכויותיה ותוקף החלטותיה לא ייפגעו מחמת שהתפנה מקומו של חבר מחברי המועצה או מחמת ליקוי במינויו או בהמשך כהונתו, ובלבד שמספר חברי המועצה לא פחת </w:t>
            </w:r>
            <w:r>
              <w:rPr>
                <w:rFonts w:hint="cs"/>
                <w:sz w:val="26"/>
                <w:rtl/>
              </w:rPr>
              <w:t>מחמישה</w:t>
            </w:r>
            <w:r w:rsidRPr="00EA2BEF">
              <w:rPr>
                <w:sz w:val="26"/>
                <w:rtl/>
              </w:rPr>
              <w:t>.</w:t>
            </w:r>
          </w:p>
        </w:tc>
      </w:tr>
      <w:tr w:rsidR="0045086B" w14:paraId="03FBF323" w14:textId="77777777" w:rsidTr="0045086B">
        <w:trPr>
          <w:gridAfter w:val="2"/>
          <w:wAfter w:w="13038" w:type="dxa"/>
          <w:cantSplit/>
          <w:trHeight w:val="60"/>
        </w:trPr>
        <w:tc>
          <w:tcPr>
            <w:tcW w:w="1870" w:type="dxa"/>
          </w:tcPr>
          <w:p w14:paraId="30A879A8" w14:textId="77777777" w:rsidR="0045086B" w:rsidRDefault="0045086B" w:rsidP="0045086B">
            <w:pPr>
              <w:pStyle w:val="TableSideHeading"/>
            </w:pPr>
            <w:r>
              <w:rPr>
                <w:rFonts w:hint="cs"/>
                <w:rtl/>
              </w:rPr>
              <w:t>ניגוד עניינים</w:t>
            </w:r>
          </w:p>
        </w:tc>
        <w:tc>
          <w:tcPr>
            <w:tcW w:w="624" w:type="dxa"/>
          </w:tcPr>
          <w:p w14:paraId="4A4FF9B2" w14:textId="654A60B5" w:rsidR="0045086B" w:rsidRDefault="0045086B" w:rsidP="0045086B">
            <w:pPr>
              <w:pStyle w:val="TableText"/>
            </w:pPr>
            <w:r>
              <w:rPr>
                <w:rFonts w:hint="cs"/>
                <w:rtl/>
              </w:rPr>
              <w:t>11.</w:t>
            </w:r>
          </w:p>
        </w:tc>
        <w:tc>
          <w:tcPr>
            <w:tcW w:w="7146" w:type="dxa"/>
            <w:gridSpan w:val="3"/>
          </w:tcPr>
          <w:p w14:paraId="792B0F6E" w14:textId="77777777" w:rsidR="0045086B" w:rsidRPr="00C34DE2" w:rsidRDefault="0045086B" w:rsidP="0045086B">
            <w:pPr>
              <w:pStyle w:val="TableBlock"/>
            </w:pPr>
            <w:r>
              <w:rPr>
                <w:rFonts w:hint="cs"/>
                <w:rtl/>
              </w:rPr>
              <w:t>(א)</w:t>
            </w:r>
            <w:r>
              <w:rPr>
                <w:rtl/>
              </w:rPr>
              <w:tab/>
            </w:r>
            <w:r>
              <w:rPr>
                <w:rFonts w:hint="cs"/>
                <w:rtl/>
              </w:rPr>
              <w:t xml:space="preserve">לא יתמנה ולא יכהן כחבר מועצה מי שעלול להימצא, במישרין או בעקיפין, באופן תדיר, במצב של ניגוד עניינים בין תפקידו כחבר המועצה לבין עניין אישי שלו או של קרובו לבין תפקיד אחר שלו, בין בתמורה ובין שלא בתמורה. </w:t>
            </w:r>
          </w:p>
        </w:tc>
      </w:tr>
      <w:tr w:rsidR="0045086B" w14:paraId="07CECC4A" w14:textId="77777777" w:rsidTr="0045086B">
        <w:trPr>
          <w:gridAfter w:val="2"/>
          <w:wAfter w:w="13038" w:type="dxa"/>
          <w:cantSplit/>
          <w:trHeight w:val="60"/>
        </w:trPr>
        <w:tc>
          <w:tcPr>
            <w:tcW w:w="1870" w:type="dxa"/>
          </w:tcPr>
          <w:p w14:paraId="73AB4913" w14:textId="77777777" w:rsidR="0045086B" w:rsidRDefault="0045086B" w:rsidP="0045086B">
            <w:pPr>
              <w:pStyle w:val="TableSideHeading"/>
              <w:rPr>
                <w:rtl/>
              </w:rPr>
            </w:pPr>
          </w:p>
        </w:tc>
        <w:tc>
          <w:tcPr>
            <w:tcW w:w="624" w:type="dxa"/>
          </w:tcPr>
          <w:p w14:paraId="0D1F430F" w14:textId="77777777" w:rsidR="0045086B" w:rsidRDefault="0045086B" w:rsidP="0045086B">
            <w:pPr>
              <w:pStyle w:val="TableText"/>
            </w:pPr>
          </w:p>
        </w:tc>
        <w:tc>
          <w:tcPr>
            <w:tcW w:w="7146" w:type="dxa"/>
            <w:gridSpan w:val="3"/>
          </w:tcPr>
          <w:p w14:paraId="035C5252" w14:textId="77777777" w:rsidR="0045086B" w:rsidRDefault="0045086B" w:rsidP="0045086B">
            <w:pPr>
              <w:pStyle w:val="TableBlock"/>
              <w:rPr>
                <w:rtl/>
              </w:rPr>
            </w:pPr>
            <w:r>
              <w:rPr>
                <w:rFonts w:hint="cs"/>
                <w:rtl/>
              </w:rPr>
              <w:t>(ב)</w:t>
            </w:r>
            <w:r>
              <w:rPr>
                <w:rtl/>
              </w:rPr>
              <w:tab/>
            </w:r>
            <w:r>
              <w:rPr>
                <w:rFonts w:hint="cs"/>
                <w:rtl/>
              </w:rPr>
              <w:t>חבר מועצה יימנע מהשתתפות בדיון ובהצבעה בישיבות המועצה, אם הנושא הנדון עלול לגרום לו להימצא, במישרין או בעקיפין, במצב של ניגוד עניינים בין תפקידו כחבר המועצה לבין עניין אישי שלו או של קרובו או לבין תפקיד אחר שלו, בין בתמורה ובין שלא בתמורה; חבר המועצה לא יטפל במסגרת תפקידו במועצה בנושא כאמור גם מחוץ לישיבות המועצה.</w:t>
            </w:r>
          </w:p>
        </w:tc>
      </w:tr>
      <w:tr w:rsidR="0045086B" w14:paraId="58E9B703" w14:textId="77777777" w:rsidTr="0045086B">
        <w:trPr>
          <w:gridAfter w:val="2"/>
          <w:wAfter w:w="13038" w:type="dxa"/>
          <w:cantSplit/>
          <w:trHeight w:val="60"/>
        </w:trPr>
        <w:tc>
          <w:tcPr>
            <w:tcW w:w="1870" w:type="dxa"/>
          </w:tcPr>
          <w:p w14:paraId="237FE4B6" w14:textId="77777777" w:rsidR="0045086B" w:rsidRDefault="0045086B" w:rsidP="0045086B">
            <w:pPr>
              <w:pStyle w:val="TableSideHeading"/>
              <w:rPr>
                <w:rtl/>
              </w:rPr>
            </w:pPr>
          </w:p>
        </w:tc>
        <w:tc>
          <w:tcPr>
            <w:tcW w:w="624" w:type="dxa"/>
          </w:tcPr>
          <w:p w14:paraId="7C75EBEF" w14:textId="77777777" w:rsidR="0045086B" w:rsidRDefault="0045086B" w:rsidP="0045086B">
            <w:pPr>
              <w:pStyle w:val="TableText"/>
            </w:pPr>
          </w:p>
        </w:tc>
        <w:tc>
          <w:tcPr>
            <w:tcW w:w="7146" w:type="dxa"/>
            <w:gridSpan w:val="3"/>
          </w:tcPr>
          <w:p w14:paraId="52E93D83" w14:textId="77777777" w:rsidR="0045086B" w:rsidRDefault="0045086B" w:rsidP="0045086B">
            <w:pPr>
              <w:pStyle w:val="TableBlock"/>
              <w:rPr>
                <w:rtl/>
              </w:rPr>
            </w:pPr>
            <w:r>
              <w:rPr>
                <w:rFonts w:hint="cs"/>
                <w:rtl/>
              </w:rPr>
              <w:t>(ג)</w:t>
            </w:r>
            <w:r>
              <w:rPr>
                <w:rtl/>
              </w:rPr>
              <w:tab/>
            </w:r>
            <w:r>
              <w:rPr>
                <w:rFonts w:hint="cs"/>
                <w:rtl/>
              </w:rPr>
              <w:t xml:space="preserve">התברר לחבר מועצה כי הנושא הנדון עלול לגרום לו להימצא במצב של ניגוד עניינים כאמור בסעיף קטן (א) או (ב), יודיע על כך ליושב ראש המועצה. </w:t>
            </w:r>
          </w:p>
        </w:tc>
      </w:tr>
      <w:tr w:rsidR="0045086B" w14:paraId="38CC7204" w14:textId="77777777" w:rsidTr="0045086B">
        <w:trPr>
          <w:gridAfter w:val="2"/>
          <w:wAfter w:w="13038" w:type="dxa"/>
          <w:cantSplit/>
          <w:trHeight w:val="60"/>
        </w:trPr>
        <w:tc>
          <w:tcPr>
            <w:tcW w:w="1870" w:type="dxa"/>
          </w:tcPr>
          <w:p w14:paraId="191EC190" w14:textId="77777777" w:rsidR="0045086B" w:rsidRDefault="0045086B" w:rsidP="0045086B">
            <w:pPr>
              <w:pStyle w:val="TableSideHeading"/>
              <w:rPr>
                <w:rtl/>
              </w:rPr>
            </w:pPr>
          </w:p>
        </w:tc>
        <w:tc>
          <w:tcPr>
            <w:tcW w:w="624" w:type="dxa"/>
          </w:tcPr>
          <w:p w14:paraId="4BF47220" w14:textId="77777777" w:rsidR="0045086B" w:rsidRDefault="0045086B" w:rsidP="0045086B">
            <w:pPr>
              <w:pStyle w:val="TableText"/>
            </w:pPr>
          </w:p>
        </w:tc>
        <w:tc>
          <w:tcPr>
            <w:tcW w:w="7146" w:type="dxa"/>
            <w:gridSpan w:val="3"/>
          </w:tcPr>
          <w:p w14:paraId="7BCB1408" w14:textId="77777777" w:rsidR="0045086B" w:rsidRDefault="0045086B" w:rsidP="0045086B">
            <w:pPr>
              <w:pStyle w:val="TableBlock"/>
              <w:rPr>
                <w:rtl/>
              </w:rPr>
            </w:pPr>
            <w:r>
              <w:rPr>
                <w:rFonts w:hint="cs"/>
                <w:rtl/>
              </w:rPr>
              <w:t>(ד)</w:t>
            </w:r>
            <w:r>
              <w:rPr>
                <w:rtl/>
              </w:rPr>
              <w:tab/>
            </w:r>
            <w:r>
              <w:rPr>
                <w:rFonts w:hint="cs"/>
                <w:rtl/>
              </w:rPr>
              <w:t xml:space="preserve">בסעיף זה, "עניין אישי" </w:t>
            </w:r>
            <w:r>
              <w:rPr>
                <w:rFonts w:hint="eastAsia"/>
                <w:rtl/>
              </w:rPr>
              <w:t>–</w:t>
            </w:r>
            <w:r>
              <w:rPr>
                <w:rFonts w:hint="cs"/>
                <w:rtl/>
              </w:rPr>
              <w:t xml:space="preserve"> לרבות עניין אישי של קרובו או עניין אישי של גוף שחבר המועצה או קרובו מנהלים או עובדים אחראים בו, או עניין של גוף שיש להם בו חלק מהון המניות, בזכות לקבל רווחים, בזכות למנות מנהל או בזכות ההצבעה.</w:t>
            </w:r>
          </w:p>
        </w:tc>
      </w:tr>
      <w:tr w:rsidR="0045086B" w14:paraId="1540EBAC" w14:textId="77777777" w:rsidTr="0045086B">
        <w:trPr>
          <w:gridAfter w:val="2"/>
          <w:wAfter w:w="13038" w:type="dxa"/>
          <w:cantSplit/>
          <w:trHeight w:val="60"/>
        </w:trPr>
        <w:tc>
          <w:tcPr>
            <w:tcW w:w="1870" w:type="dxa"/>
          </w:tcPr>
          <w:p w14:paraId="163EC7B7" w14:textId="77777777" w:rsidR="0045086B" w:rsidRDefault="0045086B" w:rsidP="0045086B">
            <w:pPr>
              <w:pStyle w:val="TableSideHeading"/>
            </w:pPr>
            <w:r>
              <w:rPr>
                <w:rFonts w:hint="cs"/>
                <w:rtl/>
              </w:rPr>
              <w:t>החלת דינים</w:t>
            </w:r>
          </w:p>
        </w:tc>
        <w:tc>
          <w:tcPr>
            <w:tcW w:w="624" w:type="dxa"/>
          </w:tcPr>
          <w:p w14:paraId="01807D2B" w14:textId="1C20477E" w:rsidR="0045086B" w:rsidRDefault="0045086B" w:rsidP="0045086B">
            <w:pPr>
              <w:pStyle w:val="TableText"/>
            </w:pPr>
            <w:r>
              <w:rPr>
                <w:rFonts w:hint="cs"/>
                <w:rtl/>
              </w:rPr>
              <w:t>12.</w:t>
            </w:r>
          </w:p>
        </w:tc>
        <w:tc>
          <w:tcPr>
            <w:tcW w:w="7146" w:type="dxa"/>
            <w:gridSpan w:val="3"/>
          </w:tcPr>
          <w:p w14:paraId="394E8B40" w14:textId="77777777" w:rsidR="0045086B" w:rsidRPr="00C34DE2" w:rsidRDefault="0045086B" w:rsidP="0045086B">
            <w:pPr>
              <w:pStyle w:val="TableBlock"/>
            </w:pPr>
            <w:r>
              <w:rPr>
                <w:rFonts w:hint="cs"/>
                <w:rtl/>
              </w:rPr>
              <w:t>חברי המועצה שאינם עובדי המדינה, דינם כדין עובדי המדינה לעניין חיקוקים אלה:</w:t>
            </w:r>
          </w:p>
        </w:tc>
      </w:tr>
      <w:tr w:rsidR="0045086B" w14:paraId="7642D429" w14:textId="77777777" w:rsidTr="0045086B">
        <w:trPr>
          <w:gridAfter w:val="2"/>
          <w:wAfter w:w="13038" w:type="dxa"/>
          <w:cantSplit/>
          <w:trHeight w:val="613"/>
        </w:trPr>
        <w:tc>
          <w:tcPr>
            <w:tcW w:w="1870" w:type="dxa"/>
          </w:tcPr>
          <w:p w14:paraId="769DE71E" w14:textId="77777777" w:rsidR="0045086B" w:rsidRDefault="0045086B" w:rsidP="0045086B">
            <w:pPr>
              <w:pStyle w:val="TableSideHeading"/>
            </w:pPr>
          </w:p>
        </w:tc>
        <w:tc>
          <w:tcPr>
            <w:tcW w:w="624" w:type="dxa"/>
          </w:tcPr>
          <w:p w14:paraId="22B86E99" w14:textId="77777777" w:rsidR="0045086B" w:rsidRDefault="0045086B" w:rsidP="0045086B">
            <w:pPr>
              <w:pStyle w:val="TableText"/>
            </w:pPr>
          </w:p>
        </w:tc>
        <w:tc>
          <w:tcPr>
            <w:tcW w:w="7146" w:type="dxa"/>
            <w:gridSpan w:val="3"/>
          </w:tcPr>
          <w:p w14:paraId="42DEBE99" w14:textId="77777777" w:rsidR="0045086B" w:rsidRDefault="0045086B" w:rsidP="0045086B">
            <w:pPr>
              <w:pStyle w:val="TableBlock"/>
            </w:pPr>
            <w:r>
              <w:rPr>
                <w:rFonts w:hint="cs"/>
                <w:rtl/>
              </w:rPr>
              <w:t>(1)</w:t>
            </w:r>
            <w:r>
              <w:rPr>
                <w:rtl/>
              </w:rPr>
              <w:tab/>
            </w:r>
            <w:r>
              <w:rPr>
                <w:rFonts w:hint="cs"/>
                <w:rtl/>
              </w:rPr>
              <w:t>חוק שירות הציבור (מתנות), התש"ם</w:t>
            </w:r>
            <w:r>
              <w:rPr>
                <w:rFonts w:hint="eastAsia"/>
                <w:rtl/>
              </w:rPr>
              <w:t>–</w:t>
            </w:r>
            <w:r w:rsidRPr="004E4E18">
              <w:rPr>
                <w:rtl/>
              </w:rPr>
              <w:t>1979</w:t>
            </w:r>
            <w:r w:rsidRPr="00021B51">
              <w:rPr>
                <w:rStyle w:val="a5"/>
                <w:rtl/>
              </w:rPr>
              <w:footnoteReference w:id="4"/>
            </w:r>
            <w:r w:rsidRPr="004E4E18">
              <w:rPr>
                <w:rtl/>
              </w:rPr>
              <w:t>;</w:t>
            </w:r>
          </w:p>
        </w:tc>
      </w:tr>
      <w:tr w:rsidR="0045086B" w14:paraId="55B16175" w14:textId="77777777" w:rsidTr="0045086B">
        <w:trPr>
          <w:gridAfter w:val="2"/>
          <w:wAfter w:w="13038" w:type="dxa"/>
          <w:cantSplit/>
          <w:trHeight w:val="60"/>
        </w:trPr>
        <w:tc>
          <w:tcPr>
            <w:tcW w:w="1870" w:type="dxa"/>
          </w:tcPr>
          <w:p w14:paraId="7CD22E43" w14:textId="77777777" w:rsidR="0045086B" w:rsidRDefault="0045086B" w:rsidP="0045086B">
            <w:pPr>
              <w:pStyle w:val="TableSideHeading"/>
            </w:pPr>
          </w:p>
        </w:tc>
        <w:tc>
          <w:tcPr>
            <w:tcW w:w="624" w:type="dxa"/>
          </w:tcPr>
          <w:p w14:paraId="2645CCD5" w14:textId="77777777" w:rsidR="0045086B" w:rsidRDefault="0045086B" w:rsidP="0045086B">
            <w:pPr>
              <w:pStyle w:val="TableText"/>
            </w:pPr>
          </w:p>
        </w:tc>
        <w:tc>
          <w:tcPr>
            <w:tcW w:w="7146" w:type="dxa"/>
            <w:gridSpan w:val="3"/>
          </w:tcPr>
          <w:p w14:paraId="65930EF3" w14:textId="6F8ACAC5" w:rsidR="0045086B" w:rsidRDefault="0045086B" w:rsidP="00F06918">
            <w:pPr>
              <w:pStyle w:val="TableBlock"/>
              <w:rPr>
                <w:rtl/>
              </w:rPr>
            </w:pPr>
            <w:r>
              <w:rPr>
                <w:rFonts w:hint="cs"/>
                <w:rtl/>
              </w:rPr>
              <w:t>(2)</w:t>
            </w:r>
            <w:r>
              <w:rPr>
                <w:rtl/>
              </w:rPr>
              <w:tab/>
            </w:r>
            <w:r>
              <w:rPr>
                <w:rFonts w:hint="cs"/>
                <w:rtl/>
              </w:rPr>
              <w:t>חוק העונשין</w:t>
            </w:r>
            <w:r w:rsidR="00F06918">
              <w:rPr>
                <w:rFonts w:hint="cs"/>
                <w:sz w:val="26"/>
                <w:rtl/>
              </w:rPr>
              <w:t xml:space="preserve">, </w:t>
            </w:r>
            <w:r>
              <w:rPr>
                <w:rFonts w:hint="cs"/>
                <w:sz w:val="26"/>
                <w:rtl/>
              </w:rPr>
              <w:t>התשל"ז–</w:t>
            </w:r>
            <w:r w:rsidRPr="00B80B0F">
              <w:rPr>
                <w:sz w:val="26"/>
                <w:rtl/>
              </w:rPr>
              <w:t>1977</w:t>
            </w:r>
            <w:r w:rsidRPr="00B80B0F">
              <w:rPr>
                <w:rStyle w:val="a5"/>
                <w:sz w:val="26"/>
                <w:rtl/>
              </w:rPr>
              <w:footnoteReference w:id="5"/>
            </w:r>
            <w:r>
              <w:rPr>
                <w:rFonts w:hint="cs"/>
                <w:rtl/>
              </w:rPr>
              <w:t>, לעניין ההוראות הנוגעות לעובדי הציבור;</w:t>
            </w:r>
          </w:p>
        </w:tc>
      </w:tr>
      <w:tr w:rsidR="0045086B" w14:paraId="0644079E" w14:textId="77777777" w:rsidTr="0045086B">
        <w:trPr>
          <w:gridAfter w:val="2"/>
          <w:wAfter w:w="13038" w:type="dxa"/>
          <w:cantSplit/>
          <w:trHeight w:val="60"/>
        </w:trPr>
        <w:tc>
          <w:tcPr>
            <w:tcW w:w="1870" w:type="dxa"/>
          </w:tcPr>
          <w:p w14:paraId="10F4B5E6" w14:textId="77777777" w:rsidR="0045086B" w:rsidRDefault="0045086B" w:rsidP="0045086B">
            <w:pPr>
              <w:pStyle w:val="TableSideHeading"/>
            </w:pPr>
          </w:p>
        </w:tc>
        <w:tc>
          <w:tcPr>
            <w:tcW w:w="624" w:type="dxa"/>
          </w:tcPr>
          <w:p w14:paraId="16F2FDB7" w14:textId="77777777" w:rsidR="0045086B" w:rsidRDefault="0045086B" w:rsidP="0045086B">
            <w:pPr>
              <w:pStyle w:val="TableText"/>
            </w:pPr>
          </w:p>
        </w:tc>
        <w:tc>
          <w:tcPr>
            <w:tcW w:w="7146" w:type="dxa"/>
            <w:gridSpan w:val="3"/>
          </w:tcPr>
          <w:p w14:paraId="1DB3655B" w14:textId="0CA6F98C" w:rsidR="0045086B" w:rsidRDefault="0045086B" w:rsidP="00B55E9E">
            <w:pPr>
              <w:pStyle w:val="TableBlock"/>
              <w:rPr>
                <w:rtl/>
              </w:rPr>
            </w:pPr>
            <w:r>
              <w:rPr>
                <w:rFonts w:hint="cs"/>
                <w:rtl/>
              </w:rPr>
              <w:t>(3)</w:t>
            </w:r>
            <w:r>
              <w:rPr>
                <w:rtl/>
              </w:rPr>
              <w:tab/>
            </w:r>
            <w:r>
              <w:rPr>
                <w:rFonts w:hint="cs"/>
                <w:rtl/>
              </w:rPr>
              <w:t xml:space="preserve">חוק שירות הציבור (הגבלות לאחר פרישה), </w:t>
            </w:r>
            <w:r w:rsidRPr="00B80B0F">
              <w:rPr>
                <w:rFonts w:hint="cs"/>
                <w:rtl/>
              </w:rPr>
              <w:t>התשכ"ט</w:t>
            </w:r>
            <w:r w:rsidRPr="00B80B0F">
              <w:rPr>
                <w:rFonts w:hint="eastAsia"/>
                <w:rtl/>
              </w:rPr>
              <w:t>–</w:t>
            </w:r>
            <w:r w:rsidRPr="00B80B0F">
              <w:rPr>
                <w:rtl/>
              </w:rPr>
              <w:t>1969</w:t>
            </w:r>
            <w:r w:rsidRPr="00B80B0F">
              <w:rPr>
                <w:rStyle w:val="a5"/>
                <w:rtl/>
              </w:rPr>
              <w:footnoteReference w:id="6"/>
            </w:r>
            <w:r w:rsidRPr="00B80B0F">
              <w:rPr>
                <w:rtl/>
              </w:rPr>
              <w:t>,</w:t>
            </w:r>
            <w:r>
              <w:rPr>
                <w:rFonts w:hint="cs"/>
                <w:rtl/>
              </w:rPr>
              <w:t xml:space="preserve"> לאחר תום תקופת כהונתם במועצה</w:t>
            </w:r>
            <w:r w:rsidR="00B55E9E">
              <w:rPr>
                <w:rFonts w:hint="cs"/>
                <w:rtl/>
              </w:rPr>
              <w:t>.</w:t>
            </w:r>
          </w:p>
        </w:tc>
      </w:tr>
      <w:tr w:rsidR="0045086B" w14:paraId="25AE7A09" w14:textId="77777777" w:rsidTr="0045086B">
        <w:trPr>
          <w:gridAfter w:val="2"/>
          <w:wAfter w:w="13038" w:type="dxa"/>
          <w:cantSplit/>
          <w:trHeight w:val="516"/>
        </w:trPr>
        <w:tc>
          <w:tcPr>
            <w:tcW w:w="1870" w:type="dxa"/>
          </w:tcPr>
          <w:p w14:paraId="7AE4DB50" w14:textId="77777777" w:rsidR="0045086B" w:rsidRDefault="0045086B" w:rsidP="0045086B">
            <w:pPr>
              <w:pStyle w:val="TableSideHeading"/>
              <w:rPr>
                <w:rtl/>
              </w:rPr>
            </w:pPr>
          </w:p>
        </w:tc>
        <w:tc>
          <w:tcPr>
            <w:tcW w:w="624" w:type="dxa"/>
          </w:tcPr>
          <w:p w14:paraId="38BE7EA1" w14:textId="77777777" w:rsidR="0045086B" w:rsidRDefault="0045086B" w:rsidP="0045086B">
            <w:pPr>
              <w:pStyle w:val="TableText"/>
              <w:rPr>
                <w:rtl/>
              </w:rPr>
            </w:pPr>
          </w:p>
        </w:tc>
        <w:tc>
          <w:tcPr>
            <w:tcW w:w="7146" w:type="dxa"/>
            <w:gridSpan w:val="3"/>
          </w:tcPr>
          <w:p w14:paraId="7F0CB5FC" w14:textId="77777777" w:rsidR="0045086B" w:rsidRPr="003B133D" w:rsidRDefault="0045086B" w:rsidP="0045086B">
            <w:pPr>
              <w:pStyle w:val="TableHead"/>
              <w:rPr>
                <w:rtl/>
              </w:rPr>
            </w:pPr>
            <w:r w:rsidRPr="00AB1183">
              <w:rPr>
                <w:rFonts w:hint="cs"/>
                <w:rtl/>
              </w:rPr>
              <w:t xml:space="preserve">פרק </w:t>
            </w:r>
            <w:r>
              <w:rPr>
                <w:rFonts w:hint="cs"/>
                <w:rtl/>
              </w:rPr>
              <w:t>ד'</w:t>
            </w:r>
            <w:r w:rsidRPr="00AB1183">
              <w:rPr>
                <w:rFonts w:hint="cs"/>
                <w:rtl/>
              </w:rPr>
              <w:t>: הרישום בפנקס</w:t>
            </w:r>
          </w:p>
        </w:tc>
      </w:tr>
      <w:tr w:rsidR="0045086B" w14:paraId="5F5FA1C1" w14:textId="77777777" w:rsidTr="0045086B">
        <w:trPr>
          <w:gridAfter w:val="2"/>
          <w:wAfter w:w="13038" w:type="dxa"/>
          <w:cantSplit/>
        </w:trPr>
        <w:tc>
          <w:tcPr>
            <w:tcW w:w="1870" w:type="dxa"/>
          </w:tcPr>
          <w:p w14:paraId="318C7DEB" w14:textId="77777777" w:rsidR="0045086B" w:rsidRDefault="0045086B" w:rsidP="0045086B">
            <w:pPr>
              <w:pStyle w:val="TableSideHeading"/>
              <w:rPr>
                <w:rtl/>
              </w:rPr>
            </w:pPr>
            <w:r>
              <w:rPr>
                <w:rFonts w:hint="cs"/>
                <w:rtl/>
              </w:rPr>
              <w:t>מינוי רשם יועצי המשכנתאות</w:t>
            </w:r>
          </w:p>
        </w:tc>
        <w:tc>
          <w:tcPr>
            <w:tcW w:w="624" w:type="dxa"/>
          </w:tcPr>
          <w:p w14:paraId="75C76142" w14:textId="224F992F" w:rsidR="0045086B" w:rsidRDefault="0045086B" w:rsidP="0045086B">
            <w:pPr>
              <w:pStyle w:val="TableText"/>
              <w:rPr>
                <w:rtl/>
              </w:rPr>
            </w:pPr>
            <w:r>
              <w:rPr>
                <w:rFonts w:hint="cs"/>
                <w:rtl/>
              </w:rPr>
              <w:t>13.</w:t>
            </w:r>
          </w:p>
        </w:tc>
        <w:tc>
          <w:tcPr>
            <w:tcW w:w="7146" w:type="dxa"/>
            <w:gridSpan w:val="3"/>
          </w:tcPr>
          <w:p w14:paraId="7CEB065A" w14:textId="77777777" w:rsidR="0045086B" w:rsidRPr="003B133D" w:rsidRDefault="0045086B" w:rsidP="0045086B">
            <w:pPr>
              <w:pStyle w:val="TableBlock"/>
              <w:rPr>
                <w:sz w:val="26"/>
                <w:rtl/>
              </w:rPr>
            </w:pPr>
            <w:r>
              <w:rPr>
                <w:rFonts w:hint="cs"/>
                <w:sz w:val="26"/>
                <w:rtl/>
              </w:rPr>
              <w:t>(א)</w:t>
            </w:r>
            <w:r>
              <w:rPr>
                <w:sz w:val="26"/>
                <w:rtl/>
              </w:rPr>
              <w:tab/>
            </w:r>
            <w:r>
              <w:rPr>
                <w:rFonts w:hint="cs"/>
                <w:sz w:val="26"/>
                <w:rtl/>
              </w:rPr>
              <w:t>השר ימנה עובד המדינה הכשיר להיות שופט בית המשפט שלום כרשם יועצי המשכנתאות.</w:t>
            </w:r>
          </w:p>
        </w:tc>
      </w:tr>
      <w:tr w:rsidR="0045086B" w14:paraId="35970BA8" w14:textId="77777777" w:rsidTr="0045086B">
        <w:trPr>
          <w:gridAfter w:val="2"/>
          <w:wAfter w:w="13038" w:type="dxa"/>
          <w:cantSplit/>
        </w:trPr>
        <w:tc>
          <w:tcPr>
            <w:tcW w:w="1870" w:type="dxa"/>
          </w:tcPr>
          <w:p w14:paraId="72CD5B14" w14:textId="77777777" w:rsidR="0045086B" w:rsidRDefault="0045086B" w:rsidP="0045086B">
            <w:pPr>
              <w:pStyle w:val="TableSideHeading"/>
              <w:rPr>
                <w:rtl/>
              </w:rPr>
            </w:pPr>
          </w:p>
        </w:tc>
        <w:tc>
          <w:tcPr>
            <w:tcW w:w="624" w:type="dxa"/>
          </w:tcPr>
          <w:p w14:paraId="4B2BF2AB" w14:textId="77777777" w:rsidR="0045086B" w:rsidRDefault="0045086B" w:rsidP="0045086B">
            <w:pPr>
              <w:pStyle w:val="TableText"/>
              <w:rPr>
                <w:rtl/>
              </w:rPr>
            </w:pPr>
          </w:p>
        </w:tc>
        <w:tc>
          <w:tcPr>
            <w:tcW w:w="7146" w:type="dxa"/>
            <w:gridSpan w:val="3"/>
          </w:tcPr>
          <w:p w14:paraId="7009733E" w14:textId="77777777" w:rsidR="0045086B" w:rsidRDefault="0045086B" w:rsidP="0045086B">
            <w:pPr>
              <w:pStyle w:val="TableBlock"/>
              <w:rPr>
                <w:sz w:val="26"/>
                <w:rtl/>
              </w:rPr>
            </w:pPr>
            <w:r>
              <w:rPr>
                <w:rFonts w:hint="cs"/>
                <w:sz w:val="26"/>
                <w:rtl/>
              </w:rPr>
              <w:t>(ב)</w:t>
            </w:r>
            <w:r>
              <w:rPr>
                <w:sz w:val="26"/>
                <w:rtl/>
              </w:rPr>
              <w:tab/>
            </w:r>
            <w:r>
              <w:rPr>
                <w:rFonts w:hint="cs"/>
                <w:sz w:val="26"/>
                <w:rtl/>
              </w:rPr>
              <w:t>אלה תפקידי הרשם הם כמפורט להלן:</w:t>
            </w:r>
          </w:p>
        </w:tc>
      </w:tr>
      <w:tr w:rsidR="0045086B" w14:paraId="331B4D4C" w14:textId="77777777" w:rsidTr="0045086B">
        <w:trPr>
          <w:gridAfter w:val="2"/>
          <w:wAfter w:w="13038" w:type="dxa"/>
          <w:cantSplit/>
        </w:trPr>
        <w:tc>
          <w:tcPr>
            <w:tcW w:w="1870" w:type="dxa"/>
          </w:tcPr>
          <w:p w14:paraId="7EA708DD" w14:textId="77777777" w:rsidR="0045086B" w:rsidRDefault="0045086B" w:rsidP="0045086B">
            <w:pPr>
              <w:pStyle w:val="TableSideHeading"/>
            </w:pPr>
          </w:p>
        </w:tc>
        <w:tc>
          <w:tcPr>
            <w:tcW w:w="624" w:type="dxa"/>
          </w:tcPr>
          <w:p w14:paraId="690C0882" w14:textId="77777777" w:rsidR="0045086B" w:rsidRDefault="0045086B" w:rsidP="0045086B">
            <w:pPr>
              <w:pStyle w:val="TableText"/>
            </w:pPr>
          </w:p>
        </w:tc>
        <w:tc>
          <w:tcPr>
            <w:tcW w:w="624" w:type="dxa"/>
          </w:tcPr>
          <w:p w14:paraId="0DAF57BE" w14:textId="77777777" w:rsidR="0045086B" w:rsidRDefault="0045086B" w:rsidP="0045086B">
            <w:pPr>
              <w:pStyle w:val="TableText"/>
            </w:pPr>
          </w:p>
        </w:tc>
        <w:tc>
          <w:tcPr>
            <w:tcW w:w="6522" w:type="dxa"/>
            <w:gridSpan w:val="2"/>
          </w:tcPr>
          <w:p w14:paraId="1AC5D8CF" w14:textId="69792708" w:rsidR="0045086B" w:rsidRDefault="0045086B" w:rsidP="006B04E9">
            <w:pPr>
              <w:pStyle w:val="TableBlock"/>
            </w:pPr>
            <w:r>
              <w:rPr>
                <w:rFonts w:hint="cs"/>
                <w:rtl/>
              </w:rPr>
              <w:t>(1)</w:t>
            </w:r>
            <w:r>
              <w:rPr>
                <w:rtl/>
              </w:rPr>
              <w:tab/>
            </w:r>
            <w:r>
              <w:rPr>
                <w:rFonts w:hint="cs"/>
                <w:sz w:val="26"/>
                <w:rtl/>
              </w:rPr>
              <w:t>רישום יועצי משכנתאות העומדים בתנאי הכשירות כאמור בסעיף 1</w:t>
            </w:r>
            <w:r w:rsidR="006B04E9">
              <w:rPr>
                <w:rFonts w:hint="cs"/>
                <w:sz w:val="26"/>
                <w:rtl/>
              </w:rPr>
              <w:t>4</w:t>
            </w:r>
            <w:r>
              <w:rPr>
                <w:rFonts w:hint="cs"/>
                <w:sz w:val="26"/>
                <w:rtl/>
              </w:rPr>
              <w:t xml:space="preserve"> בפנקס יועצי המשכנתאות, או התליית רישומם של יועצי משכנתאות מהפנקס לפי הוראות סעיף </w:t>
            </w:r>
            <w:r w:rsidR="006B04E9">
              <w:rPr>
                <w:rFonts w:hint="cs"/>
                <w:sz w:val="26"/>
                <w:rtl/>
              </w:rPr>
              <w:t>16</w:t>
            </w:r>
            <w:r>
              <w:rPr>
                <w:rFonts w:hint="cs"/>
                <w:sz w:val="26"/>
                <w:rtl/>
              </w:rPr>
              <w:t>(</w:t>
            </w:r>
            <w:r w:rsidR="006B04E9">
              <w:rPr>
                <w:rFonts w:hint="cs"/>
                <w:sz w:val="26"/>
                <w:rtl/>
              </w:rPr>
              <w:t>א</w:t>
            </w:r>
            <w:r>
              <w:rPr>
                <w:rFonts w:hint="cs"/>
                <w:sz w:val="26"/>
                <w:rtl/>
              </w:rPr>
              <w:t>);</w:t>
            </w:r>
          </w:p>
        </w:tc>
      </w:tr>
      <w:tr w:rsidR="0045086B" w14:paraId="3074E76D" w14:textId="77777777" w:rsidTr="0045086B">
        <w:trPr>
          <w:gridAfter w:val="2"/>
          <w:wAfter w:w="13038" w:type="dxa"/>
          <w:cantSplit/>
        </w:trPr>
        <w:tc>
          <w:tcPr>
            <w:tcW w:w="1870" w:type="dxa"/>
          </w:tcPr>
          <w:p w14:paraId="39713D1E" w14:textId="77777777" w:rsidR="0045086B" w:rsidRDefault="0045086B" w:rsidP="0045086B">
            <w:pPr>
              <w:pStyle w:val="TableSideHeading"/>
            </w:pPr>
          </w:p>
        </w:tc>
        <w:tc>
          <w:tcPr>
            <w:tcW w:w="624" w:type="dxa"/>
          </w:tcPr>
          <w:p w14:paraId="48427FF0" w14:textId="77777777" w:rsidR="0045086B" w:rsidRDefault="0045086B" w:rsidP="0045086B">
            <w:pPr>
              <w:pStyle w:val="TableText"/>
            </w:pPr>
          </w:p>
        </w:tc>
        <w:tc>
          <w:tcPr>
            <w:tcW w:w="624" w:type="dxa"/>
          </w:tcPr>
          <w:p w14:paraId="3A330470" w14:textId="77777777" w:rsidR="0045086B" w:rsidRDefault="0045086B" w:rsidP="0045086B">
            <w:pPr>
              <w:pStyle w:val="TableText"/>
            </w:pPr>
          </w:p>
        </w:tc>
        <w:tc>
          <w:tcPr>
            <w:tcW w:w="6522" w:type="dxa"/>
            <w:gridSpan w:val="2"/>
          </w:tcPr>
          <w:p w14:paraId="523E05E4" w14:textId="77777777" w:rsidR="0045086B" w:rsidRDefault="0045086B" w:rsidP="0045086B">
            <w:pPr>
              <w:pStyle w:val="TableBlock"/>
              <w:rPr>
                <w:rtl/>
              </w:rPr>
            </w:pPr>
            <w:r>
              <w:rPr>
                <w:rFonts w:hint="cs"/>
                <w:rtl/>
              </w:rPr>
              <w:t>(2)</w:t>
            </w:r>
            <w:r>
              <w:rPr>
                <w:rtl/>
              </w:rPr>
              <w:tab/>
            </w:r>
            <w:r>
              <w:rPr>
                <w:rFonts w:hint="cs"/>
                <w:sz w:val="26"/>
                <w:rtl/>
              </w:rPr>
              <w:t>מתן תעודה המעידה על הרישום בפנקס כאמור בפסקה (1);</w:t>
            </w:r>
          </w:p>
        </w:tc>
      </w:tr>
      <w:tr w:rsidR="0045086B" w14:paraId="32582903" w14:textId="77777777" w:rsidTr="0045086B">
        <w:trPr>
          <w:gridAfter w:val="2"/>
          <w:wAfter w:w="13038" w:type="dxa"/>
          <w:cantSplit/>
        </w:trPr>
        <w:tc>
          <w:tcPr>
            <w:tcW w:w="1870" w:type="dxa"/>
          </w:tcPr>
          <w:p w14:paraId="0FDF1425" w14:textId="77777777" w:rsidR="0045086B" w:rsidRDefault="0045086B" w:rsidP="0045086B">
            <w:pPr>
              <w:pStyle w:val="TableSideHeading"/>
            </w:pPr>
          </w:p>
        </w:tc>
        <w:tc>
          <w:tcPr>
            <w:tcW w:w="624" w:type="dxa"/>
          </w:tcPr>
          <w:p w14:paraId="7C149738" w14:textId="77777777" w:rsidR="0045086B" w:rsidRDefault="0045086B" w:rsidP="0045086B">
            <w:pPr>
              <w:pStyle w:val="TableText"/>
            </w:pPr>
          </w:p>
        </w:tc>
        <w:tc>
          <w:tcPr>
            <w:tcW w:w="624" w:type="dxa"/>
          </w:tcPr>
          <w:p w14:paraId="3CFA3FFF" w14:textId="77777777" w:rsidR="0045086B" w:rsidRDefault="0045086B" w:rsidP="0045086B">
            <w:pPr>
              <w:pStyle w:val="TableText"/>
            </w:pPr>
          </w:p>
        </w:tc>
        <w:tc>
          <w:tcPr>
            <w:tcW w:w="6522" w:type="dxa"/>
            <w:gridSpan w:val="2"/>
          </w:tcPr>
          <w:p w14:paraId="6775EED4" w14:textId="77777777" w:rsidR="0045086B" w:rsidRDefault="0045086B" w:rsidP="0045086B">
            <w:pPr>
              <w:pStyle w:val="TableBlock"/>
              <w:rPr>
                <w:rtl/>
              </w:rPr>
            </w:pPr>
            <w:r>
              <w:rPr>
                <w:rFonts w:hint="cs"/>
                <w:rtl/>
              </w:rPr>
              <w:t>(3)</w:t>
            </w:r>
            <w:r>
              <w:rPr>
                <w:rtl/>
              </w:rPr>
              <w:tab/>
            </w:r>
            <w:r>
              <w:rPr>
                <w:rFonts w:hint="cs"/>
                <w:sz w:val="26"/>
                <w:rtl/>
              </w:rPr>
              <w:t>ניהול פנקס יועצי המשכנתאות.</w:t>
            </w:r>
          </w:p>
        </w:tc>
      </w:tr>
      <w:tr w:rsidR="0045086B" w14:paraId="3289807E" w14:textId="77777777" w:rsidTr="0045086B">
        <w:trPr>
          <w:gridAfter w:val="2"/>
          <w:wAfter w:w="13038" w:type="dxa"/>
          <w:cantSplit/>
        </w:trPr>
        <w:tc>
          <w:tcPr>
            <w:tcW w:w="1870" w:type="dxa"/>
          </w:tcPr>
          <w:p w14:paraId="7B2A2470" w14:textId="77777777" w:rsidR="0045086B" w:rsidRDefault="0045086B" w:rsidP="0045086B">
            <w:pPr>
              <w:pStyle w:val="TableSideHeading"/>
            </w:pPr>
            <w:r>
              <w:rPr>
                <w:rFonts w:hint="cs"/>
                <w:rtl/>
              </w:rPr>
              <w:t>כשירות להירשם הפנקס</w:t>
            </w:r>
          </w:p>
        </w:tc>
        <w:tc>
          <w:tcPr>
            <w:tcW w:w="624" w:type="dxa"/>
          </w:tcPr>
          <w:p w14:paraId="1AC4E06A" w14:textId="3F73EFCA" w:rsidR="0045086B" w:rsidRDefault="0045086B" w:rsidP="0045086B">
            <w:pPr>
              <w:pStyle w:val="TableText"/>
            </w:pPr>
            <w:r>
              <w:rPr>
                <w:rFonts w:hint="cs"/>
                <w:rtl/>
              </w:rPr>
              <w:t>14.</w:t>
            </w:r>
          </w:p>
        </w:tc>
        <w:tc>
          <w:tcPr>
            <w:tcW w:w="7146" w:type="dxa"/>
            <w:gridSpan w:val="3"/>
          </w:tcPr>
          <w:p w14:paraId="0DE20293" w14:textId="77777777" w:rsidR="0045086B" w:rsidRDefault="0045086B" w:rsidP="0045086B">
            <w:pPr>
              <w:pStyle w:val="TableBlock"/>
              <w:rPr>
                <w:rtl/>
              </w:rPr>
            </w:pPr>
            <w:r>
              <w:rPr>
                <w:rFonts w:hint="cs"/>
                <w:rtl/>
              </w:rPr>
              <w:t>(א)</w:t>
            </w:r>
            <w:r>
              <w:rPr>
                <w:rtl/>
              </w:rPr>
              <w:tab/>
            </w:r>
            <w:r w:rsidRPr="005733D9">
              <w:rPr>
                <w:sz w:val="26"/>
                <w:rtl/>
              </w:rPr>
              <w:t xml:space="preserve">מי שהתקיימו לגביו כל </w:t>
            </w:r>
            <w:r>
              <w:rPr>
                <w:rFonts w:hint="cs"/>
                <w:sz w:val="26"/>
                <w:rtl/>
              </w:rPr>
              <w:t>אלה,</w:t>
            </w:r>
            <w:r w:rsidRPr="005733D9">
              <w:rPr>
                <w:sz w:val="26"/>
                <w:rtl/>
              </w:rPr>
              <w:t xml:space="preserve"> זכאי להיות רשום בפנקס</w:t>
            </w:r>
            <w:r>
              <w:rPr>
                <w:rFonts w:hint="cs"/>
                <w:sz w:val="26"/>
                <w:rtl/>
              </w:rPr>
              <w:t xml:space="preserve"> ולקבל תעודת רישום</w:t>
            </w:r>
            <w:r w:rsidRPr="005733D9">
              <w:rPr>
                <w:sz w:val="26"/>
                <w:rtl/>
              </w:rPr>
              <w:t>:</w:t>
            </w:r>
          </w:p>
        </w:tc>
      </w:tr>
      <w:tr w:rsidR="0045086B" w14:paraId="004AE7CF" w14:textId="77777777" w:rsidTr="0045086B">
        <w:trPr>
          <w:gridAfter w:val="2"/>
          <w:wAfter w:w="13038" w:type="dxa"/>
          <w:cantSplit/>
        </w:trPr>
        <w:tc>
          <w:tcPr>
            <w:tcW w:w="1870" w:type="dxa"/>
          </w:tcPr>
          <w:p w14:paraId="6013395D" w14:textId="77777777" w:rsidR="0045086B" w:rsidRDefault="0045086B" w:rsidP="0045086B">
            <w:pPr>
              <w:pStyle w:val="TableSideHeading"/>
            </w:pPr>
          </w:p>
        </w:tc>
        <w:tc>
          <w:tcPr>
            <w:tcW w:w="624" w:type="dxa"/>
          </w:tcPr>
          <w:p w14:paraId="5C8C8B96" w14:textId="77777777" w:rsidR="0045086B" w:rsidRDefault="0045086B" w:rsidP="0045086B">
            <w:pPr>
              <w:pStyle w:val="TableText"/>
            </w:pPr>
          </w:p>
        </w:tc>
        <w:tc>
          <w:tcPr>
            <w:tcW w:w="624" w:type="dxa"/>
          </w:tcPr>
          <w:p w14:paraId="16D3DB6D" w14:textId="77777777" w:rsidR="0045086B" w:rsidRDefault="0045086B" w:rsidP="0045086B">
            <w:pPr>
              <w:pStyle w:val="TableText"/>
            </w:pPr>
          </w:p>
        </w:tc>
        <w:tc>
          <w:tcPr>
            <w:tcW w:w="6522" w:type="dxa"/>
            <w:gridSpan w:val="2"/>
          </w:tcPr>
          <w:p w14:paraId="5895A795" w14:textId="77777777" w:rsidR="0045086B" w:rsidRDefault="0045086B" w:rsidP="0045086B">
            <w:pPr>
              <w:pStyle w:val="TableBlock"/>
            </w:pPr>
            <w:r>
              <w:rPr>
                <w:rFonts w:hint="cs"/>
                <w:rtl/>
              </w:rPr>
              <w:t>(1)</w:t>
            </w:r>
            <w:r>
              <w:rPr>
                <w:rtl/>
              </w:rPr>
              <w:tab/>
            </w:r>
            <w:r w:rsidRPr="005733D9">
              <w:rPr>
                <w:sz w:val="26"/>
                <w:rtl/>
              </w:rPr>
              <w:t>עמד בהצלחה בכל הבחינות הנערכות על ידי המועצה</w:t>
            </w:r>
            <w:r>
              <w:rPr>
                <w:rFonts w:hint="cs"/>
                <w:sz w:val="26"/>
                <w:rtl/>
              </w:rPr>
              <w:t xml:space="preserve"> לצורך קבלת תעודת רישום, על אף האמור בפסקה זו, המועצה רשאית לפטור מהבחינות המפורטות בפסקאות (1) ו-(2) בתוספת השנייה בשל אחת מאלו: </w:t>
            </w:r>
          </w:p>
        </w:tc>
      </w:tr>
      <w:tr w:rsidR="0045086B" w14:paraId="078C7DFB" w14:textId="77777777" w:rsidTr="0045086B">
        <w:trPr>
          <w:gridAfter w:val="2"/>
          <w:wAfter w:w="13038" w:type="dxa"/>
          <w:cantSplit/>
          <w:trHeight w:val="60"/>
        </w:trPr>
        <w:tc>
          <w:tcPr>
            <w:tcW w:w="1870" w:type="dxa"/>
          </w:tcPr>
          <w:p w14:paraId="54AB9A28" w14:textId="77777777" w:rsidR="0045086B" w:rsidRDefault="0045086B" w:rsidP="0045086B">
            <w:pPr>
              <w:pStyle w:val="TableSideHeading"/>
            </w:pPr>
          </w:p>
        </w:tc>
        <w:tc>
          <w:tcPr>
            <w:tcW w:w="624" w:type="dxa"/>
          </w:tcPr>
          <w:p w14:paraId="5645E5F2" w14:textId="77777777" w:rsidR="0045086B" w:rsidRDefault="0045086B" w:rsidP="0045086B">
            <w:pPr>
              <w:pStyle w:val="TableText"/>
            </w:pPr>
          </w:p>
        </w:tc>
        <w:tc>
          <w:tcPr>
            <w:tcW w:w="624" w:type="dxa"/>
          </w:tcPr>
          <w:p w14:paraId="52934EFA" w14:textId="77777777" w:rsidR="0045086B" w:rsidRDefault="0045086B" w:rsidP="0045086B">
            <w:pPr>
              <w:pStyle w:val="TableText"/>
            </w:pPr>
          </w:p>
        </w:tc>
        <w:tc>
          <w:tcPr>
            <w:tcW w:w="624" w:type="dxa"/>
          </w:tcPr>
          <w:p w14:paraId="7849B365" w14:textId="77777777" w:rsidR="0045086B" w:rsidRDefault="0045086B" w:rsidP="0045086B">
            <w:pPr>
              <w:pStyle w:val="TableText"/>
            </w:pPr>
          </w:p>
        </w:tc>
        <w:tc>
          <w:tcPr>
            <w:tcW w:w="5898" w:type="dxa"/>
          </w:tcPr>
          <w:p w14:paraId="3E741D15" w14:textId="074D86BC" w:rsidR="0045086B" w:rsidRDefault="0045086B" w:rsidP="0045086B">
            <w:pPr>
              <w:pStyle w:val="TableBlock"/>
            </w:pPr>
            <w:r>
              <w:rPr>
                <w:rFonts w:hint="cs"/>
                <w:sz w:val="26"/>
                <w:rtl/>
              </w:rPr>
              <w:t>(א)</w:t>
            </w:r>
            <w:r>
              <w:rPr>
                <w:sz w:val="26"/>
                <w:rtl/>
              </w:rPr>
              <w:tab/>
            </w:r>
            <w:r>
              <w:rPr>
                <w:rFonts w:hint="cs"/>
                <w:sz w:val="26"/>
                <w:rtl/>
              </w:rPr>
              <w:t xml:space="preserve">מועמד בעל </w:t>
            </w:r>
            <w:r w:rsidRPr="005733D9">
              <w:rPr>
                <w:sz w:val="26"/>
                <w:rtl/>
              </w:rPr>
              <w:t xml:space="preserve">תואר מוכר </w:t>
            </w:r>
            <w:r>
              <w:rPr>
                <w:rFonts w:hint="cs"/>
                <w:sz w:val="26"/>
                <w:rtl/>
              </w:rPr>
              <w:t xml:space="preserve">במנהל עסקים, בראיית חשבון או בכלכלה, </w:t>
            </w:r>
            <w:r w:rsidRPr="005733D9">
              <w:rPr>
                <w:sz w:val="26"/>
                <w:rtl/>
              </w:rPr>
              <w:t>מאת מוסד מוכר להשכלה גבוהה כמשמעות</w:t>
            </w:r>
            <w:r>
              <w:rPr>
                <w:rFonts w:hint="cs"/>
                <w:sz w:val="26"/>
                <w:rtl/>
              </w:rPr>
              <w:t>ו</w:t>
            </w:r>
            <w:r w:rsidRPr="005733D9">
              <w:rPr>
                <w:sz w:val="26"/>
                <w:rtl/>
              </w:rPr>
              <w:t xml:space="preserve"> בחוק המועצה להשכלה גבוהה,</w:t>
            </w:r>
            <w:r>
              <w:rPr>
                <w:rFonts w:hint="cs"/>
                <w:sz w:val="26"/>
                <w:rtl/>
              </w:rPr>
              <w:t xml:space="preserve"> התשי"ח</w:t>
            </w:r>
            <w:r>
              <w:rPr>
                <w:rFonts w:hint="eastAsia"/>
                <w:sz w:val="26"/>
                <w:rtl/>
              </w:rPr>
              <w:t>–</w:t>
            </w:r>
            <w:r>
              <w:rPr>
                <w:rFonts w:hint="cs"/>
                <w:sz w:val="26"/>
                <w:rtl/>
              </w:rPr>
              <w:t>1958</w:t>
            </w:r>
            <w:r>
              <w:rPr>
                <w:rStyle w:val="a5"/>
                <w:sz w:val="26"/>
                <w:rtl/>
              </w:rPr>
              <w:footnoteReference w:id="7"/>
            </w:r>
            <w:r>
              <w:rPr>
                <w:rFonts w:hint="cs"/>
                <w:sz w:val="26"/>
                <w:rtl/>
              </w:rPr>
              <w:t>,</w:t>
            </w:r>
            <w:r w:rsidRPr="005733D9">
              <w:rPr>
                <w:sz w:val="26"/>
                <w:rtl/>
              </w:rPr>
              <w:t xml:space="preserve"> או בעל תואר אקדמי </w:t>
            </w:r>
            <w:r>
              <w:rPr>
                <w:rFonts w:hint="cs"/>
                <w:sz w:val="26"/>
                <w:rtl/>
              </w:rPr>
              <w:t xml:space="preserve">כאמור </w:t>
            </w:r>
            <w:r w:rsidRPr="005733D9">
              <w:rPr>
                <w:sz w:val="26"/>
                <w:rtl/>
              </w:rPr>
              <w:t xml:space="preserve">מאת מוסד להשכלה גבוהה </w:t>
            </w:r>
            <w:r>
              <w:rPr>
                <w:rFonts w:hint="cs"/>
                <w:sz w:val="26"/>
                <w:rtl/>
              </w:rPr>
              <w:t>מחוץ לישראל</w:t>
            </w:r>
            <w:r w:rsidRPr="005733D9">
              <w:rPr>
                <w:sz w:val="26"/>
                <w:rtl/>
              </w:rPr>
              <w:t xml:space="preserve"> שהמועצה הכירה בו, בהתאם לכללים שקבעה, כשווה ערך לתואר מוכר</w:t>
            </w:r>
            <w:r>
              <w:rPr>
                <w:rFonts w:hint="cs"/>
                <w:sz w:val="26"/>
                <w:rtl/>
              </w:rPr>
              <w:t>;</w:t>
            </w:r>
            <w:r w:rsidRPr="005733D9">
              <w:rPr>
                <w:sz w:val="26"/>
                <w:rtl/>
              </w:rPr>
              <w:t xml:space="preserve"> לענ</w:t>
            </w:r>
            <w:r>
              <w:rPr>
                <w:rFonts w:hint="cs"/>
                <w:sz w:val="26"/>
                <w:rtl/>
              </w:rPr>
              <w:t>י</w:t>
            </w:r>
            <w:r w:rsidRPr="005733D9">
              <w:rPr>
                <w:sz w:val="26"/>
                <w:rtl/>
              </w:rPr>
              <w:t>ין זה, "בעל תואר מוכר", "בעל תואר אקדמי" – לרבות מי שזכאי לתואר כאמור</w:t>
            </w:r>
            <w:r w:rsidR="00F06918">
              <w:rPr>
                <w:rFonts w:hint="cs"/>
                <w:sz w:val="26"/>
                <w:rtl/>
              </w:rPr>
              <w:t>;</w:t>
            </w:r>
          </w:p>
        </w:tc>
      </w:tr>
      <w:tr w:rsidR="0045086B" w14:paraId="4E6CC657" w14:textId="77777777" w:rsidTr="0045086B">
        <w:trPr>
          <w:gridAfter w:val="2"/>
          <w:wAfter w:w="13038" w:type="dxa"/>
          <w:cantSplit/>
          <w:trHeight w:val="60"/>
        </w:trPr>
        <w:tc>
          <w:tcPr>
            <w:tcW w:w="1870" w:type="dxa"/>
          </w:tcPr>
          <w:p w14:paraId="33C9C75F" w14:textId="77777777" w:rsidR="0045086B" w:rsidRDefault="0045086B" w:rsidP="0045086B">
            <w:pPr>
              <w:pStyle w:val="TableSideHeading"/>
            </w:pPr>
          </w:p>
        </w:tc>
        <w:tc>
          <w:tcPr>
            <w:tcW w:w="624" w:type="dxa"/>
          </w:tcPr>
          <w:p w14:paraId="5EF26266" w14:textId="77777777" w:rsidR="0045086B" w:rsidRDefault="0045086B" w:rsidP="0045086B">
            <w:pPr>
              <w:pStyle w:val="TableText"/>
            </w:pPr>
          </w:p>
        </w:tc>
        <w:tc>
          <w:tcPr>
            <w:tcW w:w="624" w:type="dxa"/>
          </w:tcPr>
          <w:p w14:paraId="13B5C98F" w14:textId="77777777" w:rsidR="0045086B" w:rsidRDefault="0045086B" w:rsidP="0045086B">
            <w:pPr>
              <w:pStyle w:val="TableText"/>
            </w:pPr>
          </w:p>
        </w:tc>
        <w:tc>
          <w:tcPr>
            <w:tcW w:w="624" w:type="dxa"/>
          </w:tcPr>
          <w:p w14:paraId="40023902" w14:textId="77777777" w:rsidR="0045086B" w:rsidRDefault="0045086B" w:rsidP="0045086B">
            <w:pPr>
              <w:pStyle w:val="TableText"/>
            </w:pPr>
          </w:p>
        </w:tc>
        <w:tc>
          <w:tcPr>
            <w:tcW w:w="5898" w:type="dxa"/>
          </w:tcPr>
          <w:p w14:paraId="3051D533" w14:textId="38DF0340" w:rsidR="0045086B" w:rsidRDefault="0045086B" w:rsidP="0045086B">
            <w:pPr>
              <w:pStyle w:val="TableBlock"/>
              <w:rPr>
                <w:sz w:val="26"/>
                <w:rtl/>
              </w:rPr>
            </w:pPr>
            <w:r>
              <w:rPr>
                <w:rFonts w:hint="cs"/>
                <w:sz w:val="26"/>
                <w:rtl/>
              </w:rPr>
              <w:t>(ב)</w:t>
            </w:r>
            <w:r>
              <w:rPr>
                <w:sz w:val="26"/>
                <w:rtl/>
              </w:rPr>
              <w:tab/>
            </w:r>
            <w:r>
              <w:rPr>
                <w:rFonts w:hint="cs"/>
                <w:sz w:val="26"/>
                <w:rtl/>
              </w:rPr>
              <w:t>מועמד שהוא בוגר קורס ייעודי לייעוץ משכנתאות במוסד שאושר על</w:t>
            </w:r>
            <w:r w:rsidR="00F06918">
              <w:rPr>
                <w:rFonts w:hint="cs"/>
                <w:sz w:val="26"/>
                <w:rtl/>
              </w:rPr>
              <w:t xml:space="preserve"> ידי המועצה, בהתאם לכללים שקבעה;</w:t>
            </w:r>
          </w:p>
        </w:tc>
      </w:tr>
      <w:tr w:rsidR="0045086B" w14:paraId="26A87C47" w14:textId="77777777" w:rsidTr="0045086B">
        <w:trPr>
          <w:gridAfter w:val="2"/>
          <w:wAfter w:w="13038" w:type="dxa"/>
          <w:cantSplit/>
        </w:trPr>
        <w:tc>
          <w:tcPr>
            <w:tcW w:w="1870" w:type="dxa"/>
          </w:tcPr>
          <w:p w14:paraId="3E01D604" w14:textId="77777777" w:rsidR="0045086B" w:rsidRDefault="0045086B" w:rsidP="0045086B">
            <w:pPr>
              <w:pStyle w:val="TableSideHeading"/>
            </w:pPr>
          </w:p>
        </w:tc>
        <w:tc>
          <w:tcPr>
            <w:tcW w:w="624" w:type="dxa"/>
          </w:tcPr>
          <w:p w14:paraId="677C2C32" w14:textId="77777777" w:rsidR="0045086B" w:rsidRDefault="0045086B" w:rsidP="0045086B">
            <w:pPr>
              <w:pStyle w:val="TableText"/>
            </w:pPr>
          </w:p>
        </w:tc>
        <w:tc>
          <w:tcPr>
            <w:tcW w:w="624" w:type="dxa"/>
          </w:tcPr>
          <w:p w14:paraId="21B864B7" w14:textId="77777777" w:rsidR="0045086B" w:rsidRDefault="0045086B" w:rsidP="0045086B">
            <w:pPr>
              <w:pStyle w:val="TableText"/>
            </w:pPr>
          </w:p>
        </w:tc>
        <w:tc>
          <w:tcPr>
            <w:tcW w:w="6522" w:type="dxa"/>
            <w:gridSpan w:val="2"/>
          </w:tcPr>
          <w:p w14:paraId="39FC7F32" w14:textId="77777777" w:rsidR="0045086B" w:rsidRDefault="0045086B" w:rsidP="0045086B">
            <w:pPr>
              <w:pStyle w:val="TableBlock"/>
              <w:rPr>
                <w:rtl/>
              </w:rPr>
            </w:pPr>
            <w:r>
              <w:rPr>
                <w:rFonts w:hint="cs"/>
                <w:rtl/>
              </w:rPr>
              <w:t>(2)</w:t>
            </w:r>
            <w:r>
              <w:rPr>
                <w:rtl/>
              </w:rPr>
              <w:tab/>
            </w:r>
            <w:r>
              <w:rPr>
                <w:rFonts w:hint="cs"/>
                <w:sz w:val="26"/>
                <w:rtl/>
              </w:rPr>
              <w:t>הוא בגיר ואינו פסול דין;</w:t>
            </w:r>
          </w:p>
        </w:tc>
      </w:tr>
      <w:tr w:rsidR="0045086B" w14:paraId="0C230258" w14:textId="77777777" w:rsidTr="0045086B">
        <w:trPr>
          <w:gridAfter w:val="2"/>
          <w:wAfter w:w="13038" w:type="dxa"/>
          <w:cantSplit/>
        </w:trPr>
        <w:tc>
          <w:tcPr>
            <w:tcW w:w="1870" w:type="dxa"/>
          </w:tcPr>
          <w:p w14:paraId="28B484D7" w14:textId="77777777" w:rsidR="0045086B" w:rsidRDefault="0045086B" w:rsidP="0045086B">
            <w:pPr>
              <w:pStyle w:val="TableSideHeading"/>
            </w:pPr>
          </w:p>
        </w:tc>
        <w:tc>
          <w:tcPr>
            <w:tcW w:w="624" w:type="dxa"/>
          </w:tcPr>
          <w:p w14:paraId="3058E5CD" w14:textId="77777777" w:rsidR="0045086B" w:rsidRDefault="0045086B" w:rsidP="0045086B">
            <w:pPr>
              <w:pStyle w:val="TableText"/>
            </w:pPr>
          </w:p>
        </w:tc>
        <w:tc>
          <w:tcPr>
            <w:tcW w:w="624" w:type="dxa"/>
          </w:tcPr>
          <w:p w14:paraId="5D74BE11" w14:textId="77777777" w:rsidR="0045086B" w:rsidRDefault="0045086B" w:rsidP="0045086B">
            <w:pPr>
              <w:pStyle w:val="TableText"/>
            </w:pPr>
          </w:p>
        </w:tc>
        <w:tc>
          <w:tcPr>
            <w:tcW w:w="6522" w:type="dxa"/>
            <w:gridSpan w:val="2"/>
          </w:tcPr>
          <w:p w14:paraId="62AC6EC9" w14:textId="77777777" w:rsidR="0045086B" w:rsidRDefault="0045086B" w:rsidP="0045086B">
            <w:pPr>
              <w:pStyle w:val="TableBlock"/>
              <w:rPr>
                <w:rtl/>
              </w:rPr>
            </w:pPr>
            <w:r>
              <w:rPr>
                <w:rFonts w:hint="cs"/>
                <w:rtl/>
              </w:rPr>
              <w:t>(3)</w:t>
            </w:r>
            <w:r>
              <w:rPr>
                <w:rtl/>
              </w:rPr>
              <w:tab/>
            </w:r>
            <w:r>
              <w:rPr>
                <w:rFonts w:hint="cs"/>
                <w:sz w:val="26"/>
                <w:rtl/>
              </w:rPr>
              <w:t>הוא אינו פושט רגל, אלא אם כן קיבל הפטר.</w:t>
            </w:r>
          </w:p>
        </w:tc>
      </w:tr>
      <w:tr w:rsidR="0045086B" w14:paraId="3BCE903F" w14:textId="77777777" w:rsidTr="0045086B">
        <w:trPr>
          <w:gridAfter w:val="2"/>
          <w:wAfter w:w="13038" w:type="dxa"/>
          <w:cantSplit/>
        </w:trPr>
        <w:tc>
          <w:tcPr>
            <w:tcW w:w="1870" w:type="dxa"/>
          </w:tcPr>
          <w:p w14:paraId="361D9DF8" w14:textId="77777777" w:rsidR="0045086B" w:rsidRDefault="0045086B" w:rsidP="0045086B">
            <w:pPr>
              <w:pStyle w:val="TableSideHeading"/>
            </w:pPr>
          </w:p>
        </w:tc>
        <w:tc>
          <w:tcPr>
            <w:tcW w:w="624" w:type="dxa"/>
          </w:tcPr>
          <w:p w14:paraId="29420F2F" w14:textId="77777777" w:rsidR="0045086B" w:rsidRDefault="0045086B" w:rsidP="0045086B">
            <w:pPr>
              <w:pStyle w:val="TableText"/>
            </w:pPr>
          </w:p>
        </w:tc>
        <w:tc>
          <w:tcPr>
            <w:tcW w:w="7146" w:type="dxa"/>
            <w:gridSpan w:val="3"/>
          </w:tcPr>
          <w:p w14:paraId="664D3A9D" w14:textId="77777777" w:rsidR="0045086B" w:rsidRPr="003B133D" w:rsidRDefault="0045086B" w:rsidP="0045086B">
            <w:pPr>
              <w:pStyle w:val="TableBlock"/>
              <w:rPr>
                <w:sz w:val="26"/>
                <w:rtl/>
              </w:rPr>
            </w:pPr>
            <w:r>
              <w:rPr>
                <w:sz w:val="26"/>
                <w:rtl/>
              </w:rPr>
              <w:t>(ב)</w:t>
            </w:r>
            <w:r>
              <w:rPr>
                <w:sz w:val="26"/>
                <w:rtl/>
              </w:rPr>
              <w:tab/>
            </w:r>
            <w:r w:rsidRPr="005733D9">
              <w:rPr>
                <w:sz w:val="26"/>
                <w:rtl/>
              </w:rPr>
              <w:t>הרשם רשאי, לאחר שנתן למבקש הזדמנות לטעון את טענותיו לפניו, שלא לרשמו בפנקס</w:t>
            </w:r>
            <w:r>
              <w:rPr>
                <w:rFonts w:hint="cs"/>
                <w:sz w:val="26"/>
                <w:rtl/>
              </w:rPr>
              <w:t xml:space="preserve"> ולא להעניק לו תעודת רישום</w:t>
            </w:r>
            <w:r w:rsidRPr="005733D9">
              <w:rPr>
                <w:sz w:val="26"/>
                <w:rtl/>
              </w:rPr>
              <w:t xml:space="preserve">, אף אם התקיימו בו </w:t>
            </w:r>
            <w:r>
              <w:rPr>
                <w:rFonts w:hint="cs"/>
                <w:sz w:val="26"/>
                <w:rtl/>
              </w:rPr>
              <w:t>התנאים לרישום כאמור ב</w:t>
            </w:r>
            <w:r w:rsidRPr="005733D9">
              <w:rPr>
                <w:sz w:val="26"/>
                <w:rtl/>
              </w:rPr>
              <w:t>סעיף קטן (א), אם מצא כי התקיים בו אחד מאלה:</w:t>
            </w:r>
          </w:p>
        </w:tc>
      </w:tr>
      <w:tr w:rsidR="0045086B" w14:paraId="16F5AB99" w14:textId="77777777" w:rsidTr="0045086B">
        <w:trPr>
          <w:gridAfter w:val="2"/>
          <w:wAfter w:w="13038" w:type="dxa"/>
          <w:cantSplit/>
          <w:trHeight w:val="827"/>
        </w:trPr>
        <w:tc>
          <w:tcPr>
            <w:tcW w:w="1870" w:type="dxa"/>
          </w:tcPr>
          <w:p w14:paraId="7E809A59" w14:textId="77777777" w:rsidR="0045086B" w:rsidRDefault="0045086B" w:rsidP="0045086B">
            <w:pPr>
              <w:pStyle w:val="TableSideHeading"/>
            </w:pPr>
          </w:p>
        </w:tc>
        <w:tc>
          <w:tcPr>
            <w:tcW w:w="624" w:type="dxa"/>
          </w:tcPr>
          <w:p w14:paraId="26AE43E4" w14:textId="77777777" w:rsidR="0045086B" w:rsidRDefault="0045086B" w:rsidP="0045086B">
            <w:pPr>
              <w:pStyle w:val="TableText"/>
            </w:pPr>
          </w:p>
        </w:tc>
        <w:tc>
          <w:tcPr>
            <w:tcW w:w="624" w:type="dxa"/>
          </w:tcPr>
          <w:p w14:paraId="066F498A" w14:textId="77777777" w:rsidR="0045086B" w:rsidRDefault="0045086B" w:rsidP="0045086B">
            <w:pPr>
              <w:pStyle w:val="TableText"/>
            </w:pPr>
          </w:p>
        </w:tc>
        <w:tc>
          <w:tcPr>
            <w:tcW w:w="6522" w:type="dxa"/>
            <w:gridSpan w:val="2"/>
          </w:tcPr>
          <w:p w14:paraId="7664E016" w14:textId="77777777" w:rsidR="0045086B" w:rsidRPr="003B133D" w:rsidRDefault="0045086B" w:rsidP="0045086B">
            <w:pPr>
              <w:pStyle w:val="TableBlock"/>
              <w:rPr>
                <w:sz w:val="26"/>
              </w:rPr>
            </w:pPr>
            <w:r>
              <w:rPr>
                <w:sz w:val="26"/>
                <w:rtl/>
              </w:rPr>
              <w:t>(1)</w:t>
            </w:r>
            <w:r>
              <w:rPr>
                <w:sz w:val="26"/>
                <w:rtl/>
              </w:rPr>
              <w:tab/>
            </w:r>
            <w:r w:rsidRPr="005733D9">
              <w:rPr>
                <w:sz w:val="26"/>
                <w:rtl/>
              </w:rPr>
              <w:t>הוא הורשע בעבירה שמפאת חומרתה, מהותה או נסיבותיה אין הוא ראוי להיות יועץ משכנתאות;</w:t>
            </w:r>
          </w:p>
        </w:tc>
      </w:tr>
      <w:tr w:rsidR="0045086B" w14:paraId="08ABD76A" w14:textId="77777777" w:rsidTr="0045086B">
        <w:trPr>
          <w:gridAfter w:val="2"/>
          <w:wAfter w:w="13038" w:type="dxa"/>
          <w:cantSplit/>
        </w:trPr>
        <w:tc>
          <w:tcPr>
            <w:tcW w:w="1870" w:type="dxa"/>
          </w:tcPr>
          <w:p w14:paraId="69C4CCF1" w14:textId="77777777" w:rsidR="0045086B" w:rsidRDefault="0045086B" w:rsidP="0045086B">
            <w:pPr>
              <w:pStyle w:val="TableSideHeading"/>
            </w:pPr>
          </w:p>
        </w:tc>
        <w:tc>
          <w:tcPr>
            <w:tcW w:w="624" w:type="dxa"/>
          </w:tcPr>
          <w:p w14:paraId="3DF73AE1" w14:textId="77777777" w:rsidR="0045086B" w:rsidRDefault="0045086B" w:rsidP="0045086B">
            <w:pPr>
              <w:pStyle w:val="TableText"/>
            </w:pPr>
          </w:p>
        </w:tc>
        <w:tc>
          <w:tcPr>
            <w:tcW w:w="624" w:type="dxa"/>
          </w:tcPr>
          <w:p w14:paraId="509A90D8" w14:textId="77777777" w:rsidR="0045086B" w:rsidRDefault="0045086B" w:rsidP="0045086B">
            <w:pPr>
              <w:pStyle w:val="TableText"/>
            </w:pPr>
          </w:p>
        </w:tc>
        <w:tc>
          <w:tcPr>
            <w:tcW w:w="6522" w:type="dxa"/>
            <w:gridSpan w:val="2"/>
          </w:tcPr>
          <w:p w14:paraId="54B396C5" w14:textId="4CC154E5" w:rsidR="0045086B" w:rsidRPr="005733D9" w:rsidRDefault="0045086B" w:rsidP="00F06918">
            <w:pPr>
              <w:pStyle w:val="TableBlock"/>
              <w:rPr>
                <w:sz w:val="26"/>
                <w:rtl/>
              </w:rPr>
            </w:pPr>
            <w:r>
              <w:rPr>
                <w:sz w:val="26"/>
                <w:rtl/>
              </w:rPr>
              <w:t>(2)</w:t>
            </w:r>
            <w:r>
              <w:rPr>
                <w:sz w:val="26"/>
                <w:rtl/>
              </w:rPr>
              <w:tab/>
            </w:r>
            <w:r>
              <w:rPr>
                <w:rFonts w:hint="cs"/>
                <w:sz w:val="26"/>
                <w:rtl/>
              </w:rPr>
              <w:t>מתקיימות בו אחת מהעילות המנויות בסעיף 4</w:t>
            </w:r>
            <w:r w:rsidR="00F06918">
              <w:rPr>
                <w:rFonts w:hint="cs"/>
                <w:sz w:val="26"/>
                <w:rtl/>
              </w:rPr>
              <w:t>.</w:t>
            </w:r>
          </w:p>
        </w:tc>
      </w:tr>
      <w:tr w:rsidR="0045086B" w14:paraId="69759B15" w14:textId="77777777" w:rsidTr="0045086B">
        <w:trPr>
          <w:gridAfter w:val="2"/>
          <w:wAfter w:w="13038" w:type="dxa"/>
          <w:cantSplit/>
        </w:trPr>
        <w:tc>
          <w:tcPr>
            <w:tcW w:w="1870" w:type="dxa"/>
          </w:tcPr>
          <w:p w14:paraId="4373BACD" w14:textId="77777777" w:rsidR="0045086B" w:rsidRDefault="0045086B" w:rsidP="0045086B">
            <w:pPr>
              <w:pStyle w:val="TableSideHeading"/>
            </w:pPr>
          </w:p>
        </w:tc>
        <w:tc>
          <w:tcPr>
            <w:tcW w:w="624" w:type="dxa"/>
          </w:tcPr>
          <w:p w14:paraId="49D21447" w14:textId="77777777" w:rsidR="0045086B" w:rsidRDefault="0045086B" w:rsidP="0045086B">
            <w:pPr>
              <w:pStyle w:val="TableText"/>
            </w:pPr>
          </w:p>
        </w:tc>
        <w:tc>
          <w:tcPr>
            <w:tcW w:w="7146" w:type="dxa"/>
            <w:gridSpan w:val="3"/>
          </w:tcPr>
          <w:p w14:paraId="1B60BE6A" w14:textId="77777777" w:rsidR="0045086B" w:rsidRDefault="0045086B" w:rsidP="0045086B">
            <w:pPr>
              <w:pStyle w:val="TableBlock"/>
              <w:rPr>
                <w:sz w:val="26"/>
                <w:rtl/>
              </w:rPr>
            </w:pPr>
            <w:r>
              <w:rPr>
                <w:sz w:val="26"/>
                <w:rtl/>
              </w:rPr>
              <w:t>(ג)</w:t>
            </w:r>
            <w:r>
              <w:rPr>
                <w:sz w:val="26"/>
                <w:rtl/>
              </w:rPr>
              <w:tab/>
            </w:r>
            <w:r w:rsidRPr="005733D9">
              <w:rPr>
                <w:sz w:val="26"/>
                <w:rtl/>
              </w:rPr>
              <w:t>החליט הרשם שלא לרשום מבקש בפנקס, יודיע לו את נימוקיו בכתב.</w:t>
            </w:r>
          </w:p>
        </w:tc>
      </w:tr>
      <w:tr w:rsidR="0045086B" w14:paraId="5910F301" w14:textId="77777777" w:rsidTr="0045086B">
        <w:trPr>
          <w:gridAfter w:val="2"/>
          <w:wAfter w:w="13038" w:type="dxa"/>
          <w:cantSplit/>
        </w:trPr>
        <w:tc>
          <w:tcPr>
            <w:tcW w:w="1870" w:type="dxa"/>
          </w:tcPr>
          <w:p w14:paraId="5FCB65C5" w14:textId="77777777" w:rsidR="0045086B" w:rsidRDefault="0045086B" w:rsidP="0045086B">
            <w:pPr>
              <w:pStyle w:val="TableSideHeading"/>
            </w:pPr>
          </w:p>
        </w:tc>
        <w:tc>
          <w:tcPr>
            <w:tcW w:w="624" w:type="dxa"/>
          </w:tcPr>
          <w:p w14:paraId="190C1B0C" w14:textId="77777777" w:rsidR="0045086B" w:rsidRDefault="0045086B" w:rsidP="0045086B">
            <w:pPr>
              <w:pStyle w:val="TableText"/>
            </w:pPr>
          </w:p>
        </w:tc>
        <w:tc>
          <w:tcPr>
            <w:tcW w:w="7146" w:type="dxa"/>
            <w:gridSpan w:val="3"/>
          </w:tcPr>
          <w:p w14:paraId="00766518" w14:textId="62C50BBA" w:rsidR="0045086B" w:rsidRDefault="0045086B" w:rsidP="006B04E9">
            <w:pPr>
              <w:pStyle w:val="TableBlock"/>
              <w:rPr>
                <w:sz w:val="26"/>
                <w:rtl/>
              </w:rPr>
            </w:pPr>
            <w:r w:rsidRPr="0053120E">
              <w:rPr>
                <w:rFonts w:hint="cs"/>
                <w:sz w:val="26"/>
                <w:rtl/>
              </w:rPr>
              <w:t>(ד)</w:t>
            </w:r>
            <w:r>
              <w:rPr>
                <w:sz w:val="26"/>
                <w:rtl/>
              </w:rPr>
              <w:tab/>
            </w:r>
            <w:r w:rsidRPr="0053120E">
              <w:rPr>
                <w:rFonts w:hint="cs"/>
                <w:sz w:val="26"/>
                <w:rtl/>
              </w:rPr>
              <w:t xml:space="preserve">הרשם </w:t>
            </w:r>
            <w:r>
              <w:rPr>
                <w:rFonts w:hint="cs"/>
                <w:sz w:val="26"/>
                <w:rtl/>
              </w:rPr>
              <w:t>רשאי לבטל</w:t>
            </w:r>
            <w:r w:rsidRPr="0053120E">
              <w:rPr>
                <w:rFonts w:hint="cs"/>
                <w:sz w:val="26"/>
                <w:rtl/>
              </w:rPr>
              <w:t xml:space="preserve"> את הרישום בפנקס אם התקיימו התנאים כאמור בסעיף </w:t>
            </w:r>
            <w:r>
              <w:rPr>
                <w:rFonts w:hint="cs"/>
                <w:sz w:val="26"/>
                <w:rtl/>
              </w:rPr>
              <w:t>קטן (ב),</w:t>
            </w:r>
            <w:r w:rsidRPr="0053120E">
              <w:rPr>
                <w:rFonts w:hint="cs"/>
                <w:sz w:val="26"/>
                <w:rtl/>
              </w:rPr>
              <w:t xml:space="preserve"> </w:t>
            </w:r>
            <w:r w:rsidRPr="00B80B0F">
              <w:rPr>
                <w:rFonts w:hint="eastAsia"/>
                <w:sz w:val="26"/>
                <w:rtl/>
              </w:rPr>
              <w:t>וכן</w:t>
            </w:r>
            <w:r w:rsidRPr="00B80B0F">
              <w:rPr>
                <w:sz w:val="26"/>
                <w:rtl/>
              </w:rPr>
              <w:t xml:space="preserve"> הוא רשאי </w:t>
            </w:r>
            <w:r w:rsidRPr="00B80B0F">
              <w:rPr>
                <w:rFonts w:hint="eastAsia"/>
                <w:sz w:val="26"/>
                <w:rtl/>
              </w:rPr>
              <w:t>להתלות</w:t>
            </w:r>
            <w:r w:rsidRPr="00B80B0F">
              <w:rPr>
                <w:sz w:val="26"/>
                <w:rtl/>
              </w:rPr>
              <w:t xml:space="preserve"> את הרישום בפנקס עד לקיום תנאים שיורה עליהם, להגבילו או לסרב לחדשו, לאחר שנתן לבעל הרישיון הזדמנות לטעון את טענותיו, אם מתקיימים התנאים כאמור בסעיף </w:t>
            </w:r>
            <w:r w:rsidRPr="00B80B0F">
              <w:rPr>
                <w:rFonts w:hint="eastAsia"/>
                <w:sz w:val="26"/>
                <w:rtl/>
              </w:rPr>
              <w:t>קטן</w:t>
            </w:r>
            <w:r w:rsidRPr="00B80B0F">
              <w:rPr>
                <w:sz w:val="26"/>
                <w:rtl/>
              </w:rPr>
              <w:t xml:space="preserve"> (ב) </w:t>
            </w:r>
            <w:r w:rsidRPr="00B80B0F">
              <w:rPr>
                <w:rFonts w:hint="eastAsia"/>
                <w:sz w:val="26"/>
                <w:rtl/>
              </w:rPr>
              <w:t>ו</w:t>
            </w:r>
            <w:r>
              <w:rPr>
                <w:rFonts w:hint="cs"/>
                <w:sz w:val="26"/>
                <w:rtl/>
              </w:rPr>
              <w:t xml:space="preserve">בסעיף </w:t>
            </w:r>
            <w:r w:rsidRPr="00B80B0F">
              <w:rPr>
                <w:sz w:val="26"/>
                <w:rtl/>
              </w:rPr>
              <w:t>1</w:t>
            </w:r>
            <w:r w:rsidR="006B04E9">
              <w:rPr>
                <w:rFonts w:hint="cs"/>
                <w:sz w:val="26"/>
                <w:rtl/>
              </w:rPr>
              <w:t>5</w:t>
            </w:r>
            <w:r w:rsidRPr="00B80B0F">
              <w:rPr>
                <w:sz w:val="26"/>
                <w:rtl/>
              </w:rPr>
              <w:t>(ב).</w:t>
            </w:r>
            <w:r w:rsidRPr="0053120E">
              <w:rPr>
                <w:rFonts w:hint="cs"/>
                <w:sz w:val="26"/>
                <w:rtl/>
              </w:rPr>
              <w:t xml:space="preserve"> </w:t>
            </w:r>
          </w:p>
        </w:tc>
      </w:tr>
      <w:tr w:rsidR="0045086B" w14:paraId="7EFAC158" w14:textId="77777777" w:rsidTr="0045086B">
        <w:trPr>
          <w:gridAfter w:val="2"/>
          <w:wAfter w:w="13038" w:type="dxa"/>
          <w:cantSplit/>
          <w:trHeight w:val="897"/>
        </w:trPr>
        <w:tc>
          <w:tcPr>
            <w:tcW w:w="1870" w:type="dxa"/>
          </w:tcPr>
          <w:p w14:paraId="7A474A6C" w14:textId="77777777" w:rsidR="0045086B" w:rsidRDefault="0045086B" w:rsidP="0045086B">
            <w:pPr>
              <w:pStyle w:val="TableSideHeading"/>
            </w:pPr>
          </w:p>
        </w:tc>
        <w:tc>
          <w:tcPr>
            <w:tcW w:w="624" w:type="dxa"/>
          </w:tcPr>
          <w:p w14:paraId="1BFF0D78" w14:textId="77777777" w:rsidR="0045086B" w:rsidRDefault="0045086B" w:rsidP="0045086B">
            <w:pPr>
              <w:pStyle w:val="TableText"/>
            </w:pPr>
          </w:p>
        </w:tc>
        <w:tc>
          <w:tcPr>
            <w:tcW w:w="7146" w:type="dxa"/>
            <w:gridSpan w:val="3"/>
          </w:tcPr>
          <w:p w14:paraId="22B46E5E" w14:textId="77777777" w:rsidR="0045086B" w:rsidRPr="005733D9" w:rsidRDefault="0045086B" w:rsidP="0045086B">
            <w:pPr>
              <w:pStyle w:val="TableBlock"/>
              <w:rPr>
                <w:sz w:val="26"/>
                <w:rtl/>
              </w:rPr>
            </w:pPr>
            <w:r>
              <w:rPr>
                <w:rFonts w:hint="cs"/>
                <w:sz w:val="26"/>
                <w:rtl/>
              </w:rPr>
              <w:t>(ה)</w:t>
            </w:r>
            <w:r>
              <w:rPr>
                <w:sz w:val="26"/>
                <w:rtl/>
              </w:rPr>
              <w:tab/>
            </w:r>
            <w:r w:rsidRPr="0053120E">
              <w:rPr>
                <w:rFonts w:hint="cs"/>
                <w:sz w:val="26"/>
                <w:rtl/>
              </w:rPr>
              <w:t>המרשם יהיה פתוח לעיון הציבור באתר האינטרנט של הרשם; הרשם יורה על אופן הרישום במרשם, ופרטי הרישום שייכללו בו.</w:t>
            </w:r>
          </w:p>
        </w:tc>
      </w:tr>
      <w:tr w:rsidR="0045086B" w14:paraId="78E0C391" w14:textId="77777777" w:rsidTr="0045086B">
        <w:trPr>
          <w:gridAfter w:val="2"/>
          <w:wAfter w:w="13038" w:type="dxa"/>
          <w:cantSplit/>
        </w:trPr>
        <w:tc>
          <w:tcPr>
            <w:tcW w:w="1870" w:type="dxa"/>
          </w:tcPr>
          <w:p w14:paraId="74D84BD2" w14:textId="77777777" w:rsidR="0045086B" w:rsidRPr="003B133D" w:rsidRDefault="0045086B" w:rsidP="0045086B">
            <w:pPr>
              <w:pStyle w:val="TableSideHeading"/>
              <w:rPr>
                <w:sz w:val="26"/>
              </w:rPr>
            </w:pPr>
            <w:r>
              <w:rPr>
                <w:rFonts w:hint="cs"/>
                <w:sz w:val="26"/>
                <w:rtl/>
              </w:rPr>
              <w:t>תשלום אגרה שנתית</w:t>
            </w:r>
          </w:p>
        </w:tc>
        <w:tc>
          <w:tcPr>
            <w:tcW w:w="624" w:type="dxa"/>
          </w:tcPr>
          <w:p w14:paraId="28E1A510" w14:textId="1C4E460D" w:rsidR="0045086B" w:rsidRDefault="0045086B" w:rsidP="0045086B">
            <w:pPr>
              <w:pStyle w:val="TableText"/>
            </w:pPr>
            <w:r>
              <w:rPr>
                <w:rFonts w:hint="cs"/>
                <w:rtl/>
              </w:rPr>
              <w:t>15.</w:t>
            </w:r>
          </w:p>
        </w:tc>
        <w:tc>
          <w:tcPr>
            <w:tcW w:w="7146" w:type="dxa"/>
            <w:gridSpan w:val="3"/>
          </w:tcPr>
          <w:p w14:paraId="73860E55" w14:textId="77777777" w:rsidR="0045086B" w:rsidRDefault="0045086B" w:rsidP="0045086B">
            <w:pPr>
              <w:pStyle w:val="TableBlock"/>
              <w:rPr>
                <w:sz w:val="26"/>
              </w:rPr>
            </w:pPr>
            <w:r>
              <w:rPr>
                <w:rFonts w:hint="cs"/>
                <w:sz w:val="26"/>
                <w:rtl/>
              </w:rPr>
              <w:t>(א)</w:t>
            </w:r>
            <w:r>
              <w:rPr>
                <w:sz w:val="26"/>
                <w:rtl/>
              </w:rPr>
              <w:tab/>
            </w:r>
            <w:r>
              <w:rPr>
                <w:rFonts w:hint="cs"/>
                <w:sz w:val="26"/>
                <w:rtl/>
              </w:rPr>
              <w:t>השר, באישור ועדת הכלכלה של הכנסת, רשאי לקבוע אגרה שנתית שישלם יועץ משכנתאות ה</w:t>
            </w:r>
            <w:r w:rsidRPr="00FF1FC9">
              <w:rPr>
                <w:sz w:val="26"/>
                <w:rtl/>
              </w:rPr>
              <w:t>רשום בפנקס</w:t>
            </w:r>
            <w:r>
              <w:rPr>
                <w:rFonts w:hint="cs"/>
                <w:sz w:val="26"/>
                <w:rtl/>
              </w:rPr>
              <w:t>; מי שרשום בפנקס ישלם</w:t>
            </w:r>
            <w:r w:rsidRPr="00FF1FC9">
              <w:rPr>
                <w:sz w:val="26"/>
                <w:rtl/>
              </w:rPr>
              <w:t xml:space="preserve">, לא יאוחר מ-31 בינואר </w:t>
            </w:r>
            <w:r>
              <w:rPr>
                <w:rFonts w:hint="cs"/>
                <w:sz w:val="26"/>
                <w:rtl/>
              </w:rPr>
              <w:t>ב</w:t>
            </w:r>
            <w:r w:rsidRPr="00FF1FC9">
              <w:rPr>
                <w:sz w:val="26"/>
                <w:rtl/>
              </w:rPr>
              <w:t xml:space="preserve">כל שנה, </w:t>
            </w:r>
            <w:r>
              <w:rPr>
                <w:rFonts w:hint="cs"/>
                <w:sz w:val="26"/>
                <w:rtl/>
              </w:rPr>
              <w:t>את ה</w:t>
            </w:r>
            <w:r w:rsidRPr="00FF1FC9">
              <w:rPr>
                <w:sz w:val="26"/>
                <w:rtl/>
              </w:rPr>
              <w:t xml:space="preserve">אגרה </w:t>
            </w:r>
            <w:r>
              <w:rPr>
                <w:rFonts w:hint="cs"/>
                <w:sz w:val="26"/>
                <w:rtl/>
              </w:rPr>
              <w:t>ה</w:t>
            </w:r>
            <w:r w:rsidRPr="00FF1FC9">
              <w:rPr>
                <w:sz w:val="26"/>
                <w:rtl/>
              </w:rPr>
              <w:t>שנתית</w:t>
            </w:r>
            <w:r w:rsidRPr="001C2202">
              <w:rPr>
                <w:sz w:val="26"/>
                <w:rtl/>
              </w:rPr>
              <w:t xml:space="preserve">; </w:t>
            </w:r>
            <w:r w:rsidRPr="001C2202">
              <w:rPr>
                <w:rFonts w:hint="eastAsia"/>
                <w:sz w:val="26"/>
                <w:rtl/>
              </w:rPr>
              <w:t>השר</w:t>
            </w:r>
            <w:r w:rsidRPr="00CB4327">
              <w:rPr>
                <w:sz w:val="26"/>
                <w:rtl/>
              </w:rPr>
              <w:t xml:space="preserve"> </w:t>
            </w:r>
            <w:r w:rsidRPr="00CB4327">
              <w:rPr>
                <w:rFonts w:hint="eastAsia"/>
                <w:sz w:val="26"/>
                <w:rtl/>
              </w:rPr>
              <w:t>רשאי</w:t>
            </w:r>
            <w:r w:rsidRPr="00CB4327">
              <w:rPr>
                <w:sz w:val="26"/>
                <w:rtl/>
              </w:rPr>
              <w:t xml:space="preserve"> לקבוע הוראות בדבר הפרשי הצמדה וריבית שישולמו בשל פיגור בתשלום אגרות לפי סעיף זה, ובד</w:t>
            </w:r>
            <w:r>
              <w:rPr>
                <w:rFonts w:hint="cs"/>
                <w:sz w:val="26"/>
                <w:rtl/>
              </w:rPr>
              <w:t>ב</w:t>
            </w:r>
            <w:r w:rsidRPr="00CB4327">
              <w:rPr>
                <w:sz w:val="26"/>
                <w:rtl/>
              </w:rPr>
              <w:t xml:space="preserve">ר החלת פקודת המסים (גבייה) על גביית אגרות והפרשי הצמדה וריבית כאמור. </w:t>
            </w:r>
          </w:p>
        </w:tc>
      </w:tr>
      <w:tr w:rsidR="0045086B" w14:paraId="3C265A80" w14:textId="77777777" w:rsidTr="0045086B">
        <w:trPr>
          <w:gridAfter w:val="2"/>
          <w:wAfter w:w="13038" w:type="dxa"/>
          <w:cantSplit/>
        </w:trPr>
        <w:tc>
          <w:tcPr>
            <w:tcW w:w="1870" w:type="dxa"/>
          </w:tcPr>
          <w:p w14:paraId="61BB9912" w14:textId="77777777" w:rsidR="0045086B" w:rsidRDefault="0045086B" w:rsidP="0045086B">
            <w:pPr>
              <w:pStyle w:val="TableSideHeading"/>
              <w:rPr>
                <w:sz w:val="26"/>
                <w:rtl/>
              </w:rPr>
            </w:pPr>
          </w:p>
        </w:tc>
        <w:tc>
          <w:tcPr>
            <w:tcW w:w="624" w:type="dxa"/>
          </w:tcPr>
          <w:p w14:paraId="74EC2A11" w14:textId="77777777" w:rsidR="0045086B" w:rsidRDefault="0045086B" w:rsidP="0045086B">
            <w:pPr>
              <w:pStyle w:val="TableText"/>
              <w:rPr>
                <w:rtl/>
              </w:rPr>
            </w:pPr>
          </w:p>
        </w:tc>
        <w:tc>
          <w:tcPr>
            <w:tcW w:w="7146" w:type="dxa"/>
            <w:gridSpan w:val="3"/>
          </w:tcPr>
          <w:p w14:paraId="2316C8E9" w14:textId="77777777" w:rsidR="0045086B" w:rsidRDefault="0045086B" w:rsidP="0045086B">
            <w:pPr>
              <w:pStyle w:val="TableBlock"/>
              <w:rPr>
                <w:sz w:val="26"/>
                <w:rtl/>
              </w:rPr>
            </w:pPr>
            <w:r>
              <w:rPr>
                <w:rFonts w:hint="cs"/>
                <w:sz w:val="26"/>
                <w:rtl/>
              </w:rPr>
              <w:t>(ב)</w:t>
            </w:r>
            <w:r>
              <w:rPr>
                <w:sz w:val="26"/>
                <w:rtl/>
              </w:rPr>
              <w:tab/>
            </w:r>
            <w:r w:rsidRPr="003B133D">
              <w:rPr>
                <w:rFonts w:hint="eastAsia"/>
                <w:noProof/>
                <w:rtl/>
              </w:rPr>
              <w:t>לא</w:t>
            </w:r>
            <w:r w:rsidRPr="003B133D">
              <w:rPr>
                <w:noProof/>
                <w:rtl/>
              </w:rPr>
              <w:t xml:space="preserve"> </w:t>
            </w:r>
            <w:r w:rsidRPr="003B133D">
              <w:rPr>
                <w:rFonts w:hint="eastAsia"/>
                <w:noProof/>
                <w:rtl/>
              </w:rPr>
              <w:t>שילם</w:t>
            </w:r>
            <w:r w:rsidRPr="003B133D">
              <w:rPr>
                <w:noProof/>
                <w:rtl/>
              </w:rPr>
              <w:t xml:space="preserve"> </w:t>
            </w:r>
            <w:r w:rsidRPr="003B133D">
              <w:rPr>
                <w:rFonts w:hint="eastAsia"/>
                <w:noProof/>
                <w:rtl/>
              </w:rPr>
              <w:t>מי</w:t>
            </w:r>
            <w:r w:rsidRPr="003B133D">
              <w:rPr>
                <w:noProof/>
                <w:rtl/>
              </w:rPr>
              <w:t xml:space="preserve"> </w:t>
            </w:r>
            <w:r w:rsidRPr="003B133D">
              <w:rPr>
                <w:rFonts w:hint="eastAsia"/>
                <w:noProof/>
                <w:rtl/>
              </w:rPr>
              <w:t>שרשום</w:t>
            </w:r>
            <w:r w:rsidRPr="003B133D">
              <w:rPr>
                <w:noProof/>
                <w:rtl/>
              </w:rPr>
              <w:t xml:space="preserve"> </w:t>
            </w:r>
            <w:r w:rsidRPr="003B133D">
              <w:rPr>
                <w:rFonts w:hint="eastAsia"/>
                <w:noProof/>
                <w:rtl/>
              </w:rPr>
              <w:t>בפנקס</w:t>
            </w:r>
            <w:r w:rsidRPr="003B133D">
              <w:rPr>
                <w:noProof/>
                <w:rtl/>
              </w:rPr>
              <w:t xml:space="preserve"> </w:t>
            </w:r>
            <w:r w:rsidRPr="003B133D">
              <w:rPr>
                <w:rFonts w:hint="eastAsia"/>
                <w:noProof/>
                <w:rtl/>
              </w:rPr>
              <w:t>אגרה</w:t>
            </w:r>
            <w:r w:rsidRPr="003B133D">
              <w:rPr>
                <w:noProof/>
                <w:rtl/>
              </w:rPr>
              <w:t xml:space="preserve"> </w:t>
            </w:r>
            <w:r w:rsidRPr="003B133D">
              <w:rPr>
                <w:rFonts w:hint="eastAsia"/>
                <w:noProof/>
                <w:rtl/>
              </w:rPr>
              <w:t>שהיה</w:t>
            </w:r>
            <w:r w:rsidRPr="003B133D">
              <w:rPr>
                <w:noProof/>
                <w:rtl/>
              </w:rPr>
              <w:t xml:space="preserve"> </w:t>
            </w:r>
            <w:r w:rsidRPr="003B133D">
              <w:rPr>
                <w:rFonts w:hint="eastAsia"/>
                <w:noProof/>
                <w:rtl/>
              </w:rPr>
              <w:t>עליו</w:t>
            </w:r>
            <w:r w:rsidRPr="003B133D">
              <w:rPr>
                <w:noProof/>
                <w:rtl/>
              </w:rPr>
              <w:t xml:space="preserve"> </w:t>
            </w:r>
            <w:r w:rsidRPr="003B133D">
              <w:rPr>
                <w:rFonts w:hint="eastAsia"/>
                <w:noProof/>
                <w:rtl/>
              </w:rPr>
              <w:t>לשלם</w:t>
            </w:r>
            <w:r w:rsidRPr="003B133D">
              <w:rPr>
                <w:noProof/>
                <w:rtl/>
              </w:rPr>
              <w:t xml:space="preserve"> </w:t>
            </w:r>
            <w:r w:rsidRPr="003B133D">
              <w:rPr>
                <w:rFonts w:hint="eastAsia"/>
                <w:noProof/>
                <w:rtl/>
              </w:rPr>
              <w:t>לפי</w:t>
            </w:r>
            <w:r w:rsidRPr="003B133D">
              <w:rPr>
                <w:noProof/>
                <w:rtl/>
              </w:rPr>
              <w:t xml:space="preserve"> </w:t>
            </w:r>
            <w:r w:rsidRPr="003B133D">
              <w:rPr>
                <w:rFonts w:hint="eastAsia"/>
                <w:noProof/>
                <w:rtl/>
              </w:rPr>
              <w:t>הוראות</w:t>
            </w:r>
            <w:r w:rsidRPr="003B133D">
              <w:rPr>
                <w:noProof/>
                <w:rtl/>
              </w:rPr>
              <w:t xml:space="preserve"> </w:t>
            </w:r>
            <w:r w:rsidRPr="003B133D">
              <w:rPr>
                <w:rFonts w:hint="eastAsia"/>
                <w:noProof/>
                <w:rtl/>
              </w:rPr>
              <w:t>סעיף</w:t>
            </w:r>
            <w:r w:rsidRPr="003B133D">
              <w:rPr>
                <w:noProof/>
                <w:rtl/>
              </w:rPr>
              <w:t xml:space="preserve"> </w:t>
            </w:r>
            <w:r w:rsidRPr="003B133D">
              <w:rPr>
                <w:rFonts w:hint="eastAsia"/>
                <w:noProof/>
                <w:rtl/>
              </w:rPr>
              <w:t>קטן</w:t>
            </w:r>
            <w:r w:rsidRPr="003B133D">
              <w:rPr>
                <w:noProof/>
                <w:rtl/>
              </w:rPr>
              <w:t xml:space="preserve"> (א) </w:t>
            </w:r>
            <w:r w:rsidRPr="003B133D">
              <w:rPr>
                <w:rFonts w:hint="eastAsia"/>
                <w:noProof/>
                <w:rtl/>
              </w:rPr>
              <w:t>בתוך</w:t>
            </w:r>
            <w:r w:rsidRPr="003B133D">
              <w:rPr>
                <w:noProof/>
                <w:rtl/>
              </w:rPr>
              <w:t xml:space="preserve"> </w:t>
            </w:r>
            <w:r w:rsidRPr="003B133D">
              <w:rPr>
                <w:rFonts w:hint="eastAsia"/>
                <w:noProof/>
                <w:rtl/>
              </w:rPr>
              <w:t>שנה</w:t>
            </w:r>
            <w:r w:rsidRPr="003B133D">
              <w:rPr>
                <w:noProof/>
                <w:rtl/>
              </w:rPr>
              <w:t xml:space="preserve"> מהמועד שנקבע ל</w:t>
            </w:r>
            <w:r w:rsidRPr="003B133D">
              <w:rPr>
                <w:rFonts w:hint="eastAsia"/>
                <w:noProof/>
                <w:rtl/>
              </w:rPr>
              <w:t>תשלום</w:t>
            </w:r>
            <w:r w:rsidRPr="003B133D">
              <w:rPr>
                <w:noProof/>
                <w:rtl/>
              </w:rPr>
              <w:t xml:space="preserve"> לפי הוראות הסעיף הקטן האמור, לאחר שנשלחה התראה </w:t>
            </w:r>
            <w:r w:rsidRPr="003B133D">
              <w:rPr>
                <w:rFonts w:hint="eastAsia"/>
                <w:noProof/>
                <w:rtl/>
              </w:rPr>
              <w:t>לתשלום</w:t>
            </w:r>
            <w:r w:rsidRPr="003B133D">
              <w:rPr>
                <w:noProof/>
                <w:rtl/>
              </w:rPr>
              <w:t xml:space="preserve">, </w:t>
            </w:r>
            <w:r w:rsidRPr="003B133D">
              <w:rPr>
                <w:rFonts w:hint="eastAsia"/>
                <w:noProof/>
                <w:rtl/>
              </w:rPr>
              <w:t>יותלה</w:t>
            </w:r>
            <w:r w:rsidRPr="003B133D">
              <w:rPr>
                <w:noProof/>
                <w:rtl/>
              </w:rPr>
              <w:t xml:space="preserve"> </w:t>
            </w:r>
            <w:r w:rsidRPr="003B133D">
              <w:rPr>
                <w:rFonts w:hint="eastAsia"/>
                <w:noProof/>
                <w:rtl/>
              </w:rPr>
              <w:t>הרישום</w:t>
            </w:r>
            <w:r w:rsidRPr="003B133D">
              <w:rPr>
                <w:noProof/>
                <w:rtl/>
              </w:rPr>
              <w:t xml:space="preserve"> </w:t>
            </w:r>
            <w:r w:rsidRPr="003B133D">
              <w:rPr>
                <w:rFonts w:hint="eastAsia"/>
                <w:noProof/>
                <w:rtl/>
              </w:rPr>
              <w:t>בפנקס</w:t>
            </w:r>
            <w:r w:rsidRPr="003B133D">
              <w:rPr>
                <w:noProof/>
                <w:rtl/>
              </w:rPr>
              <w:t xml:space="preserve"> </w:t>
            </w:r>
            <w:r w:rsidRPr="003B133D">
              <w:rPr>
                <w:rFonts w:hint="eastAsia"/>
                <w:noProof/>
                <w:rtl/>
              </w:rPr>
              <w:t>עד</w:t>
            </w:r>
            <w:r w:rsidRPr="003B133D">
              <w:rPr>
                <w:noProof/>
                <w:rtl/>
              </w:rPr>
              <w:t xml:space="preserve"> </w:t>
            </w:r>
            <w:r w:rsidRPr="003B133D">
              <w:rPr>
                <w:rFonts w:hint="eastAsia"/>
                <w:noProof/>
                <w:rtl/>
              </w:rPr>
              <w:t>לתשלום</w:t>
            </w:r>
            <w:r w:rsidRPr="003B133D">
              <w:rPr>
                <w:noProof/>
                <w:rtl/>
              </w:rPr>
              <w:t xml:space="preserve"> </w:t>
            </w:r>
            <w:r w:rsidRPr="003B133D">
              <w:rPr>
                <w:rFonts w:hint="eastAsia"/>
                <w:noProof/>
                <w:rtl/>
              </w:rPr>
              <w:t>האגרה</w:t>
            </w:r>
            <w:r w:rsidRPr="003B133D">
              <w:rPr>
                <w:noProof/>
                <w:rtl/>
              </w:rPr>
              <w:t xml:space="preserve"> </w:t>
            </w:r>
            <w:r w:rsidRPr="003B133D">
              <w:rPr>
                <w:rFonts w:hint="eastAsia"/>
                <w:noProof/>
                <w:rtl/>
              </w:rPr>
              <w:t>בתוספת</w:t>
            </w:r>
            <w:r w:rsidRPr="003B133D">
              <w:rPr>
                <w:noProof/>
                <w:rtl/>
              </w:rPr>
              <w:t xml:space="preserve"> </w:t>
            </w:r>
            <w:r w:rsidRPr="003B133D">
              <w:rPr>
                <w:rFonts w:hint="eastAsia"/>
                <w:noProof/>
                <w:rtl/>
              </w:rPr>
              <w:t>הפרשי</w:t>
            </w:r>
            <w:r w:rsidRPr="003B133D">
              <w:rPr>
                <w:noProof/>
                <w:rtl/>
              </w:rPr>
              <w:t xml:space="preserve"> </w:t>
            </w:r>
            <w:r w:rsidRPr="003B133D">
              <w:rPr>
                <w:rFonts w:hint="eastAsia"/>
                <w:noProof/>
                <w:rtl/>
              </w:rPr>
              <w:t>הצמדה</w:t>
            </w:r>
            <w:r w:rsidRPr="003B133D">
              <w:rPr>
                <w:noProof/>
                <w:rtl/>
              </w:rPr>
              <w:t xml:space="preserve"> </w:t>
            </w:r>
            <w:r w:rsidRPr="003B133D">
              <w:rPr>
                <w:rFonts w:hint="eastAsia"/>
                <w:noProof/>
                <w:rtl/>
              </w:rPr>
              <w:t>וריבי</w:t>
            </w:r>
            <w:r>
              <w:rPr>
                <w:rFonts w:hint="cs"/>
                <w:noProof/>
                <w:rtl/>
              </w:rPr>
              <w:t>ת</w:t>
            </w:r>
            <w:r w:rsidRPr="003B133D">
              <w:rPr>
                <w:noProof/>
                <w:rtl/>
              </w:rPr>
              <w:t xml:space="preserve"> </w:t>
            </w:r>
            <w:r w:rsidRPr="003B133D">
              <w:rPr>
                <w:rFonts w:hint="eastAsia"/>
                <w:noProof/>
                <w:rtl/>
              </w:rPr>
              <w:t>כאמור</w:t>
            </w:r>
            <w:r w:rsidRPr="003B133D">
              <w:rPr>
                <w:noProof/>
                <w:rtl/>
              </w:rPr>
              <w:t xml:space="preserve"> </w:t>
            </w:r>
            <w:r w:rsidRPr="003B133D">
              <w:rPr>
                <w:rFonts w:hint="eastAsia"/>
                <w:noProof/>
                <w:rtl/>
              </w:rPr>
              <w:t>באותו</w:t>
            </w:r>
            <w:r w:rsidRPr="003B133D">
              <w:rPr>
                <w:noProof/>
                <w:rtl/>
              </w:rPr>
              <w:t xml:space="preserve"> </w:t>
            </w:r>
            <w:r w:rsidRPr="003B133D">
              <w:rPr>
                <w:rFonts w:hint="eastAsia"/>
                <w:noProof/>
                <w:rtl/>
              </w:rPr>
              <w:t>סעיף</w:t>
            </w:r>
            <w:r w:rsidRPr="003B133D">
              <w:rPr>
                <w:noProof/>
                <w:rtl/>
              </w:rPr>
              <w:t>.</w:t>
            </w:r>
          </w:p>
        </w:tc>
      </w:tr>
      <w:tr w:rsidR="0045086B" w14:paraId="680EDB5F" w14:textId="77777777" w:rsidTr="0045086B">
        <w:trPr>
          <w:gridAfter w:val="2"/>
          <w:wAfter w:w="13038" w:type="dxa"/>
          <w:cantSplit/>
        </w:trPr>
        <w:tc>
          <w:tcPr>
            <w:tcW w:w="1870" w:type="dxa"/>
          </w:tcPr>
          <w:p w14:paraId="266AC1C2" w14:textId="77777777" w:rsidR="0045086B" w:rsidRDefault="0045086B" w:rsidP="0045086B">
            <w:pPr>
              <w:pStyle w:val="TableSideHeading"/>
              <w:rPr>
                <w:sz w:val="26"/>
                <w:rtl/>
              </w:rPr>
            </w:pPr>
          </w:p>
        </w:tc>
        <w:tc>
          <w:tcPr>
            <w:tcW w:w="624" w:type="dxa"/>
          </w:tcPr>
          <w:p w14:paraId="68980079" w14:textId="77777777" w:rsidR="0045086B" w:rsidRDefault="0045086B" w:rsidP="0045086B">
            <w:pPr>
              <w:pStyle w:val="TableText"/>
              <w:rPr>
                <w:rtl/>
              </w:rPr>
            </w:pPr>
          </w:p>
        </w:tc>
        <w:tc>
          <w:tcPr>
            <w:tcW w:w="7146" w:type="dxa"/>
            <w:gridSpan w:val="3"/>
          </w:tcPr>
          <w:p w14:paraId="2A57095C" w14:textId="77777777" w:rsidR="0045086B" w:rsidRDefault="0045086B" w:rsidP="0045086B">
            <w:pPr>
              <w:pStyle w:val="TableBlock"/>
              <w:rPr>
                <w:sz w:val="26"/>
                <w:rtl/>
              </w:rPr>
            </w:pPr>
            <w:r>
              <w:rPr>
                <w:rFonts w:hint="cs"/>
                <w:sz w:val="26"/>
                <w:rtl/>
              </w:rPr>
              <w:t>(ג)</w:t>
            </w:r>
            <w:r>
              <w:rPr>
                <w:sz w:val="26"/>
                <w:rtl/>
              </w:rPr>
              <w:tab/>
            </w:r>
            <w:r>
              <w:rPr>
                <w:rFonts w:hint="cs"/>
                <w:sz w:val="26"/>
                <w:rtl/>
              </w:rPr>
              <w:t>השר יקבע כללים לעניין התליית רישום בפנקס וחזרה מהתליה או ביטול רישום של יועץ משכנתאות בפנקס בשל אי תשלום אגרה שנתית.</w:t>
            </w:r>
          </w:p>
        </w:tc>
      </w:tr>
      <w:tr w:rsidR="0045086B" w14:paraId="11C22EEF" w14:textId="77777777" w:rsidTr="0045086B">
        <w:trPr>
          <w:gridAfter w:val="2"/>
          <w:wAfter w:w="13038" w:type="dxa"/>
          <w:cantSplit/>
        </w:trPr>
        <w:tc>
          <w:tcPr>
            <w:tcW w:w="1870" w:type="dxa"/>
          </w:tcPr>
          <w:p w14:paraId="1D02BA42" w14:textId="77777777" w:rsidR="0045086B" w:rsidRDefault="0045086B" w:rsidP="0045086B">
            <w:pPr>
              <w:pStyle w:val="TableSideHeading"/>
              <w:rPr>
                <w:sz w:val="26"/>
                <w:rtl/>
              </w:rPr>
            </w:pPr>
            <w:r>
              <w:rPr>
                <w:rFonts w:hint="cs"/>
                <w:sz w:val="26"/>
                <w:rtl/>
              </w:rPr>
              <w:t>התליית רישום מרצון</w:t>
            </w:r>
          </w:p>
        </w:tc>
        <w:tc>
          <w:tcPr>
            <w:tcW w:w="624" w:type="dxa"/>
          </w:tcPr>
          <w:p w14:paraId="0CB03B4A" w14:textId="6B1EFDCC" w:rsidR="0045086B" w:rsidRDefault="0045086B" w:rsidP="0045086B">
            <w:pPr>
              <w:pStyle w:val="TableText"/>
              <w:rPr>
                <w:rtl/>
              </w:rPr>
            </w:pPr>
            <w:r>
              <w:rPr>
                <w:rFonts w:hint="cs"/>
                <w:rtl/>
              </w:rPr>
              <w:t>16.</w:t>
            </w:r>
          </w:p>
        </w:tc>
        <w:tc>
          <w:tcPr>
            <w:tcW w:w="7146" w:type="dxa"/>
            <w:gridSpan w:val="3"/>
          </w:tcPr>
          <w:p w14:paraId="5FDF3A08" w14:textId="77777777" w:rsidR="0045086B" w:rsidRPr="003B133D" w:rsidRDefault="0045086B" w:rsidP="0045086B">
            <w:pPr>
              <w:pStyle w:val="TableBlock"/>
              <w:rPr>
                <w:rtl/>
              </w:rPr>
            </w:pPr>
            <w:r>
              <w:rPr>
                <w:rFonts w:hint="cs"/>
                <w:rtl/>
              </w:rPr>
              <w:t>(א)</w:t>
            </w:r>
            <w:r>
              <w:rPr>
                <w:rtl/>
              </w:rPr>
              <w:tab/>
              <w:t>יועץ משכנתאות המבקש שלא לעסוק בייעוץ משכנתאות רשאי להודיע לרשם, בכתב, על רצונו להתלות את רישומו בפנקס, לתקופה כפי שיפרט בהודעתו; מסר יועץ משכנתאות הודעה כאמור, יותלה רישומו בפנקס למשך התקופה שפורטה בהודעתו</w:t>
            </w:r>
            <w:r>
              <w:rPr>
                <w:rFonts w:hint="cs"/>
                <w:rtl/>
              </w:rPr>
              <w:t>.</w:t>
            </w:r>
          </w:p>
        </w:tc>
      </w:tr>
      <w:tr w:rsidR="0045086B" w14:paraId="7143F955" w14:textId="77777777" w:rsidTr="0045086B">
        <w:trPr>
          <w:gridAfter w:val="2"/>
          <w:wAfter w:w="13038" w:type="dxa"/>
          <w:cantSplit/>
        </w:trPr>
        <w:tc>
          <w:tcPr>
            <w:tcW w:w="1870" w:type="dxa"/>
          </w:tcPr>
          <w:p w14:paraId="618F3B1F" w14:textId="77777777" w:rsidR="0045086B" w:rsidRDefault="0045086B" w:rsidP="0045086B">
            <w:pPr>
              <w:pStyle w:val="TableSideHeading"/>
              <w:rPr>
                <w:sz w:val="26"/>
                <w:rtl/>
              </w:rPr>
            </w:pPr>
          </w:p>
        </w:tc>
        <w:tc>
          <w:tcPr>
            <w:tcW w:w="624" w:type="dxa"/>
          </w:tcPr>
          <w:p w14:paraId="4EDC0C39" w14:textId="77777777" w:rsidR="0045086B" w:rsidRDefault="0045086B" w:rsidP="0045086B">
            <w:pPr>
              <w:pStyle w:val="TableText"/>
              <w:rPr>
                <w:rtl/>
              </w:rPr>
            </w:pPr>
          </w:p>
        </w:tc>
        <w:tc>
          <w:tcPr>
            <w:tcW w:w="7146" w:type="dxa"/>
            <w:gridSpan w:val="3"/>
          </w:tcPr>
          <w:p w14:paraId="6ACDB920" w14:textId="77777777" w:rsidR="0045086B" w:rsidRDefault="0045086B" w:rsidP="0045086B">
            <w:pPr>
              <w:pStyle w:val="TableBlock"/>
              <w:rPr>
                <w:rtl/>
              </w:rPr>
            </w:pPr>
            <w:r>
              <w:rPr>
                <w:rFonts w:hint="cs"/>
                <w:rtl/>
              </w:rPr>
              <w:t>(ב)</w:t>
            </w:r>
            <w:r>
              <w:rPr>
                <w:rtl/>
              </w:rPr>
              <w:tab/>
            </w:r>
            <w:r>
              <w:rPr>
                <w:rFonts w:hint="cs"/>
                <w:rtl/>
              </w:rPr>
              <w:t>יועץ משכנתאות שהותלה רישומו בפנקס לתקופה העולה על שלוש שנים, יגיש בקשה לרשם כדי להירשם מחדש במרשם.</w:t>
            </w:r>
          </w:p>
        </w:tc>
      </w:tr>
      <w:tr w:rsidR="0045086B" w14:paraId="346CE0F9" w14:textId="77777777" w:rsidTr="0045086B">
        <w:trPr>
          <w:gridAfter w:val="2"/>
          <w:wAfter w:w="13038" w:type="dxa"/>
          <w:cantSplit/>
        </w:trPr>
        <w:tc>
          <w:tcPr>
            <w:tcW w:w="1870" w:type="dxa"/>
          </w:tcPr>
          <w:p w14:paraId="57C123B2" w14:textId="77777777" w:rsidR="0045086B" w:rsidRDefault="0045086B" w:rsidP="0045086B">
            <w:pPr>
              <w:pStyle w:val="TableSideHeading"/>
              <w:rPr>
                <w:sz w:val="26"/>
                <w:rtl/>
              </w:rPr>
            </w:pPr>
          </w:p>
        </w:tc>
        <w:tc>
          <w:tcPr>
            <w:tcW w:w="624" w:type="dxa"/>
          </w:tcPr>
          <w:p w14:paraId="27833A35" w14:textId="77777777" w:rsidR="0045086B" w:rsidRDefault="0045086B" w:rsidP="0045086B">
            <w:pPr>
              <w:pStyle w:val="TableText"/>
              <w:rPr>
                <w:rtl/>
              </w:rPr>
            </w:pPr>
          </w:p>
        </w:tc>
        <w:tc>
          <w:tcPr>
            <w:tcW w:w="7146" w:type="dxa"/>
            <w:gridSpan w:val="3"/>
          </w:tcPr>
          <w:p w14:paraId="705CD539" w14:textId="77777777" w:rsidR="0045086B" w:rsidRPr="007B3434" w:rsidRDefault="0045086B" w:rsidP="0045086B">
            <w:pPr>
              <w:pStyle w:val="TableHead"/>
              <w:rPr>
                <w:rtl/>
              </w:rPr>
            </w:pPr>
            <w:r w:rsidRPr="007B3434">
              <w:rPr>
                <w:rFonts w:hint="eastAsia"/>
                <w:rtl/>
              </w:rPr>
              <w:t>פרק</w:t>
            </w:r>
            <w:r w:rsidRPr="007B3434">
              <w:rPr>
                <w:rtl/>
              </w:rPr>
              <w:t xml:space="preserve"> </w:t>
            </w:r>
            <w:r>
              <w:rPr>
                <w:rFonts w:hint="cs"/>
                <w:rtl/>
              </w:rPr>
              <w:t>ה'</w:t>
            </w:r>
            <w:r w:rsidRPr="007B3434">
              <w:rPr>
                <w:rtl/>
              </w:rPr>
              <w:t xml:space="preserve">: </w:t>
            </w:r>
            <w:r w:rsidRPr="007B3434">
              <w:rPr>
                <w:rFonts w:hint="eastAsia"/>
                <w:rtl/>
              </w:rPr>
              <w:t>בחינות</w:t>
            </w:r>
          </w:p>
        </w:tc>
      </w:tr>
      <w:tr w:rsidR="0045086B" w14:paraId="455D2340" w14:textId="77777777" w:rsidTr="0045086B">
        <w:trPr>
          <w:gridAfter w:val="2"/>
          <w:wAfter w:w="13038" w:type="dxa"/>
          <w:cantSplit/>
        </w:trPr>
        <w:tc>
          <w:tcPr>
            <w:tcW w:w="1870" w:type="dxa"/>
          </w:tcPr>
          <w:p w14:paraId="4FFF6E46" w14:textId="77777777" w:rsidR="0045086B" w:rsidRDefault="0045086B" w:rsidP="0045086B">
            <w:pPr>
              <w:pStyle w:val="TableSideHeading"/>
              <w:rPr>
                <w:sz w:val="26"/>
                <w:rtl/>
              </w:rPr>
            </w:pPr>
            <w:r>
              <w:rPr>
                <w:rFonts w:hint="cs"/>
                <w:sz w:val="26"/>
                <w:rtl/>
              </w:rPr>
              <w:t>בחינות המועצה</w:t>
            </w:r>
          </w:p>
        </w:tc>
        <w:tc>
          <w:tcPr>
            <w:tcW w:w="624" w:type="dxa"/>
          </w:tcPr>
          <w:p w14:paraId="153647A7" w14:textId="1E046F17" w:rsidR="0045086B" w:rsidRDefault="0045086B" w:rsidP="0045086B">
            <w:pPr>
              <w:pStyle w:val="TableText"/>
              <w:rPr>
                <w:rtl/>
              </w:rPr>
            </w:pPr>
            <w:r>
              <w:rPr>
                <w:rFonts w:hint="cs"/>
                <w:rtl/>
              </w:rPr>
              <w:t>17.</w:t>
            </w:r>
          </w:p>
        </w:tc>
        <w:tc>
          <w:tcPr>
            <w:tcW w:w="7146" w:type="dxa"/>
            <w:gridSpan w:val="3"/>
          </w:tcPr>
          <w:p w14:paraId="5E678B70" w14:textId="77777777" w:rsidR="0045086B" w:rsidRPr="00AB1183" w:rsidRDefault="0045086B" w:rsidP="0045086B">
            <w:pPr>
              <w:pStyle w:val="TableBlock"/>
              <w:rPr>
                <w:rtl/>
              </w:rPr>
            </w:pPr>
            <w:r w:rsidRPr="00AB1183">
              <w:rPr>
                <w:rFonts w:hint="cs"/>
                <w:rtl/>
              </w:rPr>
              <w:t>(א)</w:t>
            </w:r>
            <w:r>
              <w:rPr>
                <w:rtl/>
              </w:rPr>
              <w:tab/>
            </w:r>
            <w:r>
              <w:rPr>
                <w:rFonts w:hint="cs"/>
                <w:rtl/>
              </w:rPr>
              <w:t xml:space="preserve">השר יקבע כללים לעניין בחינות ההסמכה לעיסוק בייעוץ משכנתאות ועררים על הבחינות; </w:t>
            </w:r>
            <w:r w:rsidRPr="00CA5537">
              <w:rPr>
                <w:rtl/>
              </w:rPr>
              <w:t>המועצה תערוך את הבחינות ב</w:t>
            </w:r>
            <w:r>
              <w:rPr>
                <w:rFonts w:hint="cs"/>
                <w:rtl/>
              </w:rPr>
              <w:t>התאם לכללים, ב</w:t>
            </w:r>
            <w:r w:rsidRPr="00CA5537">
              <w:rPr>
                <w:rtl/>
              </w:rPr>
              <w:t>מועדים ובמקומות שתקבע</w:t>
            </w:r>
            <w:r>
              <w:rPr>
                <w:rFonts w:hint="cs"/>
                <w:rtl/>
              </w:rPr>
              <w:t>.</w:t>
            </w:r>
          </w:p>
        </w:tc>
      </w:tr>
      <w:tr w:rsidR="0045086B" w14:paraId="6EAD5866" w14:textId="77777777" w:rsidTr="0045086B">
        <w:trPr>
          <w:gridAfter w:val="2"/>
          <w:wAfter w:w="13038" w:type="dxa"/>
          <w:cantSplit/>
        </w:trPr>
        <w:tc>
          <w:tcPr>
            <w:tcW w:w="1870" w:type="dxa"/>
          </w:tcPr>
          <w:p w14:paraId="211E26BE" w14:textId="77777777" w:rsidR="0045086B" w:rsidRDefault="0045086B" w:rsidP="0045086B">
            <w:pPr>
              <w:pStyle w:val="TableSideHeading"/>
              <w:rPr>
                <w:sz w:val="26"/>
                <w:rtl/>
              </w:rPr>
            </w:pPr>
          </w:p>
        </w:tc>
        <w:tc>
          <w:tcPr>
            <w:tcW w:w="624" w:type="dxa"/>
          </w:tcPr>
          <w:p w14:paraId="1CC10E5C" w14:textId="77777777" w:rsidR="0045086B" w:rsidRDefault="0045086B" w:rsidP="0045086B">
            <w:pPr>
              <w:pStyle w:val="TableText"/>
              <w:rPr>
                <w:rtl/>
              </w:rPr>
            </w:pPr>
          </w:p>
        </w:tc>
        <w:tc>
          <w:tcPr>
            <w:tcW w:w="7146" w:type="dxa"/>
            <w:gridSpan w:val="3"/>
          </w:tcPr>
          <w:p w14:paraId="35508FE7" w14:textId="77777777" w:rsidR="0045086B" w:rsidRPr="00CA5537" w:rsidRDefault="0045086B" w:rsidP="0045086B">
            <w:pPr>
              <w:pStyle w:val="TableBlock"/>
              <w:rPr>
                <w:b/>
                <w:bCs/>
                <w:sz w:val="26"/>
                <w:rtl/>
              </w:rPr>
            </w:pPr>
            <w:r>
              <w:rPr>
                <w:rFonts w:hint="cs"/>
                <w:rtl/>
              </w:rPr>
              <w:t>(ב)</w:t>
            </w:r>
            <w:r>
              <w:rPr>
                <w:rtl/>
              </w:rPr>
              <w:tab/>
            </w:r>
            <w:r>
              <w:rPr>
                <w:rFonts w:hint="cs"/>
                <w:rtl/>
              </w:rPr>
              <w:t xml:space="preserve">המועצה תפרסם </w:t>
            </w:r>
            <w:r w:rsidRPr="00CA5537">
              <w:rPr>
                <w:rtl/>
              </w:rPr>
              <w:t xml:space="preserve">הודעה על עריכת הבחינות </w:t>
            </w:r>
            <w:r w:rsidRPr="00CA5537">
              <w:rPr>
                <w:rFonts w:hint="cs"/>
                <w:rtl/>
              </w:rPr>
              <w:t>ו</w:t>
            </w:r>
            <w:r>
              <w:rPr>
                <w:rtl/>
              </w:rPr>
              <w:t>מועדן ברשומות</w:t>
            </w:r>
            <w:r>
              <w:rPr>
                <w:rFonts w:hint="cs"/>
                <w:rtl/>
              </w:rPr>
              <w:t xml:space="preserve"> ובאתר האינטרנט של המועצה.</w:t>
            </w:r>
          </w:p>
        </w:tc>
      </w:tr>
      <w:tr w:rsidR="0045086B" w14:paraId="4174D191" w14:textId="77777777" w:rsidTr="0045086B">
        <w:trPr>
          <w:gridAfter w:val="2"/>
          <w:wAfter w:w="13038" w:type="dxa"/>
          <w:cantSplit/>
        </w:trPr>
        <w:tc>
          <w:tcPr>
            <w:tcW w:w="1870" w:type="dxa"/>
          </w:tcPr>
          <w:p w14:paraId="0B2525D6" w14:textId="77777777" w:rsidR="0045086B" w:rsidRDefault="0045086B" w:rsidP="0045086B">
            <w:pPr>
              <w:pStyle w:val="TableSideHeading"/>
              <w:rPr>
                <w:sz w:val="26"/>
                <w:rtl/>
              </w:rPr>
            </w:pPr>
            <w:r>
              <w:rPr>
                <w:rFonts w:hint="cs"/>
                <w:sz w:val="26"/>
                <w:rtl/>
              </w:rPr>
              <w:t>ערר על ציון בבחינה</w:t>
            </w:r>
          </w:p>
        </w:tc>
        <w:tc>
          <w:tcPr>
            <w:tcW w:w="624" w:type="dxa"/>
          </w:tcPr>
          <w:p w14:paraId="2B29420F" w14:textId="5EBA9984" w:rsidR="0045086B" w:rsidRDefault="0045086B" w:rsidP="0045086B">
            <w:pPr>
              <w:pStyle w:val="TableText"/>
              <w:rPr>
                <w:rtl/>
              </w:rPr>
            </w:pPr>
            <w:r>
              <w:rPr>
                <w:rFonts w:hint="cs"/>
                <w:rtl/>
              </w:rPr>
              <w:t>18.</w:t>
            </w:r>
          </w:p>
        </w:tc>
        <w:tc>
          <w:tcPr>
            <w:tcW w:w="7146" w:type="dxa"/>
            <w:gridSpan w:val="3"/>
          </w:tcPr>
          <w:p w14:paraId="68D7FF94" w14:textId="77777777" w:rsidR="0045086B" w:rsidRDefault="0045086B" w:rsidP="0045086B">
            <w:pPr>
              <w:pStyle w:val="TableBlock"/>
              <w:rPr>
                <w:rtl/>
              </w:rPr>
            </w:pPr>
            <w:r w:rsidRPr="00FF1FC9">
              <w:rPr>
                <w:rtl/>
              </w:rPr>
              <w:t>נבחן רשאי לערור ל</w:t>
            </w:r>
            <w:r>
              <w:rPr>
                <w:rFonts w:hint="cs"/>
                <w:rtl/>
              </w:rPr>
              <w:t>ו</w:t>
            </w:r>
            <w:r w:rsidRPr="00FF1FC9">
              <w:rPr>
                <w:rtl/>
              </w:rPr>
              <w:t xml:space="preserve">ועדת </w:t>
            </w:r>
            <w:r>
              <w:rPr>
                <w:rFonts w:hint="cs"/>
                <w:rtl/>
              </w:rPr>
              <w:t>פיקוח ו</w:t>
            </w:r>
            <w:r w:rsidRPr="00FF1FC9">
              <w:rPr>
                <w:rtl/>
              </w:rPr>
              <w:t xml:space="preserve">ערר על ציון שקיבל בבחינות המועצה; </w:t>
            </w:r>
            <w:r>
              <w:rPr>
                <w:rFonts w:hint="cs"/>
                <w:rtl/>
              </w:rPr>
              <w:t xml:space="preserve">השר יקבע את </w:t>
            </w:r>
            <w:r w:rsidRPr="00FF1FC9">
              <w:rPr>
                <w:rtl/>
              </w:rPr>
              <w:t>נ</w:t>
            </w:r>
            <w:r>
              <w:rPr>
                <w:rtl/>
              </w:rPr>
              <w:t>והלי הערר וסדריו.</w:t>
            </w:r>
          </w:p>
        </w:tc>
      </w:tr>
      <w:tr w:rsidR="0045086B" w14:paraId="20CD6C1F" w14:textId="77777777" w:rsidTr="0045086B">
        <w:trPr>
          <w:gridAfter w:val="2"/>
          <w:wAfter w:w="13038" w:type="dxa"/>
          <w:cantSplit/>
        </w:trPr>
        <w:tc>
          <w:tcPr>
            <w:tcW w:w="1870" w:type="dxa"/>
          </w:tcPr>
          <w:p w14:paraId="39988ABB" w14:textId="77777777" w:rsidR="0045086B" w:rsidRDefault="0045086B" w:rsidP="0045086B">
            <w:pPr>
              <w:pStyle w:val="TableSideHeading"/>
              <w:rPr>
                <w:sz w:val="26"/>
                <w:rtl/>
              </w:rPr>
            </w:pPr>
            <w:r>
              <w:rPr>
                <w:rFonts w:hint="cs"/>
                <w:sz w:val="26"/>
                <w:rtl/>
              </w:rPr>
              <w:t>ועדות וממלאי תפקידים</w:t>
            </w:r>
          </w:p>
        </w:tc>
        <w:tc>
          <w:tcPr>
            <w:tcW w:w="624" w:type="dxa"/>
          </w:tcPr>
          <w:p w14:paraId="2C0F06B8" w14:textId="73698220" w:rsidR="0045086B" w:rsidRDefault="0045086B" w:rsidP="0045086B">
            <w:pPr>
              <w:pStyle w:val="TableText"/>
              <w:rPr>
                <w:rtl/>
              </w:rPr>
            </w:pPr>
            <w:r>
              <w:rPr>
                <w:rFonts w:hint="cs"/>
                <w:rtl/>
              </w:rPr>
              <w:t>19.</w:t>
            </w:r>
          </w:p>
        </w:tc>
        <w:tc>
          <w:tcPr>
            <w:tcW w:w="7146" w:type="dxa"/>
            <w:gridSpan w:val="3"/>
          </w:tcPr>
          <w:p w14:paraId="57819211" w14:textId="77777777" w:rsidR="0045086B" w:rsidRPr="00FF1FC9" w:rsidRDefault="0045086B" w:rsidP="0045086B">
            <w:pPr>
              <w:pStyle w:val="TableBlock"/>
              <w:rPr>
                <w:rtl/>
              </w:rPr>
            </w:pPr>
            <w:r>
              <w:rPr>
                <w:rFonts w:hint="cs"/>
                <w:rtl/>
              </w:rPr>
              <w:t>(א)</w:t>
            </w:r>
            <w:r>
              <w:rPr>
                <w:rtl/>
              </w:rPr>
              <w:tab/>
            </w:r>
            <w:r w:rsidRPr="00084CF3">
              <w:rPr>
                <w:rtl/>
              </w:rPr>
              <w:t>המועצה תמנה את ה</w:t>
            </w:r>
            <w:r>
              <w:rPr>
                <w:rFonts w:hint="cs"/>
                <w:rtl/>
              </w:rPr>
              <w:t>ו</w:t>
            </w:r>
            <w:r w:rsidRPr="00084CF3">
              <w:rPr>
                <w:rtl/>
              </w:rPr>
              <w:t>ועדות וממלאי התפקידים ה</w:t>
            </w:r>
            <w:r>
              <w:rPr>
                <w:rFonts w:hint="cs"/>
                <w:rtl/>
              </w:rPr>
              <w:t xml:space="preserve">באים </w:t>
            </w:r>
            <w:r w:rsidRPr="00084CF3">
              <w:rPr>
                <w:rtl/>
              </w:rPr>
              <w:t>בכל הנוגע לבחינות המועצה:</w:t>
            </w:r>
          </w:p>
        </w:tc>
      </w:tr>
      <w:tr w:rsidR="0045086B" w14:paraId="0BC20194" w14:textId="77777777" w:rsidTr="0045086B">
        <w:trPr>
          <w:gridAfter w:val="2"/>
          <w:wAfter w:w="13038" w:type="dxa"/>
          <w:cantSplit/>
        </w:trPr>
        <w:tc>
          <w:tcPr>
            <w:tcW w:w="1870" w:type="dxa"/>
          </w:tcPr>
          <w:p w14:paraId="03B9A1DB" w14:textId="77777777" w:rsidR="0045086B" w:rsidRDefault="0045086B" w:rsidP="0045086B">
            <w:pPr>
              <w:pStyle w:val="TableSideHeading"/>
            </w:pPr>
          </w:p>
        </w:tc>
        <w:tc>
          <w:tcPr>
            <w:tcW w:w="624" w:type="dxa"/>
          </w:tcPr>
          <w:p w14:paraId="0382F1B4" w14:textId="77777777" w:rsidR="0045086B" w:rsidRDefault="0045086B" w:rsidP="0045086B">
            <w:pPr>
              <w:pStyle w:val="TableText"/>
            </w:pPr>
          </w:p>
        </w:tc>
        <w:tc>
          <w:tcPr>
            <w:tcW w:w="624" w:type="dxa"/>
          </w:tcPr>
          <w:p w14:paraId="517F4122" w14:textId="77777777" w:rsidR="0045086B" w:rsidRDefault="0045086B" w:rsidP="0045086B">
            <w:pPr>
              <w:pStyle w:val="TableText"/>
            </w:pPr>
          </w:p>
        </w:tc>
        <w:tc>
          <w:tcPr>
            <w:tcW w:w="6522" w:type="dxa"/>
            <w:gridSpan w:val="2"/>
          </w:tcPr>
          <w:p w14:paraId="19F29EC7" w14:textId="77777777" w:rsidR="0045086B" w:rsidRDefault="0045086B" w:rsidP="0045086B">
            <w:pPr>
              <w:pStyle w:val="TableBlock"/>
            </w:pPr>
            <w:r>
              <w:rPr>
                <w:rFonts w:hint="cs"/>
                <w:rtl/>
              </w:rPr>
              <w:t>(1)</w:t>
            </w:r>
            <w:r>
              <w:rPr>
                <w:rtl/>
              </w:rPr>
              <w:tab/>
              <w:t>חבר בוחנים – לחיבור שאלות הבחינה ובדיקת מחברות הנבחנים;</w:t>
            </w:r>
          </w:p>
        </w:tc>
      </w:tr>
      <w:tr w:rsidR="0045086B" w14:paraId="3A2BF429" w14:textId="77777777" w:rsidTr="0045086B">
        <w:trPr>
          <w:gridAfter w:val="2"/>
          <w:wAfter w:w="13038" w:type="dxa"/>
          <w:cantSplit/>
        </w:trPr>
        <w:tc>
          <w:tcPr>
            <w:tcW w:w="1870" w:type="dxa"/>
          </w:tcPr>
          <w:p w14:paraId="2CC3309B" w14:textId="77777777" w:rsidR="0045086B" w:rsidRDefault="0045086B" w:rsidP="0045086B">
            <w:pPr>
              <w:pStyle w:val="TableSideHeading"/>
            </w:pPr>
          </w:p>
        </w:tc>
        <w:tc>
          <w:tcPr>
            <w:tcW w:w="624" w:type="dxa"/>
          </w:tcPr>
          <w:p w14:paraId="572C79BB" w14:textId="77777777" w:rsidR="0045086B" w:rsidRDefault="0045086B" w:rsidP="0045086B">
            <w:pPr>
              <w:pStyle w:val="TableText"/>
            </w:pPr>
          </w:p>
        </w:tc>
        <w:tc>
          <w:tcPr>
            <w:tcW w:w="624" w:type="dxa"/>
          </w:tcPr>
          <w:p w14:paraId="6046E974" w14:textId="77777777" w:rsidR="0045086B" w:rsidRDefault="0045086B" w:rsidP="0045086B">
            <w:pPr>
              <w:pStyle w:val="TableText"/>
            </w:pPr>
          </w:p>
        </w:tc>
        <w:tc>
          <w:tcPr>
            <w:tcW w:w="6522" w:type="dxa"/>
            <w:gridSpan w:val="2"/>
          </w:tcPr>
          <w:p w14:paraId="1B76DDE9" w14:textId="77777777" w:rsidR="0045086B" w:rsidRDefault="0045086B" w:rsidP="0045086B">
            <w:pPr>
              <w:pStyle w:val="TableBlock"/>
              <w:rPr>
                <w:rtl/>
              </w:rPr>
            </w:pPr>
            <w:r>
              <w:rPr>
                <w:rFonts w:hint="cs"/>
                <w:rtl/>
              </w:rPr>
              <w:t>(2)</w:t>
            </w:r>
            <w:r>
              <w:rPr>
                <w:rtl/>
              </w:rPr>
              <w:tab/>
              <w:t xml:space="preserve">ועדת פיקוח </w:t>
            </w:r>
            <w:r>
              <w:rPr>
                <w:rFonts w:hint="cs"/>
                <w:rtl/>
              </w:rPr>
              <w:t xml:space="preserve">וערר </w:t>
            </w:r>
            <w:r>
              <w:rPr>
                <w:rtl/>
              </w:rPr>
              <w:t>– לפיקוח על הבחינות</w:t>
            </w:r>
            <w:r>
              <w:rPr>
                <w:rFonts w:hint="cs"/>
                <w:rtl/>
              </w:rPr>
              <w:t xml:space="preserve"> ו</w:t>
            </w:r>
            <w:r>
              <w:rPr>
                <w:rtl/>
              </w:rPr>
              <w:t>לבדיקת עררי נבחנים על ציונים שקיבלו בבחינה</w:t>
            </w:r>
            <w:r>
              <w:rPr>
                <w:rFonts w:hint="cs"/>
                <w:rtl/>
              </w:rPr>
              <w:t>.</w:t>
            </w:r>
          </w:p>
        </w:tc>
      </w:tr>
      <w:tr w:rsidR="0045086B" w14:paraId="24DBDA5D" w14:textId="77777777" w:rsidTr="0045086B">
        <w:trPr>
          <w:gridAfter w:val="2"/>
          <w:wAfter w:w="13038" w:type="dxa"/>
          <w:cantSplit/>
        </w:trPr>
        <w:tc>
          <w:tcPr>
            <w:tcW w:w="1870" w:type="dxa"/>
          </w:tcPr>
          <w:p w14:paraId="43428B6E" w14:textId="77777777" w:rsidR="0045086B" w:rsidRDefault="0045086B" w:rsidP="0045086B">
            <w:pPr>
              <w:pStyle w:val="TableSideHeading"/>
            </w:pPr>
          </w:p>
        </w:tc>
        <w:tc>
          <w:tcPr>
            <w:tcW w:w="624" w:type="dxa"/>
          </w:tcPr>
          <w:p w14:paraId="6AEBE030" w14:textId="77777777" w:rsidR="0045086B" w:rsidRDefault="0045086B" w:rsidP="0045086B">
            <w:pPr>
              <w:pStyle w:val="TableText"/>
            </w:pPr>
          </w:p>
        </w:tc>
        <w:tc>
          <w:tcPr>
            <w:tcW w:w="7146" w:type="dxa"/>
            <w:gridSpan w:val="3"/>
          </w:tcPr>
          <w:p w14:paraId="76047A7C" w14:textId="77777777" w:rsidR="0045086B" w:rsidRPr="00AB1183" w:rsidRDefault="0045086B" w:rsidP="0045086B">
            <w:pPr>
              <w:pStyle w:val="TableBlock"/>
              <w:rPr>
                <w:rtl/>
              </w:rPr>
            </w:pPr>
            <w:r>
              <w:rPr>
                <w:rFonts w:hint="cs"/>
                <w:rtl/>
              </w:rPr>
              <w:t>(ב)</w:t>
            </w:r>
            <w:r>
              <w:rPr>
                <w:rtl/>
              </w:rPr>
              <w:tab/>
            </w:r>
            <w:r>
              <w:rPr>
                <w:rFonts w:hint="cs"/>
                <w:rtl/>
              </w:rPr>
              <w:t xml:space="preserve">המועצה תקבע את </w:t>
            </w:r>
            <w:r>
              <w:rPr>
                <w:rtl/>
              </w:rPr>
              <w:t>סמכויות ה</w:t>
            </w:r>
            <w:r>
              <w:rPr>
                <w:rFonts w:hint="cs"/>
                <w:rtl/>
              </w:rPr>
              <w:t>ו</w:t>
            </w:r>
            <w:r>
              <w:rPr>
                <w:rtl/>
              </w:rPr>
              <w:t>ועדות</w:t>
            </w:r>
            <w:r>
              <w:rPr>
                <w:rFonts w:hint="cs"/>
                <w:rtl/>
              </w:rPr>
              <w:t xml:space="preserve"> כאמור בסעיף קטן (א)</w:t>
            </w:r>
            <w:r>
              <w:rPr>
                <w:rtl/>
              </w:rPr>
              <w:t>, מספר החברים ב</w:t>
            </w:r>
            <w:r>
              <w:rPr>
                <w:rFonts w:hint="cs"/>
                <w:rtl/>
              </w:rPr>
              <w:t>ו</w:t>
            </w:r>
            <w:r>
              <w:rPr>
                <w:rtl/>
              </w:rPr>
              <w:t>ועדות, כשירות החברים ב</w:t>
            </w:r>
            <w:r>
              <w:rPr>
                <w:rFonts w:hint="cs"/>
                <w:rtl/>
              </w:rPr>
              <w:t>ו</w:t>
            </w:r>
            <w:r>
              <w:rPr>
                <w:rtl/>
              </w:rPr>
              <w:t>ועדות והכשירות למילוי התפקידים, וכן דרכי הפעולה של ממלאי התפקידים ושל ה</w:t>
            </w:r>
            <w:r>
              <w:rPr>
                <w:rFonts w:hint="cs"/>
                <w:rtl/>
              </w:rPr>
              <w:t>ו</w:t>
            </w:r>
            <w:r>
              <w:rPr>
                <w:rtl/>
              </w:rPr>
              <w:t>ועדות</w:t>
            </w:r>
            <w:r>
              <w:rPr>
                <w:rFonts w:hint="cs"/>
                <w:rtl/>
              </w:rPr>
              <w:t>.</w:t>
            </w:r>
          </w:p>
        </w:tc>
      </w:tr>
      <w:tr w:rsidR="0045086B" w14:paraId="492276AF" w14:textId="77777777" w:rsidTr="0045086B">
        <w:trPr>
          <w:gridAfter w:val="2"/>
          <w:wAfter w:w="13038" w:type="dxa"/>
          <w:cantSplit/>
        </w:trPr>
        <w:tc>
          <w:tcPr>
            <w:tcW w:w="1870" w:type="dxa"/>
          </w:tcPr>
          <w:p w14:paraId="2154EA3E" w14:textId="77777777" w:rsidR="0045086B" w:rsidRDefault="0045086B" w:rsidP="0045086B">
            <w:pPr>
              <w:pStyle w:val="TableSideHeading"/>
            </w:pPr>
          </w:p>
        </w:tc>
        <w:tc>
          <w:tcPr>
            <w:tcW w:w="624" w:type="dxa"/>
          </w:tcPr>
          <w:p w14:paraId="51AB18CD" w14:textId="77777777" w:rsidR="0045086B" w:rsidRDefault="0045086B" w:rsidP="0045086B">
            <w:pPr>
              <w:pStyle w:val="TableText"/>
            </w:pPr>
          </w:p>
        </w:tc>
        <w:tc>
          <w:tcPr>
            <w:tcW w:w="7146" w:type="dxa"/>
            <w:gridSpan w:val="3"/>
          </w:tcPr>
          <w:p w14:paraId="2BE346DE" w14:textId="77777777" w:rsidR="0045086B" w:rsidRPr="00AB1183" w:rsidRDefault="0045086B" w:rsidP="0045086B">
            <w:pPr>
              <w:pStyle w:val="TableHead"/>
              <w:rPr>
                <w:rtl/>
              </w:rPr>
            </w:pPr>
            <w:r w:rsidRPr="00AB1183">
              <w:rPr>
                <w:rFonts w:hint="cs"/>
                <w:rtl/>
              </w:rPr>
              <w:t xml:space="preserve">פרק </w:t>
            </w:r>
            <w:r>
              <w:rPr>
                <w:rFonts w:hint="cs"/>
                <w:rtl/>
              </w:rPr>
              <w:t>ו'</w:t>
            </w:r>
            <w:r w:rsidRPr="00AB1183">
              <w:rPr>
                <w:rFonts w:hint="cs"/>
                <w:rtl/>
              </w:rPr>
              <w:t xml:space="preserve">: </w:t>
            </w:r>
            <w:r>
              <w:rPr>
                <w:rFonts w:hint="cs"/>
                <w:rtl/>
              </w:rPr>
              <w:t>הוראות שונות</w:t>
            </w:r>
          </w:p>
        </w:tc>
      </w:tr>
      <w:tr w:rsidR="0045086B" w14:paraId="395A7B5F" w14:textId="77777777" w:rsidTr="0045086B">
        <w:trPr>
          <w:gridAfter w:val="2"/>
          <w:wAfter w:w="13038" w:type="dxa"/>
          <w:cantSplit/>
        </w:trPr>
        <w:tc>
          <w:tcPr>
            <w:tcW w:w="1870" w:type="dxa"/>
          </w:tcPr>
          <w:p w14:paraId="4A2FEEB7" w14:textId="77777777" w:rsidR="0045086B" w:rsidRDefault="0045086B" w:rsidP="0045086B">
            <w:pPr>
              <w:pStyle w:val="TableSideHeading"/>
            </w:pPr>
            <w:r>
              <w:rPr>
                <w:rFonts w:hint="cs"/>
                <w:sz w:val="26"/>
                <w:rtl/>
              </w:rPr>
              <w:t>עונשין</w:t>
            </w:r>
          </w:p>
        </w:tc>
        <w:tc>
          <w:tcPr>
            <w:tcW w:w="624" w:type="dxa"/>
          </w:tcPr>
          <w:p w14:paraId="2BE5C5D6" w14:textId="698F9510" w:rsidR="0045086B" w:rsidRDefault="0045086B" w:rsidP="0045086B">
            <w:pPr>
              <w:pStyle w:val="TableText"/>
            </w:pPr>
            <w:r>
              <w:rPr>
                <w:rFonts w:hint="cs"/>
                <w:rtl/>
              </w:rPr>
              <w:t>20.</w:t>
            </w:r>
          </w:p>
        </w:tc>
        <w:tc>
          <w:tcPr>
            <w:tcW w:w="7146" w:type="dxa"/>
            <w:gridSpan w:val="3"/>
          </w:tcPr>
          <w:p w14:paraId="28E3770A" w14:textId="77777777" w:rsidR="0045086B" w:rsidRPr="00AB1183" w:rsidRDefault="0045086B" w:rsidP="0045086B">
            <w:pPr>
              <w:pStyle w:val="TableBlock"/>
              <w:rPr>
                <w:rtl/>
              </w:rPr>
            </w:pPr>
            <w:r>
              <w:rPr>
                <w:rFonts w:hint="cs"/>
                <w:rtl/>
              </w:rPr>
              <w:t>(א)</w:t>
            </w:r>
            <w:r>
              <w:rPr>
                <w:rtl/>
              </w:rPr>
              <w:tab/>
            </w:r>
            <w:r>
              <w:rPr>
                <w:rFonts w:hint="cs"/>
                <w:rtl/>
              </w:rPr>
              <w:t>העושה אחד מאלה, דינו</w:t>
            </w:r>
            <w:r w:rsidRPr="005B589B">
              <w:rPr>
                <w:sz w:val="26"/>
                <w:rtl/>
              </w:rPr>
              <w:t xml:space="preserve"> </w:t>
            </w:r>
            <w:r>
              <w:rPr>
                <w:rFonts w:hint="eastAsia"/>
                <w:sz w:val="26"/>
                <w:rtl/>
              </w:rPr>
              <w:t>–</w:t>
            </w:r>
            <w:r>
              <w:rPr>
                <w:rFonts w:hint="cs"/>
                <w:sz w:val="26"/>
                <w:rtl/>
              </w:rPr>
              <w:t xml:space="preserve"> </w:t>
            </w:r>
            <w:r w:rsidRPr="005B589B">
              <w:rPr>
                <w:sz w:val="26"/>
                <w:rtl/>
              </w:rPr>
              <w:t xml:space="preserve">קנס </w:t>
            </w:r>
            <w:r w:rsidRPr="00490F82">
              <w:rPr>
                <w:sz w:val="26"/>
                <w:rtl/>
              </w:rPr>
              <w:t xml:space="preserve">כאמור בסעיף קטן 61(א)(4) </w:t>
            </w:r>
            <w:r>
              <w:rPr>
                <w:rFonts w:hint="cs"/>
                <w:sz w:val="26"/>
                <w:rtl/>
              </w:rPr>
              <w:t>לחוק העונשין:</w:t>
            </w:r>
          </w:p>
        </w:tc>
      </w:tr>
      <w:tr w:rsidR="0045086B" w14:paraId="60ACB75D" w14:textId="77777777" w:rsidTr="0045086B">
        <w:trPr>
          <w:gridAfter w:val="2"/>
          <w:wAfter w:w="13038" w:type="dxa"/>
          <w:cantSplit/>
          <w:trHeight w:val="60"/>
        </w:trPr>
        <w:tc>
          <w:tcPr>
            <w:tcW w:w="1870" w:type="dxa"/>
          </w:tcPr>
          <w:p w14:paraId="5F3BC2F4" w14:textId="77777777" w:rsidR="0045086B" w:rsidRDefault="0045086B" w:rsidP="0045086B">
            <w:pPr>
              <w:pStyle w:val="TableSideHeading"/>
            </w:pPr>
          </w:p>
        </w:tc>
        <w:tc>
          <w:tcPr>
            <w:tcW w:w="624" w:type="dxa"/>
          </w:tcPr>
          <w:p w14:paraId="12B2E382" w14:textId="77777777" w:rsidR="0045086B" w:rsidRDefault="0045086B" w:rsidP="0045086B">
            <w:pPr>
              <w:pStyle w:val="TableText"/>
            </w:pPr>
          </w:p>
        </w:tc>
        <w:tc>
          <w:tcPr>
            <w:tcW w:w="624" w:type="dxa"/>
          </w:tcPr>
          <w:p w14:paraId="73CEB609" w14:textId="77777777" w:rsidR="0045086B" w:rsidRDefault="0045086B" w:rsidP="0045086B">
            <w:pPr>
              <w:pStyle w:val="TableText"/>
            </w:pPr>
          </w:p>
        </w:tc>
        <w:tc>
          <w:tcPr>
            <w:tcW w:w="6522" w:type="dxa"/>
            <w:gridSpan w:val="2"/>
          </w:tcPr>
          <w:p w14:paraId="5C2A5FDE" w14:textId="77777777" w:rsidR="0045086B" w:rsidRDefault="0045086B" w:rsidP="0045086B">
            <w:pPr>
              <w:pStyle w:val="TableBlock"/>
            </w:pPr>
            <w:r>
              <w:rPr>
                <w:rFonts w:hint="cs"/>
                <w:rtl/>
              </w:rPr>
              <w:t>(1)</w:t>
            </w:r>
            <w:r>
              <w:rPr>
                <w:sz w:val="26"/>
                <w:rtl/>
              </w:rPr>
              <w:tab/>
            </w:r>
            <w:r w:rsidRPr="005B589B">
              <w:rPr>
                <w:sz w:val="26"/>
                <w:rtl/>
              </w:rPr>
              <w:t>עסק בייעוץ משכנתאות בניגוד להורא</w:t>
            </w:r>
            <w:r>
              <w:rPr>
                <w:rFonts w:hint="cs"/>
                <w:sz w:val="26"/>
                <w:rtl/>
              </w:rPr>
              <w:t>ו</w:t>
            </w:r>
            <w:r w:rsidRPr="005B589B">
              <w:rPr>
                <w:sz w:val="26"/>
                <w:rtl/>
              </w:rPr>
              <w:t xml:space="preserve">ת סעיף </w:t>
            </w:r>
            <w:r>
              <w:rPr>
                <w:rFonts w:hint="cs"/>
                <w:sz w:val="26"/>
                <w:rtl/>
              </w:rPr>
              <w:t>2</w:t>
            </w:r>
            <w:r>
              <w:rPr>
                <w:rFonts w:hint="cs"/>
                <w:rtl/>
              </w:rPr>
              <w:t>;</w:t>
            </w:r>
          </w:p>
        </w:tc>
      </w:tr>
      <w:tr w:rsidR="0045086B" w14:paraId="385F9269" w14:textId="77777777" w:rsidTr="0045086B">
        <w:trPr>
          <w:gridAfter w:val="2"/>
          <w:wAfter w:w="13038" w:type="dxa"/>
          <w:cantSplit/>
          <w:trHeight w:val="60"/>
        </w:trPr>
        <w:tc>
          <w:tcPr>
            <w:tcW w:w="1870" w:type="dxa"/>
          </w:tcPr>
          <w:p w14:paraId="5D036451" w14:textId="77777777" w:rsidR="0045086B" w:rsidRDefault="0045086B" w:rsidP="0045086B">
            <w:pPr>
              <w:pStyle w:val="TableSideHeading"/>
            </w:pPr>
          </w:p>
        </w:tc>
        <w:tc>
          <w:tcPr>
            <w:tcW w:w="624" w:type="dxa"/>
          </w:tcPr>
          <w:p w14:paraId="662C6917" w14:textId="77777777" w:rsidR="0045086B" w:rsidRDefault="0045086B" w:rsidP="0045086B">
            <w:pPr>
              <w:pStyle w:val="TableText"/>
            </w:pPr>
          </w:p>
        </w:tc>
        <w:tc>
          <w:tcPr>
            <w:tcW w:w="624" w:type="dxa"/>
          </w:tcPr>
          <w:p w14:paraId="50C88640" w14:textId="77777777" w:rsidR="0045086B" w:rsidRDefault="0045086B" w:rsidP="0045086B">
            <w:pPr>
              <w:pStyle w:val="TableText"/>
            </w:pPr>
          </w:p>
        </w:tc>
        <w:tc>
          <w:tcPr>
            <w:tcW w:w="6522" w:type="dxa"/>
            <w:gridSpan w:val="2"/>
          </w:tcPr>
          <w:p w14:paraId="37D3187F" w14:textId="77777777" w:rsidR="0045086B" w:rsidRDefault="0045086B" w:rsidP="0045086B">
            <w:pPr>
              <w:pStyle w:val="TableBlock"/>
              <w:rPr>
                <w:rtl/>
              </w:rPr>
            </w:pPr>
            <w:r>
              <w:rPr>
                <w:rFonts w:hint="cs"/>
                <w:rtl/>
              </w:rPr>
              <w:t>(2)</w:t>
            </w:r>
            <w:r>
              <w:rPr>
                <w:rtl/>
              </w:rPr>
              <w:tab/>
            </w:r>
            <w:r>
              <w:rPr>
                <w:rFonts w:hint="cs"/>
                <w:rtl/>
              </w:rPr>
              <w:t>עסק בייעוץ משכנתאות בהיותו עובד של גוף פיננסי, בניגוד להוראות סעיף 4(ב).</w:t>
            </w:r>
          </w:p>
        </w:tc>
      </w:tr>
      <w:tr w:rsidR="0045086B" w14:paraId="2C1FA19B" w14:textId="77777777" w:rsidTr="0045086B">
        <w:trPr>
          <w:gridAfter w:val="2"/>
          <w:wAfter w:w="13038" w:type="dxa"/>
          <w:cantSplit/>
        </w:trPr>
        <w:tc>
          <w:tcPr>
            <w:tcW w:w="1870" w:type="dxa"/>
          </w:tcPr>
          <w:p w14:paraId="45808A8E" w14:textId="77777777" w:rsidR="0045086B" w:rsidRDefault="0045086B" w:rsidP="0045086B">
            <w:pPr>
              <w:pStyle w:val="TableSideHeading"/>
              <w:rPr>
                <w:sz w:val="26"/>
                <w:rtl/>
              </w:rPr>
            </w:pPr>
          </w:p>
        </w:tc>
        <w:tc>
          <w:tcPr>
            <w:tcW w:w="624" w:type="dxa"/>
          </w:tcPr>
          <w:p w14:paraId="6F503D34" w14:textId="77777777" w:rsidR="0045086B" w:rsidRDefault="0045086B" w:rsidP="0045086B">
            <w:pPr>
              <w:pStyle w:val="TableText"/>
              <w:rPr>
                <w:rtl/>
              </w:rPr>
            </w:pPr>
          </w:p>
        </w:tc>
        <w:tc>
          <w:tcPr>
            <w:tcW w:w="7146" w:type="dxa"/>
            <w:gridSpan w:val="3"/>
          </w:tcPr>
          <w:p w14:paraId="7448E900" w14:textId="77777777" w:rsidR="0045086B" w:rsidRDefault="0045086B" w:rsidP="0045086B">
            <w:pPr>
              <w:pStyle w:val="TableBlock"/>
              <w:rPr>
                <w:rtl/>
              </w:rPr>
            </w:pPr>
            <w:r>
              <w:rPr>
                <w:rFonts w:hint="cs"/>
                <w:rtl/>
              </w:rPr>
              <w:t>(ב)</w:t>
            </w:r>
            <w:r>
              <w:rPr>
                <w:rtl/>
              </w:rPr>
              <w:tab/>
            </w:r>
            <w:r w:rsidRPr="00AB1183">
              <w:rPr>
                <w:rtl/>
              </w:rPr>
              <w:t xml:space="preserve">המתחזה ליועץ משכנתאות או המשתמש בתואר יועץ משכנתאות או בכינוי דומה העשוי ליצור רושם שהוא יועץ משכנתאות, והוא אינו יועץ משכנתאות, דינו – </w:t>
            </w:r>
            <w:r w:rsidRPr="00AB1183">
              <w:rPr>
                <w:rFonts w:hint="cs"/>
                <w:rtl/>
              </w:rPr>
              <w:t xml:space="preserve">מאסר שנה או קנס </w:t>
            </w:r>
            <w:r w:rsidRPr="00AB1183">
              <w:rPr>
                <w:rtl/>
              </w:rPr>
              <w:t>כאמור בסעיף קטן 61(א)(4) לחוק העונשין</w:t>
            </w:r>
            <w:r w:rsidRPr="001A6651">
              <w:rPr>
                <w:rtl/>
              </w:rPr>
              <w:t>.</w:t>
            </w:r>
          </w:p>
        </w:tc>
      </w:tr>
      <w:tr w:rsidR="0045086B" w14:paraId="474608B7" w14:textId="77777777" w:rsidTr="0045086B">
        <w:trPr>
          <w:gridAfter w:val="2"/>
          <w:wAfter w:w="13038" w:type="dxa"/>
          <w:cantSplit/>
        </w:trPr>
        <w:tc>
          <w:tcPr>
            <w:tcW w:w="1870" w:type="dxa"/>
          </w:tcPr>
          <w:p w14:paraId="548793D8" w14:textId="77777777" w:rsidR="0045086B" w:rsidRDefault="0045086B" w:rsidP="0045086B">
            <w:pPr>
              <w:pStyle w:val="TableSideHeading"/>
              <w:rPr>
                <w:sz w:val="26"/>
                <w:rtl/>
              </w:rPr>
            </w:pPr>
            <w:r>
              <w:rPr>
                <w:rFonts w:hint="cs"/>
                <w:sz w:val="26"/>
                <w:rtl/>
              </w:rPr>
              <w:t>ביצוע ותקנות</w:t>
            </w:r>
          </w:p>
        </w:tc>
        <w:tc>
          <w:tcPr>
            <w:tcW w:w="624" w:type="dxa"/>
          </w:tcPr>
          <w:p w14:paraId="703FABD1" w14:textId="463F7F87" w:rsidR="0045086B" w:rsidRDefault="0045086B" w:rsidP="0045086B">
            <w:pPr>
              <w:pStyle w:val="TableText"/>
            </w:pPr>
            <w:r>
              <w:rPr>
                <w:rFonts w:hint="cs"/>
                <w:rtl/>
              </w:rPr>
              <w:t>21.</w:t>
            </w:r>
          </w:p>
        </w:tc>
        <w:tc>
          <w:tcPr>
            <w:tcW w:w="7146" w:type="dxa"/>
            <w:gridSpan w:val="3"/>
          </w:tcPr>
          <w:p w14:paraId="55AF75C6" w14:textId="77777777" w:rsidR="0045086B" w:rsidRPr="00AB1183" w:rsidRDefault="0045086B" w:rsidP="0045086B">
            <w:pPr>
              <w:pStyle w:val="TableBlock"/>
              <w:rPr>
                <w:rtl/>
              </w:rPr>
            </w:pPr>
            <w:r>
              <w:rPr>
                <w:rFonts w:hint="cs"/>
                <w:rtl/>
              </w:rPr>
              <w:t>(א)</w:t>
            </w:r>
            <w:r>
              <w:rPr>
                <w:rtl/>
              </w:rPr>
              <w:tab/>
            </w:r>
            <w:r w:rsidRPr="00285F8C">
              <w:rPr>
                <w:sz w:val="26"/>
                <w:rtl/>
              </w:rPr>
              <w:t>השר ממונה על ביצוע חוק זה והוא רשאי להתקין תקנות בכל ענ</w:t>
            </w:r>
            <w:r>
              <w:rPr>
                <w:rFonts w:hint="cs"/>
                <w:sz w:val="26"/>
                <w:rtl/>
              </w:rPr>
              <w:t>י</w:t>
            </w:r>
            <w:r w:rsidRPr="00285F8C">
              <w:rPr>
                <w:sz w:val="26"/>
                <w:rtl/>
              </w:rPr>
              <w:t xml:space="preserve">ין הנוגע לביצועו, </w:t>
            </w:r>
            <w:r>
              <w:rPr>
                <w:rFonts w:hint="cs"/>
                <w:sz w:val="26"/>
                <w:rtl/>
              </w:rPr>
              <w:t xml:space="preserve">ובכלל זה בעניינים אלה: </w:t>
            </w:r>
          </w:p>
        </w:tc>
      </w:tr>
      <w:tr w:rsidR="0045086B" w14:paraId="3F71B0F4" w14:textId="77777777" w:rsidTr="0045086B">
        <w:trPr>
          <w:gridAfter w:val="2"/>
          <w:wAfter w:w="13038" w:type="dxa"/>
          <w:cantSplit/>
        </w:trPr>
        <w:tc>
          <w:tcPr>
            <w:tcW w:w="1870" w:type="dxa"/>
          </w:tcPr>
          <w:p w14:paraId="64C941E0" w14:textId="77777777" w:rsidR="0045086B" w:rsidRDefault="0045086B" w:rsidP="0045086B">
            <w:pPr>
              <w:pStyle w:val="TableSideHeading"/>
            </w:pPr>
          </w:p>
        </w:tc>
        <w:tc>
          <w:tcPr>
            <w:tcW w:w="624" w:type="dxa"/>
          </w:tcPr>
          <w:p w14:paraId="17F10FB6" w14:textId="77777777" w:rsidR="0045086B" w:rsidRDefault="0045086B" w:rsidP="0045086B">
            <w:pPr>
              <w:pStyle w:val="TableText"/>
            </w:pPr>
          </w:p>
        </w:tc>
        <w:tc>
          <w:tcPr>
            <w:tcW w:w="624" w:type="dxa"/>
          </w:tcPr>
          <w:p w14:paraId="15F46AB9" w14:textId="77777777" w:rsidR="0045086B" w:rsidRDefault="0045086B" w:rsidP="0045086B">
            <w:pPr>
              <w:pStyle w:val="TableText"/>
            </w:pPr>
          </w:p>
        </w:tc>
        <w:tc>
          <w:tcPr>
            <w:tcW w:w="6522" w:type="dxa"/>
            <w:gridSpan w:val="2"/>
          </w:tcPr>
          <w:p w14:paraId="5CAEF81F" w14:textId="77777777" w:rsidR="0045086B" w:rsidRPr="003B133D" w:rsidRDefault="0045086B" w:rsidP="0045086B">
            <w:pPr>
              <w:pStyle w:val="TableBlock"/>
              <w:rPr>
                <w:sz w:val="26"/>
                <w:rtl/>
              </w:rPr>
            </w:pPr>
            <w:r>
              <w:rPr>
                <w:rFonts w:hint="cs"/>
                <w:rtl/>
              </w:rPr>
              <w:t>(1)</w:t>
            </w:r>
            <w:r>
              <w:rPr>
                <w:rtl/>
              </w:rPr>
              <w:tab/>
            </w:r>
            <w:r>
              <w:rPr>
                <w:rFonts w:hint="cs"/>
                <w:sz w:val="26"/>
                <w:rtl/>
              </w:rPr>
              <w:t xml:space="preserve">לעניין </w:t>
            </w:r>
            <w:r w:rsidRPr="00285F8C">
              <w:rPr>
                <w:sz w:val="26"/>
                <w:rtl/>
              </w:rPr>
              <w:t>הבוחנים ובודקי ערר</w:t>
            </w:r>
            <w:r>
              <w:rPr>
                <w:rFonts w:hint="cs"/>
                <w:sz w:val="26"/>
                <w:rtl/>
              </w:rPr>
              <w:t>י</w:t>
            </w:r>
            <w:r w:rsidRPr="00285F8C">
              <w:rPr>
                <w:sz w:val="26"/>
                <w:rtl/>
              </w:rPr>
              <w:t xml:space="preserve"> הנבחנים – קביעת שכרם</w:t>
            </w:r>
            <w:r>
              <w:rPr>
                <w:rFonts w:hint="cs"/>
                <w:sz w:val="26"/>
                <w:rtl/>
              </w:rPr>
              <w:t>;</w:t>
            </w:r>
          </w:p>
        </w:tc>
      </w:tr>
      <w:tr w:rsidR="0045086B" w14:paraId="63F81ACC" w14:textId="77777777" w:rsidTr="0045086B">
        <w:trPr>
          <w:gridAfter w:val="2"/>
          <w:wAfter w:w="13038" w:type="dxa"/>
          <w:cantSplit/>
          <w:trHeight w:val="558"/>
        </w:trPr>
        <w:tc>
          <w:tcPr>
            <w:tcW w:w="1870" w:type="dxa"/>
          </w:tcPr>
          <w:p w14:paraId="079E4581" w14:textId="77777777" w:rsidR="0045086B" w:rsidRDefault="0045086B" w:rsidP="0045086B">
            <w:pPr>
              <w:pStyle w:val="TableSideHeading"/>
            </w:pPr>
          </w:p>
        </w:tc>
        <w:tc>
          <w:tcPr>
            <w:tcW w:w="624" w:type="dxa"/>
          </w:tcPr>
          <w:p w14:paraId="5DDD1691" w14:textId="77777777" w:rsidR="0045086B" w:rsidRDefault="0045086B" w:rsidP="0045086B">
            <w:pPr>
              <w:pStyle w:val="TableText"/>
            </w:pPr>
          </w:p>
        </w:tc>
        <w:tc>
          <w:tcPr>
            <w:tcW w:w="624" w:type="dxa"/>
          </w:tcPr>
          <w:p w14:paraId="05B79511" w14:textId="77777777" w:rsidR="0045086B" w:rsidRDefault="0045086B" w:rsidP="0045086B">
            <w:pPr>
              <w:pStyle w:val="TableText"/>
            </w:pPr>
          </w:p>
        </w:tc>
        <w:tc>
          <w:tcPr>
            <w:tcW w:w="6522" w:type="dxa"/>
            <w:gridSpan w:val="2"/>
          </w:tcPr>
          <w:p w14:paraId="6EDE5F3A" w14:textId="77777777" w:rsidR="0045086B" w:rsidRPr="003B133D" w:rsidRDefault="0045086B" w:rsidP="0045086B">
            <w:pPr>
              <w:pStyle w:val="TableBlock"/>
              <w:rPr>
                <w:sz w:val="26"/>
                <w:rtl/>
              </w:rPr>
            </w:pPr>
            <w:r>
              <w:rPr>
                <w:rFonts w:hint="cs"/>
                <w:rtl/>
              </w:rPr>
              <w:t>(2)</w:t>
            </w:r>
            <w:r>
              <w:rPr>
                <w:rtl/>
              </w:rPr>
              <w:tab/>
            </w:r>
            <w:r>
              <w:rPr>
                <w:rFonts w:hint="cs"/>
                <w:sz w:val="26"/>
                <w:rtl/>
              </w:rPr>
              <w:t xml:space="preserve">לעניין </w:t>
            </w:r>
            <w:r w:rsidRPr="00285F8C">
              <w:rPr>
                <w:sz w:val="26"/>
                <w:rtl/>
              </w:rPr>
              <w:t>מ</w:t>
            </w:r>
            <w:r>
              <w:rPr>
                <w:rFonts w:hint="cs"/>
                <w:sz w:val="26"/>
                <w:rtl/>
              </w:rPr>
              <w:t>מ</w:t>
            </w:r>
            <w:r w:rsidRPr="00285F8C">
              <w:rPr>
                <w:sz w:val="26"/>
                <w:rtl/>
              </w:rPr>
              <w:t xml:space="preserve">לאי תפקידים לפי חוק זה – </w:t>
            </w:r>
            <w:r w:rsidRPr="00285F8C">
              <w:rPr>
                <w:rFonts w:hint="cs"/>
                <w:sz w:val="26"/>
                <w:rtl/>
              </w:rPr>
              <w:t>כשירויות</w:t>
            </w:r>
            <w:r w:rsidRPr="00285F8C">
              <w:rPr>
                <w:sz w:val="26"/>
                <w:rtl/>
              </w:rPr>
              <w:t xml:space="preserve"> נדרשות</w:t>
            </w:r>
            <w:r>
              <w:rPr>
                <w:rFonts w:hint="cs"/>
                <w:sz w:val="26"/>
                <w:rtl/>
              </w:rPr>
              <w:t>;</w:t>
            </w:r>
          </w:p>
        </w:tc>
      </w:tr>
      <w:tr w:rsidR="0045086B" w14:paraId="5CEE9CDC" w14:textId="77777777" w:rsidTr="0045086B">
        <w:trPr>
          <w:gridAfter w:val="2"/>
          <w:wAfter w:w="13038" w:type="dxa"/>
          <w:cantSplit/>
        </w:trPr>
        <w:tc>
          <w:tcPr>
            <w:tcW w:w="1870" w:type="dxa"/>
          </w:tcPr>
          <w:p w14:paraId="4028DF26" w14:textId="77777777" w:rsidR="0045086B" w:rsidRDefault="0045086B" w:rsidP="0045086B">
            <w:pPr>
              <w:pStyle w:val="TableSideHeading"/>
            </w:pPr>
          </w:p>
        </w:tc>
        <w:tc>
          <w:tcPr>
            <w:tcW w:w="624" w:type="dxa"/>
          </w:tcPr>
          <w:p w14:paraId="7B0582E0" w14:textId="77777777" w:rsidR="0045086B" w:rsidRDefault="0045086B" w:rsidP="0045086B">
            <w:pPr>
              <w:pStyle w:val="TableText"/>
            </w:pPr>
          </w:p>
        </w:tc>
        <w:tc>
          <w:tcPr>
            <w:tcW w:w="624" w:type="dxa"/>
          </w:tcPr>
          <w:p w14:paraId="1D7AD5EB" w14:textId="77777777" w:rsidR="0045086B" w:rsidRDefault="0045086B" w:rsidP="0045086B">
            <w:pPr>
              <w:pStyle w:val="TableText"/>
            </w:pPr>
          </w:p>
        </w:tc>
        <w:tc>
          <w:tcPr>
            <w:tcW w:w="6522" w:type="dxa"/>
            <w:gridSpan w:val="2"/>
          </w:tcPr>
          <w:p w14:paraId="0C6D6CAB" w14:textId="7490CF76" w:rsidR="0045086B" w:rsidRPr="003B133D" w:rsidRDefault="0045086B" w:rsidP="00B55E9E">
            <w:pPr>
              <w:pStyle w:val="TableBlock"/>
              <w:rPr>
                <w:sz w:val="26"/>
                <w:rtl/>
              </w:rPr>
            </w:pPr>
            <w:r>
              <w:rPr>
                <w:rFonts w:hint="cs"/>
                <w:rtl/>
              </w:rPr>
              <w:t>(3)</w:t>
            </w:r>
            <w:r>
              <w:rPr>
                <w:rtl/>
              </w:rPr>
              <w:tab/>
            </w:r>
            <w:r w:rsidRPr="00285F8C">
              <w:rPr>
                <w:sz w:val="26"/>
                <w:rtl/>
              </w:rPr>
              <w:t xml:space="preserve">אגרות </w:t>
            </w:r>
            <w:r>
              <w:rPr>
                <w:rFonts w:hint="cs"/>
                <w:sz w:val="26"/>
                <w:rtl/>
              </w:rPr>
              <w:t>בעד</w:t>
            </w:r>
            <w:r w:rsidRPr="00285F8C">
              <w:rPr>
                <w:sz w:val="26"/>
                <w:rtl/>
              </w:rPr>
              <w:t xml:space="preserve"> בחינות, הגשת עררים על ציונים בבחינות והגשת בקשות לפי חוק זה</w:t>
            </w:r>
            <w:r>
              <w:rPr>
                <w:rFonts w:hint="cs"/>
                <w:sz w:val="26"/>
                <w:rtl/>
              </w:rPr>
              <w:t>; תקנות לפי פסקה זו טעונות אישור ועדת הכלכלה של הכנסת</w:t>
            </w:r>
            <w:r w:rsidR="00B55E9E">
              <w:rPr>
                <w:rFonts w:hint="cs"/>
                <w:sz w:val="26"/>
                <w:rtl/>
              </w:rPr>
              <w:t>.</w:t>
            </w:r>
          </w:p>
        </w:tc>
      </w:tr>
      <w:tr w:rsidR="0045086B" w14:paraId="27B301EC" w14:textId="77777777" w:rsidTr="0045086B">
        <w:trPr>
          <w:gridAfter w:val="2"/>
          <w:wAfter w:w="13038" w:type="dxa"/>
          <w:cantSplit/>
          <w:trHeight w:val="944"/>
        </w:trPr>
        <w:tc>
          <w:tcPr>
            <w:tcW w:w="1870" w:type="dxa"/>
          </w:tcPr>
          <w:p w14:paraId="49047B5D" w14:textId="77777777" w:rsidR="0045086B" w:rsidRDefault="0045086B" w:rsidP="0045086B">
            <w:pPr>
              <w:pStyle w:val="TableSideHeading"/>
            </w:pPr>
          </w:p>
        </w:tc>
        <w:tc>
          <w:tcPr>
            <w:tcW w:w="624" w:type="dxa"/>
          </w:tcPr>
          <w:p w14:paraId="4BFD77A6" w14:textId="77777777" w:rsidR="0045086B" w:rsidRDefault="0045086B" w:rsidP="0045086B">
            <w:pPr>
              <w:pStyle w:val="TableText"/>
            </w:pPr>
          </w:p>
        </w:tc>
        <w:tc>
          <w:tcPr>
            <w:tcW w:w="7146" w:type="dxa"/>
            <w:gridSpan w:val="3"/>
          </w:tcPr>
          <w:p w14:paraId="55E4057A" w14:textId="77777777" w:rsidR="0045086B" w:rsidRPr="003B133D" w:rsidRDefault="0045086B" w:rsidP="0045086B">
            <w:pPr>
              <w:pStyle w:val="TableBlock"/>
              <w:rPr>
                <w:sz w:val="26"/>
                <w:rtl/>
              </w:rPr>
            </w:pPr>
            <w:r>
              <w:rPr>
                <w:rFonts w:hint="cs"/>
                <w:rtl/>
              </w:rPr>
              <w:t>(ב)</w:t>
            </w:r>
            <w:r>
              <w:rPr>
                <w:rtl/>
              </w:rPr>
              <w:tab/>
            </w:r>
            <w:r>
              <w:rPr>
                <w:rFonts w:hint="cs"/>
                <w:sz w:val="26"/>
                <w:rtl/>
              </w:rPr>
              <w:t>השר רשאי, בצו, לשנות את התוספת הראשונה אם מצא כי קיים גוף אחר העונה על הגדרת גוף יציג.</w:t>
            </w:r>
          </w:p>
        </w:tc>
      </w:tr>
      <w:tr w:rsidR="0045086B" w14:paraId="74A80DDC" w14:textId="77777777" w:rsidTr="0045086B">
        <w:trPr>
          <w:gridAfter w:val="2"/>
          <w:wAfter w:w="13038" w:type="dxa"/>
          <w:cantSplit/>
        </w:trPr>
        <w:tc>
          <w:tcPr>
            <w:tcW w:w="1870" w:type="dxa"/>
          </w:tcPr>
          <w:p w14:paraId="195D8418" w14:textId="77777777" w:rsidR="0045086B" w:rsidRDefault="0045086B" w:rsidP="0045086B">
            <w:pPr>
              <w:pStyle w:val="TableSideHeading"/>
            </w:pPr>
            <w:r>
              <w:rPr>
                <w:rFonts w:hint="cs"/>
                <w:sz w:val="26"/>
                <w:rtl/>
              </w:rPr>
              <w:t>סייג לתחולה</w:t>
            </w:r>
          </w:p>
        </w:tc>
        <w:tc>
          <w:tcPr>
            <w:tcW w:w="624" w:type="dxa"/>
          </w:tcPr>
          <w:p w14:paraId="33A13987" w14:textId="0B036AAF" w:rsidR="0045086B" w:rsidRDefault="0045086B" w:rsidP="0045086B">
            <w:pPr>
              <w:pStyle w:val="TableText"/>
            </w:pPr>
            <w:r>
              <w:rPr>
                <w:rFonts w:hint="cs"/>
                <w:rtl/>
              </w:rPr>
              <w:t>22.</w:t>
            </w:r>
          </w:p>
        </w:tc>
        <w:tc>
          <w:tcPr>
            <w:tcW w:w="7146" w:type="dxa"/>
            <w:gridSpan w:val="3"/>
          </w:tcPr>
          <w:p w14:paraId="4B28BB58" w14:textId="21D795CE" w:rsidR="0045086B" w:rsidRPr="00AB1183" w:rsidRDefault="0045086B" w:rsidP="00575BEE">
            <w:pPr>
              <w:pStyle w:val="TableBlock"/>
              <w:rPr>
                <w:rtl/>
              </w:rPr>
            </w:pPr>
            <w:r w:rsidRPr="003849A6">
              <w:rPr>
                <w:rFonts w:hint="cs"/>
                <w:rtl/>
              </w:rPr>
              <w:t xml:space="preserve">הוראות סעיף </w:t>
            </w:r>
            <w:r w:rsidR="00575BEE">
              <w:rPr>
                <w:rFonts w:hint="cs"/>
                <w:rtl/>
              </w:rPr>
              <w:t>14</w:t>
            </w:r>
            <w:r w:rsidRPr="003849A6">
              <w:rPr>
                <w:rFonts w:hint="cs"/>
                <w:rtl/>
              </w:rPr>
              <w:t>(א)(1) לא יחולו על חברת פינטק, ובלבד שבנק ישראל בחן את אופן מתן הייעוץ על ידי החברה ומצא כי רמתו המקצועית דומה לרמה המקצועית של מי שעומד בתנאי הסעיף האמור</w:t>
            </w:r>
            <w:r>
              <w:rPr>
                <w:rFonts w:hint="cs"/>
                <w:rtl/>
              </w:rPr>
              <w:t>, בהתאם לכללים שיקבע הנגיד לעניין זה</w:t>
            </w:r>
            <w:r w:rsidRPr="003849A6">
              <w:rPr>
                <w:rFonts w:hint="cs"/>
                <w:rtl/>
              </w:rPr>
              <w:t>.</w:t>
            </w:r>
          </w:p>
        </w:tc>
      </w:tr>
      <w:tr w:rsidR="0045086B" w14:paraId="10C76925" w14:textId="77777777" w:rsidTr="0045086B">
        <w:trPr>
          <w:gridAfter w:val="2"/>
          <w:wAfter w:w="13038" w:type="dxa"/>
          <w:cantSplit/>
        </w:trPr>
        <w:tc>
          <w:tcPr>
            <w:tcW w:w="1870" w:type="dxa"/>
          </w:tcPr>
          <w:p w14:paraId="6E28AA87" w14:textId="77777777" w:rsidR="0045086B" w:rsidRDefault="0045086B" w:rsidP="0045086B">
            <w:pPr>
              <w:pStyle w:val="TableSideHeading"/>
              <w:rPr>
                <w:sz w:val="26"/>
                <w:rtl/>
              </w:rPr>
            </w:pPr>
            <w:r w:rsidRPr="00E20B1B">
              <w:rPr>
                <w:rFonts w:hint="cs"/>
                <w:sz w:val="26"/>
                <w:rtl/>
              </w:rPr>
              <w:t>חובות גוף פיננסי בקשר עם יועץ משכנתאות</w:t>
            </w:r>
          </w:p>
        </w:tc>
        <w:tc>
          <w:tcPr>
            <w:tcW w:w="624" w:type="dxa"/>
          </w:tcPr>
          <w:p w14:paraId="2922F5C1" w14:textId="5ABF2BCD" w:rsidR="0045086B" w:rsidRDefault="0045086B" w:rsidP="0045086B">
            <w:pPr>
              <w:pStyle w:val="TableText"/>
              <w:rPr>
                <w:rtl/>
              </w:rPr>
            </w:pPr>
            <w:r>
              <w:rPr>
                <w:rFonts w:hint="cs"/>
                <w:rtl/>
              </w:rPr>
              <w:t>23.</w:t>
            </w:r>
          </w:p>
        </w:tc>
        <w:tc>
          <w:tcPr>
            <w:tcW w:w="7146" w:type="dxa"/>
            <w:gridSpan w:val="3"/>
          </w:tcPr>
          <w:p w14:paraId="3D3AB891" w14:textId="77777777" w:rsidR="0045086B" w:rsidRDefault="0045086B" w:rsidP="0045086B">
            <w:pPr>
              <w:pStyle w:val="TableBlock"/>
              <w:rPr>
                <w:rtl/>
              </w:rPr>
            </w:pPr>
            <w:r>
              <w:rPr>
                <w:rFonts w:hint="cs"/>
                <w:rtl/>
              </w:rPr>
              <w:t>(א)</w:t>
            </w:r>
            <w:r>
              <w:rPr>
                <w:sz w:val="26"/>
                <w:rtl/>
              </w:rPr>
              <w:tab/>
            </w:r>
            <w:r>
              <w:rPr>
                <w:rFonts w:hint="cs"/>
                <w:sz w:val="26"/>
                <w:rtl/>
              </w:rPr>
              <w:t>לא ייתן גוף פיננסי לאדם שהמבקש לפעול כיועץ משכנתאות מידע או שירות הנוגע לייעוץ משכנתאות, אלא אם כן אותו אדם רשום בפנקס יועצי המשכנתאות.</w:t>
            </w:r>
          </w:p>
        </w:tc>
      </w:tr>
      <w:tr w:rsidR="0045086B" w14:paraId="180726DD" w14:textId="77777777" w:rsidTr="0045086B">
        <w:trPr>
          <w:gridAfter w:val="2"/>
          <w:wAfter w:w="13038" w:type="dxa"/>
          <w:cantSplit/>
        </w:trPr>
        <w:tc>
          <w:tcPr>
            <w:tcW w:w="1870" w:type="dxa"/>
          </w:tcPr>
          <w:p w14:paraId="4D197B72" w14:textId="77777777" w:rsidR="0045086B" w:rsidRPr="00E20B1B" w:rsidRDefault="0045086B" w:rsidP="0045086B">
            <w:pPr>
              <w:pStyle w:val="TableSideHeading"/>
              <w:rPr>
                <w:sz w:val="26"/>
                <w:rtl/>
              </w:rPr>
            </w:pPr>
          </w:p>
        </w:tc>
        <w:tc>
          <w:tcPr>
            <w:tcW w:w="624" w:type="dxa"/>
          </w:tcPr>
          <w:p w14:paraId="65A1976F" w14:textId="77777777" w:rsidR="0045086B" w:rsidRDefault="0045086B" w:rsidP="0045086B">
            <w:pPr>
              <w:pStyle w:val="TableText"/>
              <w:rPr>
                <w:rtl/>
              </w:rPr>
            </w:pPr>
          </w:p>
        </w:tc>
        <w:tc>
          <w:tcPr>
            <w:tcW w:w="7146" w:type="dxa"/>
            <w:gridSpan w:val="3"/>
          </w:tcPr>
          <w:p w14:paraId="033B610F" w14:textId="77777777" w:rsidR="0045086B" w:rsidRDefault="0045086B" w:rsidP="0045086B">
            <w:pPr>
              <w:pStyle w:val="TableBlock"/>
              <w:rPr>
                <w:rtl/>
              </w:rPr>
            </w:pPr>
            <w:r>
              <w:rPr>
                <w:rFonts w:hint="cs"/>
                <w:rtl/>
              </w:rPr>
              <w:t>(ב)</w:t>
            </w:r>
            <w:r>
              <w:rPr>
                <w:rtl/>
              </w:rPr>
              <w:tab/>
            </w:r>
            <w:r>
              <w:rPr>
                <w:rFonts w:hint="cs"/>
                <w:sz w:val="26"/>
                <w:rtl/>
              </w:rPr>
              <w:t xml:space="preserve">גוף פיננסי לא ייתן בין במישרין ובין בעקיפין תמורה ליועץ משכנתאות בקשר לייעוץ שנתן.  </w:t>
            </w:r>
          </w:p>
        </w:tc>
      </w:tr>
      <w:tr w:rsidR="0045086B" w14:paraId="6B05FAF8" w14:textId="77777777" w:rsidTr="0045086B">
        <w:trPr>
          <w:gridAfter w:val="2"/>
          <w:wAfter w:w="13038" w:type="dxa"/>
          <w:cantSplit/>
        </w:trPr>
        <w:tc>
          <w:tcPr>
            <w:tcW w:w="1870" w:type="dxa"/>
          </w:tcPr>
          <w:p w14:paraId="656A986B" w14:textId="77777777" w:rsidR="0045086B" w:rsidRPr="00E20B1B" w:rsidRDefault="0045086B" w:rsidP="0045086B">
            <w:pPr>
              <w:pStyle w:val="TableSideHeading"/>
              <w:rPr>
                <w:sz w:val="26"/>
                <w:rtl/>
              </w:rPr>
            </w:pPr>
            <w:r>
              <w:rPr>
                <w:rFonts w:hint="cs"/>
                <w:sz w:val="26"/>
                <w:rtl/>
              </w:rPr>
              <w:t xml:space="preserve">תיקון חוק </w:t>
            </w:r>
            <w:r w:rsidRPr="00E20B1B">
              <w:rPr>
                <w:rFonts w:hint="cs"/>
                <w:sz w:val="26"/>
                <w:rtl/>
              </w:rPr>
              <w:t xml:space="preserve"> העבירות המ</w:t>
            </w:r>
            <w:r>
              <w:rPr>
                <w:rFonts w:hint="cs"/>
                <w:sz w:val="26"/>
                <w:rtl/>
              </w:rPr>
              <w:t>י</w:t>
            </w:r>
            <w:r w:rsidRPr="00E20B1B">
              <w:rPr>
                <w:rFonts w:hint="cs"/>
                <w:sz w:val="26"/>
                <w:rtl/>
              </w:rPr>
              <w:t xml:space="preserve">נהליות </w:t>
            </w:r>
          </w:p>
        </w:tc>
        <w:tc>
          <w:tcPr>
            <w:tcW w:w="624" w:type="dxa"/>
          </w:tcPr>
          <w:p w14:paraId="45663130" w14:textId="71E62B85" w:rsidR="0045086B" w:rsidRDefault="0045086B" w:rsidP="0045086B">
            <w:pPr>
              <w:pStyle w:val="TableText"/>
              <w:rPr>
                <w:rtl/>
              </w:rPr>
            </w:pPr>
            <w:r>
              <w:rPr>
                <w:rFonts w:hint="cs"/>
                <w:rtl/>
              </w:rPr>
              <w:t>24.</w:t>
            </w:r>
          </w:p>
        </w:tc>
        <w:tc>
          <w:tcPr>
            <w:tcW w:w="7146" w:type="dxa"/>
            <w:gridSpan w:val="3"/>
          </w:tcPr>
          <w:p w14:paraId="7C79E2FD" w14:textId="77777777" w:rsidR="0045086B" w:rsidRDefault="0045086B" w:rsidP="0045086B">
            <w:pPr>
              <w:pStyle w:val="TableBlock"/>
              <w:rPr>
                <w:rtl/>
              </w:rPr>
            </w:pPr>
            <w:r w:rsidRPr="00E20B1B">
              <w:rPr>
                <w:rFonts w:hint="cs"/>
                <w:sz w:val="26"/>
                <w:rtl/>
              </w:rPr>
              <w:t>בחוק העבירות המ</w:t>
            </w:r>
            <w:r>
              <w:rPr>
                <w:rFonts w:hint="cs"/>
                <w:sz w:val="26"/>
                <w:rtl/>
              </w:rPr>
              <w:t>י</w:t>
            </w:r>
            <w:r w:rsidRPr="00E20B1B">
              <w:rPr>
                <w:rFonts w:hint="cs"/>
                <w:sz w:val="26"/>
                <w:rtl/>
              </w:rPr>
              <w:t>נהליות,</w:t>
            </w:r>
            <w:r>
              <w:rPr>
                <w:rFonts w:hint="cs"/>
                <w:sz w:val="26"/>
                <w:rtl/>
              </w:rPr>
              <w:t xml:space="preserve"> </w:t>
            </w:r>
            <w:r w:rsidRPr="00E20B1B">
              <w:rPr>
                <w:rFonts w:hint="cs"/>
                <w:sz w:val="26"/>
                <w:rtl/>
              </w:rPr>
              <w:t>התשמ"</w:t>
            </w:r>
            <w:r>
              <w:rPr>
                <w:rFonts w:hint="cs"/>
                <w:sz w:val="26"/>
                <w:rtl/>
              </w:rPr>
              <w:t>ו</w:t>
            </w:r>
            <w:r>
              <w:rPr>
                <w:rFonts w:hint="eastAsia"/>
                <w:sz w:val="26"/>
                <w:rtl/>
              </w:rPr>
              <w:t>–</w:t>
            </w:r>
            <w:r w:rsidRPr="00E20B1B">
              <w:rPr>
                <w:rFonts w:hint="cs"/>
                <w:sz w:val="26"/>
                <w:rtl/>
              </w:rPr>
              <w:t>1985</w:t>
            </w:r>
            <w:r>
              <w:rPr>
                <w:rStyle w:val="a5"/>
                <w:sz w:val="26"/>
                <w:rtl/>
              </w:rPr>
              <w:footnoteReference w:id="8"/>
            </w:r>
            <w:r>
              <w:rPr>
                <w:rFonts w:hint="cs"/>
                <w:sz w:val="26"/>
                <w:rtl/>
              </w:rPr>
              <w:t xml:space="preserve">, </w:t>
            </w:r>
            <w:r w:rsidRPr="00E20B1B">
              <w:rPr>
                <w:rFonts w:hint="cs"/>
                <w:sz w:val="26"/>
                <w:rtl/>
              </w:rPr>
              <w:t>בתוספת הראשונה</w:t>
            </w:r>
            <w:r>
              <w:rPr>
                <w:rFonts w:hint="cs"/>
                <w:sz w:val="26"/>
                <w:rtl/>
              </w:rPr>
              <w:t>,</w:t>
            </w:r>
            <w:r w:rsidRPr="00E20B1B">
              <w:rPr>
                <w:rFonts w:hint="cs"/>
                <w:sz w:val="26"/>
                <w:rtl/>
              </w:rPr>
              <w:t xml:space="preserve"> בטור א', בסופו יבוא </w:t>
            </w:r>
            <w:r>
              <w:rPr>
                <w:rFonts w:hint="cs"/>
                <w:sz w:val="26"/>
                <w:rtl/>
              </w:rPr>
              <w:t>"</w:t>
            </w:r>
            <w:r w:rsidRPr="00E20B1B">
              <w:rPr>
                <w:rFonts w:hint="cs"/>
                <w:sz w:val="26"/>
                <w:rtl/>
              </w:rPr>
              <w:t xml:space="preserve">חוק </w:t>
            </w:r>
            <w:r>
              <w:rPr>
                <w:rFonts w:hint="cs"/>
                <w:sz w:val="26"/>
                <w:rtl/>
              </w:rPr>
              <w:t>הסדרת העיסוק בייעוץ משכנתאות</w:t>
            </w:r>
            <w:r w:rsidRPr="00E20B1B">
              <w:rPr>
                <w:rFonts w:hint="cs"/>
                <w:sz w:val="26"/>
                <w:rtl/>
              </w:rPr>
              <w:t>, התשפ"</w:t>
            </w:r>
            <w:r>
              <w:rPr>
                <w:rFonts w:hint="cs"/>
                <w:sz w:val="26"/>
                <w:rtl/>
              </w:rPr>
              <w:t>ה</w:t>
            </w:r>
            <w:r>
              <w:rPr>
                <w:rFonts w:hint="eastAsia"/>
                <w:sz w:val="26"/>
                <w:rtl/>
              </w:rPr>
              <w:t>–</w:t>
            </w:r>
            <w:r w:rsidRPr="00E20B1B">
              <w:rPr>
                <w:rFonts w:hint="cs"/>
                <w:sz w:val="26"/>
                <w:rtl/>
              </w:rPr>
              <w:t>2024</w:t>
            </w:r>
            <w:r>
              <w:rPr>
                <w:rFonts w:hint="cs"/>
                <w:sz w:val="26"/>
                <w:rtl/>
              </w:rPr>
              <w:t>"</w:t>
            </w:r>
            <w:r w:rsidRPr="00E20B1B">
              <w:rPr>
                <w:rFonts w:hint="cs"/>
                <w:sz w:val="26"/>
                <w:rtl/>
              </w:rPr>
              <w:t>.</w:t>
            </w:r>
          </w:p>
        </w:tc>
      </w:tr>
      <w:tr w:rsidR="0045086B" w14:paraId="7EF16C72" w14:textId="77777777" w:rsidTr="0045086B">
        <w:trPr>
          <w:gridAfter w:val="2"/>
          <w:wAfter w:w="13038" w:type="dxa"/>
          <w:cantSplit/>
        </w:trPr>
        <w:tc>
          <w:tcPr>
            <w:tcW w:w="1870" w:type="dxa"/>
          </w:tcPr>
          <w:p w14:paraId="5F79EE0F" w14:textId="77777777" w:rsidR="0045086B" w:rsidRDefault="0045086B" w:rsidP="0045086B">
            <w:pPr>
              <w:pStyle w:val="TableSideHeading"/>
              <w:rPr>
                <w:sz w:val="26"/>
                <w:rtl/>
              </w:rPr>
            </w:pPr>
          </w:p>
        </w:tc>
        <w:tc>
          <w:tcPr>
            <w:tcW w:w="624" w:type="dxa"/>
          </w:tcPr>
          <w:p w14:paraId="63AE99ED" w14:textId="77777777" w:rsidR="0045086B" w:rsidRPr="00F82C40" w:rsidRDefault="0045086B" w:rsidP="0045086B">
            <w:pPr>
              <w:pStyle w:val="TableHead"/>
              <w:rPr>
                <w:rtl/>
              </w:rPr>
            </w:pPr>
          </w:p>
        </w:tc>
        <w:tc>
          <w:tcPr>
            <w:tcW w:w="7146" w:type="dxa"/>
            <w:gridSpan w:val="3"/>
          </w:tcPr>
          <w:p w14:paraId="3C540931" w14:textId="77777777" w:rsidR="0045086B" w:rsidRPr="003B133D" w:rsidRDefault="0045086B" w:rsidP="0045086B">
            <w:pPr>
              <w:pStyle w:val="TableHead"/>
              <w:rPr>
                <w:rtl/>
              </w:rPr>
            </w:pPr>
            <w:r w:rsidRPr="003B133D">
              <w:rPr>
                <w:rFonts w:hint="eastAsia"/>
                <w:rtl/>
              </w:rPr>
              <w:t>פרק</w:t>
            </w:r>
            <w:r w:rsidRPr="003B133D">
              <w:rPr>
                <w:rtl/>
              </w:rPr>
              <w:t xml:space="preserve">  </w:t>
            </w:r>
            <w:r w:rsidRPr="003B133D">
              <w:rPr>
                <w:rFonts w:hint="eastAsia"/>
                <w:rtl/>
              </w:rPr>
              <w:t>ז</w:t>
            </w:r>
            <w:r w:rsidRPr="003B133D">
              <w:rPr>
                <w:rtl/>
              </w:rPr>
              <w:t xml:space="preserve">': </w:t>
            </w:r>
            <w:r w:rsidRPr="003B133D">
              <w:rPr>
                <w:rFonts w:hint="eastAsia"/>
                <w:rtl/>
              </w:rPr>
              <w:t>תחילה</w:t>
            </w:r>
            <w:r w:rsidRPr="003B133D">
              <w:rPr>
                <w:rtl/>
              </w:rPr>
              <w:t xml:space="preserve"> </w:t>
            </w:r>
            <w:r w:rsidRPr="003B133D">
              <w:rPr>
                <w:rFonts w:hint="eastAsia"/>
                <w:rtl/>
              </w:rPr>
              <w:t>והוראות</w:t>
            </w:r>
            <w:r w:rsidRPr="003B133D">
              <w:rPr>
                <w:rtl/>
              </w:rPr>
              <w:t xml:space="preserve"> </w:t>
            </w:r>
            <w:r w:rsidRPr="003B133D">
              <w:rPr>
                <w:rFonts w:hint="eastAsia"/>
                <w:rtl/>
              </w:rPr>
              <w:t>מעבר</w:t>
            </w:r>
          </w:p>
        </w:tc>
      </w:tr>
      <w:tr w:rsidR="0045086B" w14:paraId="47CC9030" w14:textId="77777777" w:rsidTr="0045086B">
        <w:trPr>
          <w:gridAfter w:val="2"/>
          <w:wAfter w:w="13038" w:type="dxa"/>
          <w:cantSplit/>
        </w:trPr>
        <w:tc>
          <w:tcPr>
            <w:tcW w:w="1870" w:type="dxa"/>
          </w:tcPr>
          <w:p w14:paraId="0EDA54D7" w14:textId="77777777" w:rsidR="0045086B" w:rsidRDefault="0045086B" w:rsidP="0045086B">
            <w:pPr>
              <w:pStyle w:val="TableSideHeading"/>
              <w:rPr>
                <w:sz w:val="26"/>
                <w:rtl/>
              </w:rPr>
            </w:pPr>
            <w:r>
              <w:rPr>
                <w:rFonts w:hint="cs"/>
                <w:sz w:val="26"/>
                <w:rtl/>
              </w:rPr>
              <w:t>תחילה</w:t>
            </w:r>
          </w:p>
        </w:tc>
        <w:tc>
          <w:tcPr>
            <w:tcW w:w="624" w:type="dxa"/>
          </w:tcPr>
          <w:p w14:paraId="68F586A8" w14:textId="6F6E2549" w:rsidR="0045086B" w:rsidRDefault="0045086B" w:rsidP="0045086B">
            <w:pPr>
              <w:pStyle w:val="TableText"/>
              <w:rPr>
                <w:rtl/>
              </w:rPr>
            </w:pPr>
            <w:r>
              <w:rPr>
                <w:rFonts w:hint="cs"/>
                <w:rtl/>
              </w:rPr>
              <w:t>25.</w:t>
            </w:r>
          </w:p>
        </w:tc>
        <w:tc>
          <w:tcPr>
            <w:tcW w:w="7146" w:type="dxa"/>
            <w:gridSpan w:val="3"/>
          </w:tcPr>
          <w:p w14:paraId="2E3BD0F8" w14:textId="77777777" w:rsidR="0045086B" w:rsidRPr="00E20B1B" w:rsidRDefault="0045086B" w:rsidP="0045086B">
            <w:pPr>
              <w:pStyle w:val="TableBlock"/>
              <w:rPr>
                <w:sz w:val="26"/>
                <w:rtl/>
              </w:rPr>
            </w:pPr>
            <w:r>
              <w:rPr>
                <w:rFonts w:hint="cs"/>
                <w:sz w:val="26"/>
                <w:rtl/>
              </w:rPr>
              <w:t>(א)</w:t>
            </w:r>
            <w:r>
              <w:rPr>
                <w:sz w:val="26"/>
                <w:rtl/>
              </w:rPr>
              <w:tab/>
            </w:r>
            <w:r w:rsidRPr="00E20B1B">
              <w:rPr>
                <w:rFonts w:hint="cs"/>
                <w:sz w:val="26"/>
                <w:rtl/>
              </w:rPr>
              <w:t>תחילתו של חוק זה שלושה חודשים מיום פרסומו</w:t>
            </w:r>
            <w:r>
              <w:rPr>
                <w:rFonts w:hint="cs"/>
                <w:sz w:val="26"/>
                <w:rtl/>
              </w:rPr>
              <w:t xml:space="preserve"> (להלן </w:t>
            </w:r>
            <w:r>
              <w:rPr>
                <w:sz w:val="26"/>
                <w:rtl/>
              </w:rPr>
              <w:t>–</w:t>
            </w:r>
            <w:r>
              <w:rPr>
                <w:rFonts w:hint="cs"/>
                <w:sz w:val="26"/>
                <w:rtl/>
              </w:rPr>
              <w:t xml:space="preserve"> יום התחילה)</w:t>
            </w:r>
            <w:r w:rsidRPr="00E20B1B">
              <w:rPr>
                <w:rFonts w:hint="cs"/>
                <w:sz w:val="26"/>
                <w:rtl/>
              </w:rPr>
              <w:t>.</w:t>
            </w:r>
          </w:p>
        </w:tc>
      </w:tr>
      <w:tr w:rsidR="0045086B" w14:paraId="1FD42D5F" w14:textId="77777777" w:rsidTr="0045086B">
        <w:trPr>
          <w:gridAfter w:val="2"/>
          <w:wAfter w:w="13038" w:type="dxa"/>
          <w:cantSplit/>
        </w:trPr>
        <w:tc>
          <w:tcPr>
            <w:tcW w:w="1870" w:type="dxa"/>
          </w:tcPr>
          <w:p w14:paraId="0DC44FF7" w14:textId="77777777" w:rsidR="0045086B" w:rsidRDefault="0045086B" w:rsidP="0045086B">
            <w:pPr>
              <w:pStyle w:val="TableSideHeading"/>
              <w:rPr>
                <w:sz w:val="26"/>
                <w:rtl/>
              </w:rPr>
            </w:pPr>
          </w:p>
        </w:tc>
        <w:tc>
          <w:tcPr>
            <w:tcW w:w="624" w:type="dxa"/>
          </w:tcPr>
          <w:p w14:paraId="3F3C77FE" w14:textId="77777777" w:rsidR="0045086B" w:rsidRDefault="0045086B" w:rsidP="0045086B">
            <w:pPr>
              <w:pStyle w:val="TableText"/>
              <w:rPr>
                <w:rtl/>
              </w:rPr>
            </w:pPr>
          </w:p>
        </w:tc>
        <w:tc>
          <w:tcPr>
            <w:tcW w:w="7146" w:type="dxa"/>
            <w:gridSpan w:val="3"/>
          </w:tcPr>
          <w:p w14:paraId="0DD42D22" w14:textId="76E03EFA" w:rsidR="0045086B" w:rsidRPr="00E20B1B" w:rsidRDefault="0045086B" w:rsidP="00AF4BC7">
            <w:pPr>
              <w:pStyle w:val="TableBlock"/>
              <w:rPr>
                <w:sz w:val="26"/>
                <w:rtl/>
              </w:rPr>
            </w:pPr>
            <w:r>
              <w:rPr>
                <w:rFonts w:hint="cs"/>
                <w:sz w:val="26"/>
                <w:rtl/>
              </w:rPr>
              <w:t>(ב)</w:t>
            </w:r>
            <w:r>
              <w:rPr>
                <w:sz w:val="26"/>
                <w:rtl/>
              </w:rPr>
              <w:tab/>
            </w:r>
            <w:r w:rsidRPr="00E20B1B">
              <w:rPr>
                <w:rFonts w:hint="cs"/>
                <w:sz w:val="26"/>
                <w:rtl/>
              </w:rPr>
              <w:t xml:space="preserve">על אף האמור בסעיף קטן (א), תחילתם של סעיפים </w:t>
            </w:r>
            <w:r>
              <w:rPr>
                <w:rFonts w:hint="cs"/>
                <w:sz w:val="26"/>
                <w:rtl/>
              </w:rPr>
              <w:t>1</w:t>
            </w:r>
            <w:r w:rsidR="00AF4BC7">
              <w:rPr>
                <w:rFonts w:hint="cs"/>
                <w:sz w:val="26"/>
                <w:rtl/>
              </w:rPr>
              <w:t>3</w:t>
            </w:r>
            <w:r>
              <w:rPr>
                <w:rFonts w:hint="cs"/>
                <w:sz w:val="26"/>
                <w:rtl/>
              </w:rPr>
              <w:t xml:space="preserve"> עד 1</w:t>
            </w:r>
            <w:r w:rsidR="00AF4BC7">
              <w:rPr>
                <w:rFonts w:hint="cs"/>
                <w:sz w:val="26"/>
                <w:rtl/>
              </w:rPr>
              <w:t>6</w:t>
            </w:r>
            <w:r>
              <w:rPr>
                <w:rFonts w:hint="cs"/>
                <w:sz w:val="26"/>
                <w:rtl/>
              </w:rPr>
              <w:t xml:space="preserve">, </w:t>
            </w:r>
            <w:r w:rsidRPr="00E20B1B">
              <w:rPr>
                <w:rFonts w:hint="cs"/>
                <w:sz w:val="26"/>
                <w:rtl/>
              </w:rPr>
              <w:t xml:space="preserve">שנה מיום </w:t>
            </w:r>
            <w:r>
              <w:rPr>
                <w:rFonts w:hint="cs"/>
                <w:sz w:val="26"/>
                <w:rtl/>
              </w:rPr>
              <w:t>פרסומו של חוק זה</w:t>
            </w:r>
            <w:r w:rsidRPr="00E20B1B">
              <w:rPr>
                <w:rFonts w:hint="cs"/>
                <w:sz w:val="26"/>
                <w:rtl/>
              </w:rPr>
              <w:t xml:space="preserve">.  </w:t>
            </w:r>
          </w:p>
        </w:tc>
      </w:tr>
      <w:tr w:rsidR="0045086B" w14:paraId="4F7793D7" w14:textId="77777777" w:rsidTr="0045086B">
        <w:trPr>
          <w:gridAfter w:val="2"/>
          <w:wAfter w:w="13038" w:type="dxa"/>
          <w:cantSplit/>
        </w:trPr>
        <w:tc>
          <w:tcPr>
            <w:tcW w:w="1870" w:type="dxa"/>
          </w:tcPr>
          <w:p w14:paraId="29DD5BF2" w14:textId="77777777" w:rsidR="0045086B" w:rsidRDefault="0045086B" w:rsidP="0045086B">
            <w:pPr>
              <w:pStyle w:val="TableSideHeading"/>
              <w:rPr>
                <w:sz w:val="26"/>
                <w:rtl/>
              </w:rPr>
            </w:pPr>
            <w:r>
              <w:rPr>
                <w:rFonts w:hint="cs"/>
                <w:sz w:val="26"/>
                <w:rtl/>
              </w:rPr>
              <w:t>הוראות מעבר</w:t>
            </w:r>
          </w:p>
        </w:tc>
        <w:tc>
          <w:tcPr>
            <w:tcW w:w="624" w:type="dxa"/>
          </w:tcPr>
          <w:p w14:paraId="2C1D22DD" w14:textId="36E62BE4" w:rsidR="0045086B" w:rsidRDefault="0045086B" w:rsidP="0045086B">
            <w:pPr>
              <w:pStyle w:val="TableText"/>
              <w:rPr>
                <w:rtl/>
              </w:rPr>
            </w:pPr>
            <w:r>
              <w:rPr>
                <w:rFonts w:hint="cs"/>
                <w:rtl/>
              </w:rPr>
              <w:t>26.</w:t>
            </w:r>
          </w:p>
        </w:tc>
        <w:tc>
          <w:tcPr>
            <w:tcW w:w="7146" w:type="dxa"/>
            <w:gridSpan w:val="3"/>
          </w:tcPr>
          <w:p w14:paraId="74CF4ADA" w14:textId="56F01E06" w:rsidR="0045086B" w:rsidRDefault="0045086B" w:rsidP="00AF4BC7">
            <w:pPr>
              <w:pStyle w:val="TableBlock"/>
              <w:rPr>
                <w:sz w:val="26"/>
                <w:rtl/>
              </w:rPr>
            </w:pPr>
            <w:r>
              <w:rPr>
                <w:rFonts w:hint="cs"/>
                <w:sz w:val="26"/>
                <w:rtl/>
              </w:rPr>
              <w:t>(א)</w:t>
            </w:r>
            <w:r>
              <w:rPr>
                <w:sz w:val="26"/>
                <w:rtl/>
              </w:rPr>
              <w:tab/>
            </w:r>
            <w:r w:rsidRPr="00E20B1B">
              <w:rPr>
                <w:sz w:val="26"/>
                <w:rtl/>
              </w:rPr>
              <w:t>מי</w:t>
            </w:r>
            <w:r w:rsidRPr="00E20B1B">
              <w:rPr>
                <w:rFonts w:hint="cs"/>
                <w:sz w:val="26"/>
                <w:rtl/>
              </w:rPr>
              <w:t xml:space="preserve"> שעסק בייעוץ משכנתאות</w:t>
            </w:r>
            <w:r>
              <w:rPr>
                <w:rFonts w:hint="cs"/>
                <w:sz w:val="26"/>
                <w:rtl/>
              </w:rPr>
              <w:t xml:space="preserve"> ערב יום התחילה</w:t>
            </w:r>
            <w:r w:rsidRPr="00E20B1B">
              <w:rPr>
                <w:sz w:val="26"/>
                <w:rtl/>
              </w:rPr>
              <w:t xml:space="preserve"> </w:t>
            </w:r>
            <w:r w:rsidRPr="00E20B1B">
              <w:rPr>
                <w:rFonts w:hint="cs"/>
                <w:sz w:val="26"/>
                <w:rtl/>
              </w:rPr>
              <w:t xml:space="preserve">במשך </w:t>
            </w:r>
            <w:r>
              <w:rPr>
                <w:rFonts w:hint="cs"/>
                <w:sz w:val="26"/>
                <w:rtl/>
              </w:rPr>
              <w:t>שבע שנים</w:t>
            </w:r>
            <w:r w:rsidRPr="00E20B1B">
              <w:rPr>
                <w:rFonts w:hint="cs"/>
                <w:sz w:val="26"/>
                <w:rtl/>
              </w:rPr>
              <w:t xml:space="preserve"> לפחות לפני </w:t>
            </w:r>
            <w:r>
              <w:rPr>
                <w:rFonts w:hint="cs"/>
                <w:sz w:val="26"/>
                <w:rtl/>
              </w:rPr>
              <w:t>יום התחילה</w:t>
            </w:r>
            <w:r w:rsidRPr="00E20B1B">
              <w:rPr>
                <w:rFonts w:hint="cs"/>
                <w:sz w:val="26"/>
                <w:rtl/>
              </w:rPr>
              <w:t xml:space="preserve">, </w:t>
            </w:r>
            <w:r w:rsidRPr="00B80B0F">
              <w:rPr>
                <w:rFonts w:hint="eastAsia"/>
                <w:sz w:val="26"/>
                <w:rtl/>
              </w:rPr>
              <w:t>רשאי</w:t>
            </w:r>
            <w:r w:rsidRPr="00B80B0F">
              <w:rPr>
                <w:sz w:val="26"/>
                <w:rtl/>
              </w:rPr>
              <w:t xml:space="preserve"> להמשיך לעסוק בייעוץ משכנתאות גם ללא רישום בפנקס לתקופה ש</w:t>
            </w:r>
            <w:r w:rsidRPr="00B80B0F">
              <w:rPr>
                <w:rFonts w:hint="eastAsia"/>
                <w:sz w:val="26"/>
                <w:rtl/>
              </w:rPr>
              <w:t>יקבע</w:t>
            </w:r>
            <w:r w:rsidRPr="00B80B0F">
              <w:rPr>
                <w:sz w:val="26"/>
                <w:rtl/>
              </w:rPr>
              <w:t xml:space="preserve"> </w:t>
            </w:r>
            <w:r w:rsidRPr="00B80B0F">
              <w:rPr>
                <w:rFonts w:hint="eastAsia"/>
                <w:sz w:val="26"/>
                <w:rtl/>
              </w:rPr>
              <w:t>השר</w:t>
            </w:r>
            <w:r>
              <w:rPr>
                <w:rFonts w:hint="cs"/>
                <w:sz w:val="26"/>
                <w:rtl/>
              </w:rPr>
              <w:t>,</w:t>
            </w:r>
            <w:r w:rsidRPr="00B80B0F">
              <w:rPr>
                <w:sz w:val="26"/>
                <w:rtl/>
              </w:rPr>
              <w:t xml:space="preserve"> והוא </w:t>
            </w:r>
            <w:r w:rsidRPr="00E20B1B">
              <w:rPr>
                <w:sz w:val="26"/>
                <w:rtl/>
              </w:rPr>
              <w:t>זכאי להיכלל במרשם</w:t>
            </w:r>
            <w:r w:rsidRPr="00E20B1B">
              <w:rPr>
                <w:rFonts w:hint="cs"/>
                <w:sz w:val="26"/>
                <w:rtl/>
              </w:rPr>
              <w:t xml:space="preserve"> ובלבד שלא חלות עלי</w:t>
            </w:r>
            <w:r>
              <w:rPr>
                <w:rFonts w:hint="cs"/>
                <w:sz w:val="26"/>
                <w:rtl/>
              </w:rPr>
              <w:t xml:space="preserve">ו הוראות סעיף </w:t>
            </w:r>
            <w:r w:rsidR="00AF4BC7">
              <w:rPr>
                <w:rFonts w:hint="cs"/>
                <w:sz w:val="26"/>
                <w:rtl/>
              </w:rPr>
              <w:t>14</w:t>
            </w:r>
            <w:r>
              <w:rPr>
                <w:rFonts w:hint="cs"/>
                <w:sz w:val="26"/>
                <w:rtl/>
              </w:rPr>
              <w:t>(ב)(1).</w:t>
            </w:r>
          </w:p>
        </w:tc>
      </w:tr>
      <w:tr w:rsidR="0045086B" w14:paraId="47E772E8" w14:textId="77777777" w:rsidTr="0045086B">
        <w:trPr>
          <w:gridAfter w:val="2"/>
          <w:wAfter w:w="13038" w:type="dxa"/>
          <w:cantSplit/>
          <w:trHeight w:val="556"/>
        </w:trPr>
        <w:tc>
          <w:tcPr>
            <w:tcW w:w="1870" w:type="dxa"/>
          </w:tcPr>
          <w:p w14:paraId="396F88AE" w14:textId="77777777" w:rsidR="0045086B" w:rsidRDefault="0045086B" w:rsidP="0045086B">
            <w:pPr>
              <w:pStyle w:val="TableSideHeading"/>
              <w:rPr>
                <w:sz w:val="26"/>
                <w:rtl/>
              </w:rPr>
            </w:pPr>
          </w:p>
        </w:tc>
        <w:tc>
          <w:tcPr>
            <w:tcW w:w="624" w:type="dxa"/>
          </w:tcPr>
          <w:p w14:paraId="06DB526E" w14:textId="77777777" w:rsidR="0045086B" w:rsidRDefault="0045086B" w:rsidP="0045086B">
            <w:pPr>
              <w:pStyle w:val="TableText"/>
              <w:rPr>
                <w:rtl/>
              </w:rPr>
            </w:pPr>
          </w:p>
        </w:tc>
        <w:tc>
          <w:tcPr>
            <w:tcW w:w="7146" w:type="dxa"/>
            <w:gridSpan w:val="3"/>
          </w:tcPr>
          <w:p w14:paraId="26F609EC" w14:textId="77777777" w:rsidR="0045086B" w:rsidRPr="00AB1183" w:rsidRDefault="0045086B" w:rsidP="0045086B">
            <w:pPr>
              <w:pStyle w:val="TableBlock"/>
              <w:rPr>
                <w:sz w:val="26"/>
                <w:rtl/>
              </w:rPr>
            </w:pPr>
            <w:r>
              <w:rPr>
                <w:rFonts w:hint="cs"/>
                <w:sz w:val="26"/>
                <w:rtl/>
              </w:rPr>
              <w:t>(ב)</w:t>
            </w:r>
            <w:r>
              <w:rPr>
                <w:sz w:val="26"/>
                <w:rtl/>
              </w:rPr>
              <w:tab/>
            </w:r>
            <w:r>
              <w:rPr>
                <w:rFonts w:hint="cs"/>
                <w:sz w:val="26"/>
                <w:rtl/>
              </w:rPr>
              <w:t xml:space="preserve">על אף האמור בסעיף קטן (א) </w:t>
            </w:r>
            <w:r>
              <w:rPr>
                <w:rFonts w:hint="eastAsia"/>
                <w:sz w:val="26"/>
                <w:rtl/>
              </w:rPr>
              <w:t>–</w:t>
            </w:r>
            <w:r>
              <w:rPr>
                <w:rFonts w:hint="cs"/>
                <w:sz w:val="26"/>
                <w:rtl/>
              </w:rPr>
              <w:t xml:space="preserve"> </w:t>
            </w:r>
          </w:p>
        </w:tc>
      </w:tr>
      <w:tr w:rsidR="0045086B" w14:paraId="718B661B" w14:textId="77777777" w:rsidTr="0045086B">
        <w:trPr>
          <w:gridAfter w:val="2"/>
          <w:wAfter w:w="13038" w:type="dxa"/>
          <w:cantSplit/>
          <w:trHeight w:val="2373"/>
        </w:trPr>
        <w:tc>
          <w:tcPr>
            <w:tcW w:w="1870" w:type="dxa"/>
          </w:tcPr>
          <w:p w14:paraId="153015C3" w14:textId="77777777" w:rsidR="0045086B" w:rsidRDefault="0045086B" w:rsidP="0045086B">
            <w:pPr>
              <w:pStyle w:val="TableSideHeading"/>
            </w:pPr>
          </w:p>
        </w:tc>
        <w:tc>
          <w:tcPr>
            <w:tcW w:w="624" w:type="dxa"/>
          </w:tcPr>
          <w:p w14:paraId="70BF8765" w14:textId="77777777" w:rsidR="0045086B" w:rsidRDefault="0045086B" w:rsidP="0045086B">
            <w:pPr>
              <w:pStyle w:val="TableText"/>
            </w:pPr>
          </w:p>
        </w:tc>
        <w:tc>
          <w:tcPr>
            <w:tcW w:w="624" w:type="dxa"/>
          </w:tcPr>
          <w:p w14:paraId="7EBA1850" w14:textId="77777777" w:rsidR="0045086B" w:rsidRDefault="0045086B" w:rsidP="0045086B">
            <w:pPr>
              <w:pStyle w:val="TableText"/>
            </w:pPr>
          </w:p>
        </w:tc>
        <w:tc>
          <w:tcPr>
            <w:tcW w:w="6522" w:type="dxa"/>
            <w:gridSpan w:val="2"/>
          </w:tcPr>
          <w:p w14:paraId="4443A12F" w14:textId="265975A9" w:rsidR="0045086B" w:rsidRDefault="0045086B" w:rsidP="00AF4BC7">
            <w:pPr>
              <w:pStyle w:val="TableBlock"/>
            </w:pPr>
            <w:r>
              <w:rPr>
                <w:rFonts w:hint="cs"/>
                <w:rtl/>
              </w:rPr>
              <w:t>(1)</w:t>
            </w:r>
            <w:r>
              <w:rPr>
                <w:sz w:val="26"/>
                <w:rtl/>
              </w:rPr>
              <w:tab/>
            </w:r>
            <w:r w:rsidRPr="00E20B1B">
              <w:rPr>
                <w:rFonts w:hint="cs"/>
                <w:sz w:val="26"/>
                <w:rtl/>
              </w:rPr>
              <w:t xml:space="preserve">מי שעסק בייעוץ משכנתאות </w:t>
            </w:r>
            <w:r>
              <w:rPr>
                <w:rFonts w:hint="cs"/>
                <w:sz w:val="26"/>
                <w:rtl/>
              </w:rPr>
              <w:t>ערב יום התחילה</w:t>
            </w:r>
            <w:r w:rsidRPr="00E20B1B">
              <w:rPr>
                <w:rFonts w:hint="cs"/>
                <w:sz w:val="26"/>
                <w:rtl/>
              </w:rPr>
              <w:t xml:space="preserve"> במשך שנתיים לפחות לפני </w:t>
            </w:r>
            <w:r>
              <w:rPr>
                <w:rFonts w:hint="cs"/>
                <w:sz w:val="26"/>
                <w:rtl/>
              </w:rPr>
              <w:t>יום התחילה, רשאי</w:t>
            </w:r>
            <w:r w:rsidRPr="00E20B1B">
              <w:rPr>
                <w:rFonts w:hint="cs"/>
                <w:sz w:val="26"/>
                <w:rtl/>
              </w:rPr>
              <w:t xml:space="preserve"> </w:t>
            </w:r>
            <w:r>
              <w:rPr>
                <w:rFonts w:hint="cs"/>
                <w:sz w:val="26"/>
                <w:rtl/>
              </w:rPr>
              <w:t xml:space="preserve">להמשיך לעסוק בייעוץ משכנתאות גם ללא רישום בפנקס לתקופה של </w:t>
            </w:r>
            <w:r w:rsidRPr="00B80B0F">
              <w:rPr>
                <w:rFonts w:hint="eastAsia"/>
                <w:sz w:val="26"/>
                <w:rtl/>
              </w:rPr>
              <w:t>חמש</w:t>
            </w:r>
            <w:r w:rsidRPr="00B80B0F">
              <w:rPr>
                <w:sz w:val="26"/>
                <w:rtl/>
              </w:rPr>
              <w:t xml:space="preserve"> </w:t>
            </w:r>
            <w:r w:rsidRPr="004E4E18">
              <w:rPr>
                <w:rFonts w:hint="eastAsia"/>
                <w:sz w:val="26"/>
                <w:rtl/>
              </w:rPr>
              <w:t>שנים</w:t>
            </w:r>
            <w:r>
              <w:rPr>
                <w:rFonts w:hint="cs"/>
                <w:sz w:val="26"/>
                <w:rtl/>
              </w:rPr>
              <w:t xml:space="preserve"> ובלבד</w:t>
            </w:r>
            <w:r w:rsidRPr="00E20B1B">
              <w:rPr>
                <w:rFonts w:hint="cs"/>
                <w:sz w:val="26"/>
                <w:rtl/>
              </w:rPr>
              <w:t xml:space="preserve"> שלא חלות עליו ה</w:t>
            </w:r>
            <w:r>
              <w:rPr>
                <w:rFonts w:hint="cs"/>
                <w:sz w:val="26"/>
                <w:rtl/>
              </w:rPr>
              <w:t>ור</w:t>
            </w:r>
            <w:r w:rsidRPr="00E20B1B">
              <w:rPr>
                <w:rFonts w:hint="cs"/>
                <w:sz w:val="26"/>
                <w:rtl/>
              </w:rPr>
              <w:t xml:space="preserve">אות סעיף </w:t>
            </w:r>
            <w:r w:rsidR="00AF4BC7">
              <w:rPr>
                <w:rFonts w:hint="cs"/>
                <w:sz w:val="26"/>
                <w:rtl/>
              </w:rPr>
              <w:t>14</w:t>
            </w:r>
            <w:r w:rsidRPr="00E20B1B">
              <w:rPr>
                <w:rFonts w:hint="cs"/>
                <w:sz w:val="26"/>
                <w:rtl/>
              </w:rPr>
              <w:t xml:space="preserve">(ב)(1) והוא עמד בהוראות סעיפים </w:t>
            </w:r>
            <w:r w:rsidR="00AF4BC7">
              <w:rPr>
                <w:rFonts w:hint="cs"/>
                <w:sz w:val="26"/>
                <w:rtl/>
              </w:rPr>
              <w:t>14</w:t>
            </w:r>
            <w:r w:rsidRPr="00E20B1B">
              <w:rPr>
                <w:rFonts w:hint="cs"/>
                <w:sz w:val="26"/>
                <w:rtl/>
              </w:rPr>
              <w:t xml:space="preserve">(א)(1) או (2) בתוך </w:t>
            </w:r>
            <w:r>
              <w:rPr>
                <w:rFonts w:hint="cs"/>
                <w:sz w:val="26"/>
                <w:rtl/>
              </w:rPr>
              <w:t>שלוש</w:t>
            </w:r>
            <w:r w:rsidRPr="00E20B1B">
              <w:rPr>
                <w:rFonts w:hint="cs"/>
                <w:sz w:val="26"/>
                <w:rtl/>
              </w:rPr>
              <w:t xml:space="preserve"> שנים מיום </w:t>
            </w:r>
            <w:r>
              <w:rPr>
                <w:rFonts w:hint="cs"/>
                <w:sz w:val="26"/>
                <w:rtl/>
              </w:rPr>
              <w:t>התחילה</w:t>
            </w:r>
            <w:r w:rsidRPr="00E20B1B">
              <w:rPr>
                <w:rFonts w:hint="cs"/>
                <w:sz w:val="26"/>
                <w:rtl/>
              </w:rPr>
              <w:t>; לעני</w:t>
            </w:r>
            <w:r>
              <w:rPr>
                <w:rFonts w:hint="cs"/>
                <w:sz w:val="26"/>
                <w:rtl/>
              </w:rPr>
              <w:t>י</w:t>
            </w:r>
            <w:r w:rsidRPr="00E20B1B">
              <w:rPr>
                <w:rFonts w:hint="cs"/>
                <w:sz w:val="26"/>
                <w:rtl/>
              </w:rPr>
              <w:t xml:space="preserve">ן זה יראו את מי שעבר בחינות מטעם הגוף היציג כמי שעמד בתנאי סעיף </w:t>
            </w:r>
            <w:r>
              <w:rPr>
                <w:rFonts w:hint="cs"/>
                <w:sz w:val="26"/>
                <w:rtl/>
              </w:rPr>
              <w:t>1</w:t>
            </w:r>
            <w:r w:rsidR="00AF4BC7">
              <w:rPr>
                <w:rFonts w:hint="cs"/>
                <w:sz w:val="26"/>
                <w:rtl/>
              </w:rPr>
              <w:t>4</w:t>
            </w:r>
            <w:r w:rsidRPr="00E20B1B">
              <w:rPr>
                <w:rFonts w:hint="cs"/>
                <w:sz w:val="26"/>
                <w:rtl/>
              </w:rPr>
              <w:t>(א)</w:t>
            </w:r>
            <w:r>
              <w:rPr>
                <w:rFonts w:hint="cs"/>
                <w:sz w:val="26"/>
                <w:rtl/>
              </w:rPr>
              <w:t>;</w:t>
            </w:r>
          </w:p>
        </w:tc>
      </w:tr>
      <w:tr w:rsidR="0045086B" w14:paraId="2B50B5CE" w14:textId="77777777" w:rsidTr="0045086B">
        <w:trPr>
          <w:gridAfter w:val="2"/>
          <w:wAfter w:w="13038" w:type="dxa"/>
          <w:cantSplit/>
          <w:trHeight w:val="60"/>
        </w:trPr>
        <w:tc>
          <w:tcPr>
            <w:tcW w:w="1870" w:type="dxa"/>
          </w:tcPr>
          <w:p w14:paraId="0BD91871" w14:textId="77777777" w:rsidR="0045086B" w:rsidRDefault="0045086B" w:rsidP="0045086B">
            <w:pPr>
              <w:pStyle w:val="TableSideHeading"/>
            </w:pPr>
          </w:p>
        </w:tc>
        <w:tc>
          <w:tcPr>
            <w:tcW w:w="624" w:type="dxa"/>
          </w:tcPr>
          <w:p w14:paraId="228B59A1" w14:textId="77777777" w:rsidR="0045086B" w:rsidRDefault="0045086B" w:rsidP="0045086B">
            <w:pPr>
              <w:pStyle w:val="TableText"/>
            </w:pPr>
          </w:p>
        </w:tc>
        <w:tc>
          <w:tcPr>
            <w:tcW w:w="624" w:type="dxa"/>
          </w:tcPr>
          <w:p w14:paraId="56FA4044" w14:textId="77777777" w:rsidR="0045086B" w:rsidRDefault="0045086B" w:rsidP="0045086B">
            <w:pPr>
              <w:pStyle w:val="TableText"/>
            </w:pPr>
          </w:p>
        </w:tc>
        <w:tc>
          <w:tcPr>
            <w:tcW w:w="6522" w:type="dxa"/>
            <w:gridSpan w:val="2"/>
          </w:tcPr>
          <w:p w14:paraId="5980552E" w14:textId="6B2286C5" w:rsidR="0045086B" w:rsidRDefault="0045086B" w:rsidP="00AF4BC7">
            <w:pPr>
              <w:pStyle w:val="TableBlock"/>
            </w:pPr>
            <w:r>
              <w:rPr>
                <w:rFonts w:hint="cs"/>
                <w:rtl/>
              </w:rPr>
              <w:t>(2)</w:t>
            </w:r>
            <w:r>
              <w:rPr>
                <w:sz w:val="26"/>
                <w:rtl/>
              </w:rPr>
              <w:tab/>
            </w:r>
            <w:r w:rsidRPr="00FE05C4">
              <w:rPr>
                <w:sz w:val="26"/>
                <w:rtl/>
              </w:rPr>
              <w:t>מי שעסק בייעוץ משכנתאות</w:t>
            </w:r>
            <w:r>
              <w:rPr>
                <w:rFonts w:hint="cs"/>
                <w:sz w:val="26"/>
                <w:rtl/>
              </w:rPr>
              <w:t xml:space="preserve"> ערב יום התחילה במשך פחות</w:t>
            </w:r>
            <w:r w:rsidRPr="00FE05C4">
              <w:rPr>
                <w:sz w:val="26"/>
                <w:rtl/>
              </w:rPr>
              <w:t xml:space="preserve"> משנתיים לפני תחילתו של חוק זה </w:t>
            </w:r>
            <w:r>
              <w:rPr>
                <w:rFonts w:hint="cs"/>
                <w:sz w:val="26"/>
                <w:rtl/>
              </w:rPr>
              <w:t>רשאי להמשיך לעסוק בייעוץ משכנתאות גם ללא רישום בפנקס למשך שלוש שנים מיום התחילה, ואם היה חבר הגוף היציג, בתוך חמש שנים מיום התחילה</w:t>
            </w:r>
            <w:r w:rsidRPr="00FE05C4">
              <w:rPr>
                <w:sz w:val="26"/>
                <w:rtl/>
              </w:rPr>
              <w:t xml:space="preserve"> ובלבד שלא חלות עליו </w:t>
            </w:r>
            <w:r>
              <w:rPr>
                <w:rFonts w:hint="cs"/>
                <w:sz w:val="26"/>
                <w:rtl/>
              </w:rPr>
              <w:t>הוראות</w:t>
            </w:r>
            <w:r w:rsidRPr="00FE05C4">
              <w:rPr>
                <w:sz w:val="26"/>
                <w:rtl/>
              </w:rPr>
              <w:t xml:space="preserve"> סעיף </w:t>
            </w:r>
            <w:r>
              <w:rPr>
                <w:rFonts w:hint="cs"/>
                <w:sz w:val="26"/>
                <w:rtl/>
              </w:rPr>
              <w:t>1</w:t>
            </w:r>
            <w:r w:rsidR="00AF4BC7">
              <w:rPr>
                <w:rFonts w:hint="cs"/>
                <w:sz w:val="26"/>
                <w:rtl/>
              </w:rPr>
              <w:t>4</w:t>
            </w:r>
            <w:r w:rsidRPr="00FE05C4">
              <w:rPr>
                <w:sz w:val="26"/>
                <w:rtl/>
              </w:rPr>
              <w:t xml:space="preserve">(ב)(1) והוא </w:t>
            </w:r>
            <w:r w:rsidRPr="00D622FC">
              <w:rPr>
                <w:sz w:val="26"/>
                <w:rtl/>
              </w:rPr>
              <w:t xml:space="preserve">עמד בהוראות </w:t>
            </w:r>
            <w:r w:rsidRPr="00D622FC">
              <w:rPr>
                <w:rFonts w:hint="cs"/>
                <w:sz w:val="26"/>
                <w:rtl/>
              </w:rPr>
              <w:t>סעיף</w:t>
            </w:r>
            <w:r w:rsidRPr="00D622FC">
              <w:rPr>
                <w:sz w:val="26"/>
                <w:rtl/>
              </w:rPr>
              <w:t xml:space="preserve"> </w:t>
            </w:r>
            <w:r w:rsidRPr="00D622FC">
              <w:rPr>
                <w:rFonts w:hint="cs"/>
                <w:sz w:val="26"/>
                <w:rtl/>
              </w:rPr>
              <w:t>1</w:t>
            </w:r>
            <w:r w:rsidR="00AF4BC7">
              <w:rPr>
                <w:rFonts w:hint="cs"/>
                <w:sz w:val="26"/>
                <w:rtl/>
              </w:rPr>
              <w:t>4</w:t>
            </w:r>
            <w:r w:rsidRPr="00D622FC">
              <w:rPr>
                <w:sz w:val="26"/>
                <w:rtl/>
              </w:rPr>
              <w:t>(א)(1)</w:t>
            </w:r>
            <w:r w:rsidRPr="00D622FC">
              <w:rPr>
                <w:rFonts w:hint="cs"/>
                <w:sz w:val="26"/>
                <w:rtl/>
              </w:rPr>
              <w:t>(א) או (ב)</w:t>
            </w:r>
            <w:r w:rsidRPr="00D622FC">
              <w:rPr>
                <w:sz w:val="26"/>
                <w:rtl/>
              </w:rPr>
              <w:t>.</w:t>
            </w:r>
          </w:p>
        </w:tc>
      </w:tr>
      <w:tr w:rsidR="0045086B" w14:paraId="0E122868" w14:textId="77777777" w:rsidTr="0045086B">
        <w:trPr>
          <w:gridAfter w:val="2"/>
          <w:wAfter w:w="13038" w:type="dxa"/>
          <w:cantSplit/>
        </w:trPr>
        <w:tc>
          <w:tcPr>
            <w:tcW w:w="1870" w:type="dxa"/>
          </w:tcPr>
          <w:p w14:paraId="525B6F7C" w14:textId="77777777" w:rsidR="0045086B" w:rsidRDefault="0045086B" w:rsidP="0045086B">
            <w:pPr>
              <w:pStyle w:val="TableSideHeading"/>
              <w:rPr>
                <w:sz w:val="26"/>
                <w:rtl/>
              </w:rPr>
            </w:pPr>
          </w:p>
        </w:tc>
        <w:tc>
          <w:tcPr>
            <w:tcW w:w="624" w:type="dxa"/>
          </w:tcPr>
          <w:p w14:paraId="18D0C51C" w14:textId="77777777" w:rsidR="0045086B" w:rsidRDefault="0045086B" w:rsidP="0045086B">
            <w:pPr>
              <w:pStyle w:val="TableText"/>
              <w:rPr>
                <w:rtl/>
              </w:rPr>
            </w:pPr>
          </w:p>
        </w:tc>
        <w:tc>
          <w:tcPr>
            <w:tcW w:w="7146" w:type="dxa"/>
            <w:gridSpan w:val="3"/>
          </w:tcPr>
          <w:p w14:paraId="1C268D94" w14:textId="77777777" w:rsidR="0045086B" w:rsidRPr="00AB1183" w:rsidRDefault="0045086B" w:rsidP="0045086B">
            <w:pPr>
              <w:pStyle w:val="TableBlock"/>
              <w:rPr>
                <w:sz w:val="26"/>
                <w:rtl/>
              </w:rPr>
            </w:pPr>
            <w:r>
              <w:rPr>
                <w:rFonts w:hint="cs"/>
                <w:sz w:val="26"/>
                <w:rtl/>
              </w:rPr>
              <w:t>(ג)</w:t>
            </w:r>
            <w:r>
              <w:rPr>
                <w:sz w:val="26"/>
                <w:rtl/>
              </w:rPr>
              <w:tab/>
            </w:r>
            <w:r>
              <w:rPr>
                <w:rFonts w:hint="cs"/>
                <w:rtl/>
              </w:rPr>
              <w:t>הרשם</w:t>
            </w:r>
            <w:r>
              <w:rPr>
                <w:rtl/>
              </w:rPr>
              <w:t xml:space="preserve"> יפרסם באתר האינטרנט של </w:t>
            </w:r>
            <w:r>
              <w:rPr>
                <w:rFonts w:hint="cs"/>
                <w:rtl/>
              </w:rPr>
              <w:t>משרד המשפטים</w:t>
            </w:r>
            <w:r>
              <w:rPr>
                <w:rtl/>
              </w:rPr>
              <w:t xml:space="preserve"> הודעה </w:t>
            </w:r>
            <w:r>
              <w:rPr>
                <w:rFonts w:hint="cs"/>
                <w:rtl/>
              </w:rPr>
              <w:t>לעניין יישום סעיף זה, שלפיה</w:t>
            </w:r>
            <w:r>
              <w:rPr>
                <w:rtl/>
              </w:rPr>
              <w:t xml:space="preserve"> </w:t>
            </w:r>
            <w:r>
              <w:rPr>
                <w:rFonts w:hint="cs"/>
                <w:rtl/>
              </w:rPr>
              <w:t>כל אדם שעסק בייעוץ משכנתאות בעלי ותק כאמור</w:t>
            </w:r>
            <w:r>
              <w:rPr>
                <w:rtl/>
              </w:rPr>
              <w:t xml:space="preserve"> </w:t>
            </w:r>
            <w:r>
              <w:rPr>
                <w:rFonts w:hint="cs"/>
                <w:rtl/>
              </w:rPr>
              <w:t xml:space="preserve">בסעיף זה רשאי </w:t>
            </w:r>
            <w:r>
              <w:rPr>
                <w:rtl/>
              </w:rPr>
              <w:t>להגיש בקשה להירשם במר</w:t>
            </w:r>
            <w:r>
              <w:rPr>
                <w:rFonts w:hint="cs"/>
                <w:rtl/>
              </w:rPr>
              <w:t>שם.</w:t>
            </w:r>
          </w:p>
        </w:tc>
      </w:tr>
      <w:tr w:rsidR="0045086B" w14:paraId="0129AE22" w14:textId="77777777" w:rsidTr="0045086B">
        <w:trPr>
          <w:gridAfter w:val="2"/>
          <w:wAfter w:w="13038" w:type="dxa"/>
          <w:cantSplit/>
        </w:trPr>
        <w:tc>
          <w:tcPr>
            <w:tcW w:w="1870" w:type="dxa"/>
          </w:tcPr>
          <w:p w14:paraId="69A4D5C0" w14:textId="77777777" w:rsidR="0045086B" w:rsidRDefault="0045086B" w:rsidP="0045086B">
            <w:pPr>
              <w:pStyle w:val="TableSideHeading"/>
              <w:rPr>
                <w:sz w:val="26"/>
                <w:rtl/>
              </w:rPr>
            </w:pPr>
          </w:p>
        </w:tc>
        <w:tc>
          <w:tcPr>
            <w:tcW w:w="624" w:type="dxa"/>
          </w:tcPr>
          <w:p w14:paraId="73A91AE3" w14:textId="77777777" w:rsidR="0045086B" w:rsidRDefault="0045086B" w:rsidP="0045086B">
            <w:pPr>
              <w:pStyle w:val="TableText"/>
              <w:rPr>
                <w:rtl/>
              </w:rPr>
            </w:pPr>
          </w:p>
        </w:tc>
        <w:tc>
          <w:tcPr>
            <w:tcW w:w="7146" w:type="dxa"/>
            <w:gridSpan w:val="3"/>
          </w:tcPr>
          <w:p w14:paraId="39796522" w14:textId="5BD19C01" w:rsidR="0045086B" w:rsidRDefault="0045086B" w:rsidP="00AF4BC7">
            <w:pPr>
              <w:pStyle w:val="TableBlock"/>
              <w:rPr>
                <w:sz w:val="26"/>
                <w:rtl/>
              </w:rPr>
            </w:pPr>
            <w:r>
              <w:rPr>
                <w:rFonts w:hint="cs"/>
                <w:sz w:val="26"/>
                <w:rtl/>
              </w:rPr>
              <w:t>(ד)</w:t>
            </w:r>
            <w:r>
              <w:rPr>
                <w:sz w:val="26"/>
                <w:rtl/>
              </w:rPr>
              <w:tab/>
            </w:r>
            <w:r w:rsidRPr="00E20B1B">
              <w:rPr>
                <w:rFonts w:hint="cs"/>
                <w:sz w:val="26"/>
                <w:rtl/>
              </w:rPr>
              <w:t xml:space="preserve">הוגשה בקשה על ידי מי שעסק בייעוץ משכנתאות כאמור </w:t>
            </w:r>
            <w:r>
              <w:rPr>
                <w:rFonts w:hint="cs"/>
                <w:sz w:val="26"/>
                <w:rtl/>
              </w:rPr>
              <w:t xml:space="preserve">בסעיף קטן </w:t>
            </w:r>
            <w:r w:rsidRPr="00E20B1B">
              <w:rPr>
                <w:rFonts w:hint="cs"/>
                <w:sz w:val="26"/>
                <w:rtl/>
              </w:rPr>
              <w:t>(ב), ומצא הרשם כי הוא זכאי להירשם בפנקס בהתאם לאמור באות</w:t>
            </w:r>
            <w:r>
              <w:rPr>
                <w:rFonts w:hint="cs"/>
                <w:sz w:val="26"/>
                <w:rtl/>
              </w:rPr>
              <w:t>ו</w:t>
            </w:r>
            <w:r w:rsidRPr="00E20B1B">
              <w:rPr>
                <w:rFonts w:hint="cs"/>
                <w:sz w:val="26"/>
                <w:rtl/>
              </w:rPr>
              <w:t xml:space="preserve"> סעי</w:t>
            </w:r>
            <w:r>
              <w:rPr>
                <w:rFonts w:hint="cs"/>
                <w:sz w:val="26"/>
                <w:rtl/>
              </w:rPr>
              <w:t>ף</w:t>
            </w:r>
            <w:r w:rsidRPr="00E20B1B">
              <w:rPr>
                <w:rFonts w:hint="cs"/>
                <w:sz w:val="26"/>
                <w:rtl/>
              </w:rPr>
              <w:t xml:space="preserve">, יעניק להם תעודת רישום זמנית עד שיעמדו בתנאים שבהתאם לסעיף </w:t>
            </w:r>
            <w:r>
              <w:rPr>
                <w:rFonts w:hint="cs"/>
                <w:sz w:val="26"/>
                <w:rtl/>
              </w:rPr>
              <w:t>1</w:t>
            </w:r>
            <w:r w:rsidR="00AF4BC7">
              <w:rPr>
                <w:rFonts w:hint="cs"/>
                <w:sz w:val="26"/>
                <w:rtl/>
              </w:rPr>
              <w:t>4</w:t>
            </w:r>
            <w:r w:rsidRPr="00E20B1B">
              <w:rPr>
                <w:rFonts w:hint="cs"/>
                <w:sz w:val="26"/>
                <w:rtl/>
              </w:rPr>
              <w:t xml:space="preserve">; תוקפה של תעודת רישום זמנית כתעודת רישום למשך התקופה שנקובה בה בהתאם לתקופות הקבועות בסעיפים הקטנים האמורים.  </w:t>
            </w:r>
          </w:p>
        </w:tc>
      </w:tr>
      <w:tr w:rsidR="0045086B" w14:paraId="340DE0CA" w14:textId="77777777" w:rsidTr="0045086B">
        <w:trPr>
          <w:gridAfter w:val="2"/>
          <w:wAfter w:w="13038" w:type="dxa"/>
          <w:cantSplit/>
        </w:trPr>
        <w:tc>
          <w:tcPr>
            <w:tcW w:w="1870" w:type="dxa"/>
          </w:tcPr>
          <w:p w14:paraId="370A0D98" w14:textId="77777777" w:rsidR="0045086B" w:rsidRDefault="0045086B" w:rsidP="0045086B">
            <w:pPr>
              <w:pStyle w:val="TableSideHeading"/>
              <w:rPr>
                <w:sz w:val="26"/>
                <w:rtl/>
              </w:rPr>
            </w:pPr>
            <w:r>
              <w:rPr>
                <w:rFonts w:hint="cs"/>
                <w:sz w:val="26"/>
                <w:rtl/>
              </w:rPr>
              <w:t>תקנות לעניין הוראות המעבר</w:t>
            </w:r>
          </w:p>
        </w:tc>
        <w:tc>
          <w:tcPr>
            <w:tcW w:w="624" w:type="dxa"/>
          </w:tcPr>
          <w:p w14:paraId="17B83F63" w14:textId="1B741112" w:rsidR="0045086B" w:rsidRDefault="0045086B" w:rsidP="0045086B">
            <w:pPr>
              <w:pStyle w:val="TableText"/>
              <w:rPr>
                <w:rtl/>
              </w:rPr>
            </w:pPr>
            <w:r>
              <w:rPr>
                <w:rFonts w:hint="cs"/>
                <w:rtl/>
              </w:rPr>
              <w:t>27.</w:t>
            </w:r>
          </w:p>
        </w:tc>
        <w:tc>
          <w:tcPr>
            <w:tcW w:w="7146" w:type="dxa"/>
            <w:gridSpan w:val="3"/>
          </w:tcPr>
          <w:p w14:paraId="12647CA1" w14:textId="77777777" w:rsidR="0045086B" w:rsidRDefault="0045086B" w:rsidP="0045086B">
            <w:pPr>
              <w:pStyle w:val="TableBlock"/>
              <w:rPr>
                <w:sz w:val="26"/>
                <w:rtl/>
              </w:rPr>
            </w:pPr>
            <w:r w:rsidRPr="0013257B">
              <w:rPr>
                <w:rFonts w:hint="cs"/>
                <w:sz w:val="26"/>
                <w:rtl/>
              </w:rPr>
              <w:t xml:space="preserve">השר יקבע </w:t>
            </w:r>
            <w:r>
              <w:rPr>
                <w:rFonts w:hint="cs"/>
                <w:sz w:val="26"/>
                <w:rtl/>
              </w:rPr>
              <w:t>הוראות בעניינים אלה:</w:t>
            </w:r>
            <w:r w:rsidRPr="0013257B">
              <w:rPr>
                <w:rFonts w:hint="cs"/>
                <w:sz w:val="26"/>
                <w:rtl/>
              </w:rPr>
              <w:t xml:space="preserve"> </w:t>
            </w:r>
          </w:p>
        </w:tc>
      </w:tr>
      <w:tr w:rsidR="0045086B" w14:paraId="200DC969" w14:textId="77777777" w:rsidTr="0045086B">
        <w:trPr>
          <w:gridAfter w:val="2"/>
          <w:wAfter w:w="13038" w:type="dxa"/>
          <w:cantSplit/>
        </w:trPr>
        <w:tc>
          <w:tcPr>
            <w:tcW w:w="1870" w:type="dxa"/>
          </w:tcPr>
          <w:p w14:paraId="137576FC" w14:textId="77777777" w:rsidR="0045086B" w:rsidRDefault="0045086B" w:rsidP="0045086B">
            <w:pPr>
              <w:pStyle w:val="TableSideHeading"/>
            </w:pPr>
          </w:p>
        </w:tc>
        <w:tc>
          <w:tcPr>
            <w:tcW w:w="624" w:type="dxa"/>
          </w:tcPr>
          <w:p w14:paraId="1C624D9B" w14:textId="77777777" w:rsidR="0045086B" w:rsidRDefault="0045086B" w:rsidP="0045086B">
            <w:pPr>
              <w:pStyle w:val="TableText"/>
            </w:pPr>
          </w:p>
        </w:tc>
        <w:tc>
          <w:tcPr>
            <w:tcW w:w="7146" w:type="dxa"/>
            <w:gridSpan w:val="3"/>
          </w:tcPr>
          <w:p w14:paraId="024805A9" w14:textId="77777777" w:rsidR="0045086B" w:rsidRPr="00AB1183" w:rsidRDefault="0045086B" w:rsidP="0045086B">
            <w:pPr>
              <w:pStyle w:val="TableBlock"/>
            </w:pPr>
            <w:r>
              <w:rPr>
                <w:rFonts w:hint="cs"/>
                <w:rtl/>
              </w:rPr>
              <w:t>(1)</w:t>
            </w:r>
            <w:r>
              <w:rPr>
                <w:rtl/>
              </w:rPr>
              <w:tab/>
            </w:r>
            <w:r w:rsidRPr="0013257B">
              <w:rPr>
                <w:rFonts w:hint="cs"/>
                <w:sz w:val="26"/>
                <w:rtl/>
              </w:rPr>
              <w:t xml:space="preserve">הגשת בקשה לרישום אדם שעסק בייעוץ משכנתאות לפני תחילתו של חוק זה במרשם, ובכלל זה התקופה שבה </w:t>
            </w:r>
            <w:r>
              <w:rPr>
                <w:rFonts w:hint="cs"/>
                <w:sz w:val="26"/>
                <w:rtl/>
              </w:rPr>
              <w:t xml:space="preserve">היה </w:t>
            </w:r>
            <w:r w:rsidRPr="0013257B">
              <w:rPr>
                <w:rFonts w:hint="cs"/>
                <w:sz w:val="26"/>
                <w:rtl/>
              </w:rPr>
              <w:t xml:space="preserve">על אותו אדם להגיש בקשה לרשם, שלא תעלה על חצי שנה מיום </w:t>
            </w:r>
            <w:r>
              <w:rPr>
                <w:rFonts w:hint="cs"/>
                <w:sz w:val="26"/>
                <w:rtl/>
              </w:rPr>
              <w:t>התחילה</w:t>
            </w:r>
            <w:r w:rsidRPr="0013257B">
              <w:rPr>
                <w:rFonts w:hint="cs"/>
                <w:sz w:val="26"/>
                <w:rtl/>
              </w:rPr>
              <w:t xml:space="preserve">, אופן הגשת הבקשה ותוצאות אי הגשת הבקשה; </w:t>
            </w:r>
          </w:p>
        </w:tc>
      </w:tr>
      <w:tr w:rsidR="0045086B" w14:paraId="700AE2F9" w14:textId="77777777" w:rsidTr="0045086B">
        <w:trPr>
          <w:gridAfter w:val="2"/>
          <w:wAfter w:w="13038" w:type="dxa"/>
          <w:cantSplit/>
        </w:trPr>
        <w:tc>
          <w:tcPr>
            <w:tcW w:w="1870" w:type="dxa"/>
          </w:tcPr>
          <w:p w14:paraId="4BF490A5" w14:textId="77777777" w:rsidR="0045086B" w:rsidRDefault="0045086B" w:rsidP="0045086B">
            <w:pPr>
              <w:pStyle w:val="TableSideHeading"/>
            </w:pPr>
          </w:p>
        </w:tc>
        <w:tc>
          <w:tcPr>
            <w:tcW w:w="624" w:type="dxa"/>
          </w:tcPr>
          <w:p w14:paraId="005DF013" w14:textId="77777777" w:rsidR="0045086B" w:rsidRDefault="0045086B" w:rsidP="0045086B">
            <w:pPr>
              <w:pStyle w:val="TableText"/>
            </w:pPr>
          </w:p>
        </w:tc>
        <w:tc>
          <w:tcPr>
            <w:tcW w:w="7146" w:type="dxa"/>
            <w:gridSpan w:val="3"/>
          </w:tcPr>
          <w:p w14:paraId="2ECFAC1F" w14:textId="18453BCC" w:rsidR="0045086B" w:rsidRPr="003B133D" w:rsidRDefault="0045086B" w:rsidP="0045086B">
            <w:pPr>
              <w:pStyle w:val="TableBlock"/>
              <w:rPr>
                <w:sz w:val="26"/>
                <w:rtl/>
              </w:rPr>
            </w:pPr>
            <w:r>
              <w:rPr>
                <w:rFonts w:hint="cs"/>
                <w:rtl/>
              </w:rPr>
              <w:t>(2)</w:t>
            </w:r>
            <w:r>
              <w:rPr>
                <w:rtl/>
              </w:rPr>
              <w:tab/>
            </w:r>
            <w:r w:rsidRPr="0013257B">
              <w:rPr>
                <w:rFonts w:hint="cs"/>
                <w:sz w:val="26"/>
                <w:rtl/>
              </w:rPr>
              <w:t xml:space="preserve">מתן תעודת רישום </w:t>
            </w:r>
            <w:r w:rsidR="00AF4BC7">
              <w:rPr>
                <w:rFonts w:hint="cs"/>
                <w:sz w:val="26"/>
                <w:rtl/>
              </w:rPr>
              <w:t xml:space="preserve">זמנית, דרכי הגשת הבקשה לקבלתה, </w:t>
            </w:r>
            <w:r w:rsidRPr="0013257B">
              <w:rPr>
                <w:rFonts w:hint="cs"/>
                <w:sz w:val="26"/>
                <w:rtl/>
              </w:rPr>
              <w:t xml:space="preserve">הפרטים שיש לכלול בה ואופן רישומה בפנקס, </w:t>
            </w:r>
            <w:r>
              <w:rPr>
                <w:rFonts w:hint="cs"/>
                <w:sz w:val="26"/>
                <w:rtl/>
              </w:rPr>
              <w:t>תוך ציון תוקפה הזמני של התעודה</w:t>
            </w:r>
            <w:r w:rsidRPr="0013257B">
              <w:rPr>
                <w:rFonts w:hint="cs"/>
                <w:sz w:val="26"/>
                <w:rtl/>
              </w:rPr>
              <w:t xml:space="preserve">. </w:t>
            </w:r>
          </w:p>
        </w:tc>
      </w:tr>
      <w:tr w:rsidR="0045086B" w14:paraId="0782E6EA" w14:textId="77777777" w:rsidTr="0045086B">
        <w:trPr>
          <w:gridAfter w:val="2"/>
          <w:wAfter w:w="13038" w:type="dxa"/>
          <w:cantSplit/>
        </w:trPr>
        <w:tc>
          <w:tcPr>
            <w:tcW w:w="1870" w:type="dxa"/>
          </w:tcPr>
          <w:p w14:paraId="6CB25E25" w14:textId="77777777" w:rsidR="0045086B" w:rsidRDefault="0045086B" w:rsidP="0045086B">
            <w:pPr>
              <w:pStyle w:val="TableSideHeading"/>
            </w:pPr>
          </w:p>
        </w:tc>
        <w:tc>
          <w:tcPr>
            <w:tcW w:w="624" w:type="dxa"/>
          </w:tcPr>
          <w:p w14:paraId="11D29CAB" w14:textId="77777777" w:rsidR="0045086B" w:rsidRDefault="0045086B" w:rsidP="0045086B">
            <w:pPr>
              <w:pStyle w:val="TableText"/>
            </w:pPr>
          </w:p>
        </w:tc>
        <w:tc>
          <w:tcPr>
            <w:tcW w:w="7146" w:type="dxa"/>
            <w:gridSpan w:val="3"/>
          </w:tcPr>
          <w:p w14:paraId="57D0FCE6" w14:textId="77777777" w:rsidR="0045086B" w:rsidRPr="00AB1183" w:rsidRDefault="0045086B" w:rsidP="0045086B">
            <w:pPr>
              <w:pStyle w:val="TableHead"/>
              <w:rPr>
                <w:rtl/>
              </w:rPr>
            </w:pPr>
            <w:r w:rsidRPr="00AB1183">
              <w:rPr>
                <w:rFonts w:hint="cs"/>
                <w:rtl/>
              </w:rPr>
              <w:t>תוספת</w:t>
            </w:r>
            <w:r>
              <w:rPr>
                <w:rFonts w:hint="cs"/>
                <w:rtl/>
              </w:rPr>
              <w:t xml:space="preserve"> ראשונה</w:t>
            </w:r>
          </w:p>
        </w:tc>
      </w:tr>
      <w:tr w:rsidR="0045086B" w14:paraId="0A298905" w14:textId="77777777" w:rsidTr="0045086B">
        <w:trPr>
          <w:gridAfter w:val="2"/>
          <w:wAfter w:w="13038" w:type="dxa"/>
          <w:cantSplit/>
        </w:trPr>
        <w:tc>
          <w:tcPr>
            <w:tcW w:w="1870" w:type="dxa"/>
          </w:tcPr>
          <w:p w14:paraId="43E14CF0" w14:textId="77777777" w:rsidR="0045086B" w:rsidRDefault="0045086B" w:rsidP="0045086B">
            <w:pPr>
              <w:pStyle w:val="TableSideHeading"/>
            </w:pPr>
          </w:p>
        </w:tc>
        <w:tc>
          <w:tcPr>
            <w:tcW w:w="624" w:type="dxa"/>
          </w:tcPr>
          <w:p w14:paraId="35517A4A" w14:textId="77777777" w:rsidR="0045086B" w:rsidRDefault="0045086B" w:rsidP="0045086B">
            <w:pPr>
              <w:pStyle w:val="TableText"/>
            </w:pPr>
          </w:p>
        </w:tc>
        <w:tc>
          <w:tcPr>
            <w:tcW w:w="7146" w:type="dxa"/>
            <w:gridSpan w:val="3"/>
          </w:tcPr>
          <w:p w14:paraId="11CD4054" w14:textId="77777777" w:rsidR="0045086B" w:rsidRPr="00AB1183" w:rsidRDefault="0045086B" w:rsidP="0045086B">
            <w:pPr>
              <w:pStyle w:val="TableBlock"/>
              <w:jc w:val="center"/>
              <w:rPr>
                <w:rtl/>
              </w:rPr>
            </w:pPr>
            <w:r w:rsidRPr="00AB1183">
              <w:rPr>
                <w:rFonts w:hint="cs"/>
                <w:rtl/>
              </w:rPr>
              <w:t>(</w:t>
            </w:r>
            <w:r>
              <w:rPr>
                <w:rFonts w:hint="cs"/>
                <w:rtl/>
              </w:rPr>
              <w:t>ה</w:t>
            </w:r>
            <w:r w:rsidRPr="00AB1183">
              <w:rPr>
                <w:rFonts w:hint="cs"/>
                <w:rtl/>
              </w:rPr>
              <w:t>הגדר</w:t>
            </w:r>
            <w:r>
              <w:rPr>
                <w:rFonts w:hint="cs"/>
                <w:rtl/>
              </w:rPr>
              <w:t>ה</w:t>
            </w:r>
            <w:r w:rsidRPr="00AB1183">
              <w:rPr>
                <w:rFonts w:hint="cs"/>
                <w:rtl/>
              </w:rPr>
              <w:t xml:space="preserve"> "גוף יציג" בסעיף 1)</w:t>
            </w:r>
          </w:p>
        </w:tc>
      </w:tr>
      <w:tr w:rsidR="0045086B" w14:paraId="5B583944" w14:textId="77777777" w:rsidTr="0045086B">
        <w:trPr>
          <w:gridAfter w:val="2"/>
          <w:wAfter w:w="13038" w:type="dxa"/>
          <w:cantSplit/>
        </w:trPr>
        <w:tc>
          <w:tcPr>
            <w:tcW w:w="1870" w:type="dxa"/>
          </w:tcPr>
          <w:p w14:paraId="767A48A0" w14:textId="77777777" w:rsidR="0045086B" w:rsidRDefault="0045086B" w:rsidP="0045086B">
            <w:pPr>
              <w:pStyle w:val="TableSideHeading"/>
            </w:pPr>
          </w:p>
        </w:tc>
        <w:tc>
          <w:tcPr>
            <w:tcW w:w="624" w:type="dxa"/>
          </w:tcPr>
          <w:p w14:paraId="4C410AB9" w14:textId="77777777" w:rsidR="0045086B" w:rsidRDefault="0045086B" w:rsidP="0045086B">
            <w:pPr>
              <w:pStyle w:val="TableText"/>
            </w:pPr>
          </w:p>
        </w:tc>
        <w:tc>
          <w:tcPr>
            <w:tcW w:w="7146" w:type="dxa"/>
            <w:gridSpan w:val="3"/>
          </w:tcPr>
          <w:p w14:paraId="76454AEC" w14:textId="77777777" w:rsidR="0045086B" w:rsidRPr="00AB1183" w:rsidRDefault="0045086B" w:rsidP="0045086B">
            <w:pPr>
              <w:pStyle w:val="TableBlock"/>
              <w:rPr>
                <w:rtl/>
              </w:rPr>
            </w:pPr>
            <w:r w:rsidRPr="00AB1183">
              <w:rPr>
                <w:rFonts w:hint="cs"/>
                <w:rtl/>
              </w:rPr>
              <w:t>(1)</w:t>
            </w:r>
            <w:r w:rsidRPr="00AB1183">
              <w:rPr>
                <w:rtl/>
              </w:rPr>
              <w:tab/>
            </w:r>
            <w:r w:rsidRPr="00AB1183">
              <w:rPr>
                <w:rFonts w:hint="eastAsia"/>
                <w:rtl/>
              </w:rPr>
              <w:t>התאחדות</w:t>
            </w:r>
            <w:r w:rsidRPr="00AB1183">
              <w:rPr>
                <w:rtl/>
              </w:rPr>
              <w:t xml:space="preserve"> </w:t>
            </w:r>
            <w:r w:rsidRPr="00AB1183">
              <w:rPr>
                <w:rFonts w:hint="eastAsia"/>
                <w:rtl/>
              </w:rPr>
              <w:t>יועצי</w:t>
            </w:r>
            <w:r w:rsidRPr="00AB1183">
              <w:rPr>
                <w:rtl/>
              </w:rPr>
              <w:t xml:space="preserve"> </w:t>
            </w:r>
            <w:r w:rsidRPr="00AB1183">
              <w:rPr>
                <w:rFonts w:hint="eastAsia"/>
                <w:rtl/>
              </w:rPr>
              <w:t>המשכנתאות</w:t>
            </w:r>
            <w:r w:rsidRPr="00AB1183">
              <w:rPr>
                <w:rtl/>
              </w:rPr>
              <w:t xml:space="preserve"> (ע"ר).</w:t>
            </w:r>
          </w:p>
        </w:tc>
      </w:tr>
      <w:tr w:rsidR="0045086B" w14:paraId="63C7D233" w14:textId="77777777" w:rsidTr="0045086B">
        <w:trPr>
          <w:gridAfter w:val="2"/>
          <w:wAfter w:w="13038" w:type="dxa"/>
          <w:cantSplit/>
        </w:trPr>
        <w:tc>
          <w:tcPr>
            <w:tcW w:w="1870" w:type="dxa"/>
          </w:tcPr>
          <w:p w14:paraId="6299D784" w14:textId="77777777" w:rsidR="0045086B" w:rsidRDefault="0045086B" w:rsidP="0045086B">
            <w:pPr>
              <w:pStyle w:val="TableSideHeading"/>
            </w:pPr>
          </w:p>
        </w:tc>
        <w:tc>
          <w:tcPr>
            <w:tcW w:w="624" w:type="dxa"/>
          </w:tcPr>
          <w:p w14:paraId="42EDDFC9" w14:textId="77777777" w:rsidR="0045086B" w:rsidRDefault="0045086B" w:rsidP="0045086B">
            <w:pPr>
              <w:pStyle w:val="TableText"/>
            </w:pPr>
          </w:p>
        </w:tc>
        <w:tc>
          <w:tcPr>
            <w:tcW w:w="7146" w:type="dxa"/>
            <w:gridSpan w:val="3"/>
          </w:tcPr>
          <w:p w14:paraId="3AAEED06" w14:textId="77777777" w:rsidR="0045086B" w:rsidRPr="00F82C40" w:rsidRDefault="0045086B" w:rsidP="0045086B">
            <w:pPr>
              <w:pStyle w:val="TableHead"/>
              <w:rPr>
                <w:rtl/>
              </w:rPr>
            </w:pPr>
            <w:r w:rsidRPr="00F82C40">
              <w:rPr>
                <w:rFonts w:hint="cs"/>
                <w:rtl/>
              </w:rPr>
              <w:t>תוספת שנייה</w:t>
            </w:r>
          </w:p>
        </w:tc>
      </w:tr>
      <w:tr w:rsidR="0045086B" w14:paraId="3EC0F034" w14:textId="77777777" w:rsidTr="0045086B">
        <w:trPr>
          <w:gridAfter w:val="2"/>
          <w:wAfter w:w="13038" w:type="dxa"/>
          <w:cantSplit/>
          <w:trHeight w:val="536"/>
        </w:trPr>
        <w:tc>
          <w:tcPr>
            <w:tcW w:w="1870" w:type="dxa"/>
          </w:tcPr>
          <w:p w14:paraId="03D7D243" w14:textId="77777777" w:rsidR="0045086B" w:rsidRDefault="0045086B" w:rsidP="0045086B">
            <w:pPr>
              <w:pStyle w:val="TableSideHeading"/>
            </w:pPr>
          </w:p>
        </w:tc>
        <w:tc>
          <w:tcPr>
            <w:tcW w:w="624" w:type="dxa"/>
          </w:tcPr>
          <w:p w14:paraId="09A9FEC1" w14:textId="77777777" w:rsidR="0045086B" w:rsidRDefault="0045086B" w:rsidP="0045086B">
            <w:pPr>
              <w:pStyle w:val="TableText"/>
            </w:pPr>
          </w:p>
        </w:tc>
        <w:tc>
          <w:tcPr>
            <w:tcW w:w="7146" w:type="dxa"/>
            <w:gridSpan w:val="3"/>
          </w:tcPr>
          <w:p w14:paraId="599EDE3F" w14:textId="6F720E52" w:rsidR="0045086B" w:rsidRPr="003F3DB4" w:rsidRDefault="00575BEE" w:rsidP="00575BEE">
            <w:pPr>
              <w:pStyle w:val="TableBlock"/>
              <w:jc w:val="center"/>
              <w:rPr>
                <w:b/>
                <w:bCs/>
                <w:rtl/>
              </w:rPr>
            </w:pPr>
            <w:r w:rsidRPr="004E4E18">
              <w:rPr>
                <w:rFonts w:hint="cs"/>
                <w:rtl/>
              </w:rPr>
              <w:t>(סעי</w:t>
            </w:r>
            <w:r w:rsidRPr="00021B51">
              <w:rPr>
                <w:rFonts w:hint="cs"/>
                <w:rtl/>
              </w:rPr>
              <w:t>פים 6 ו-13)</w:t>
            </w:r>
          </w:p>
        </w:tc>
      </w:tr>
      <w:tr w:rsidR="0045086B" w14:paraId="328DC8F8" w14:textId="77777777" w:rsidTr="0045086B">
        <w:trPr>
          <w:gridAfter w:val="2"/>
          <w:wAfter w:w="13038" w:type="dxa"/>
          <w:cantSplit/>
        </w:trPr>
        <w:tc>
          <w:tcPr>
            <w:tcW w:w="1870" w:type="dxa"/>
          </w:tcPr>
          <w:p w14:paraId="0ACBC227" w14:textId="77777777" w:rsidR="0045086B" w:rsidRDefault="0045086B" w:rsidP="0045086B">
            <w:pPr>
              <w:pStyle w:val="TableSideHeading"/>
            </w:pPr>
          </w:p>
        </w:tc>
        <w:tc>
          <w:tcPr>
            <w:tcW w:w="624" w:type="dxa"/>
          </w:tcPr>
          <w:p w14:paraId="45E3FBAE" w14:textId="77777777" w:rsidR="0045086B" w:rsidRDefault="0045086B" w:rsidP="0045086B">
            <w:pPr>
              <w:pStyle w:val="TableText"/>
            </w:pPr>
          </w:p>
        </w:tc>
        <w:tc>
          <w:tcPr>
            <w:tcW w:w="7146" w:type="dxa"/>
            <w:gridSpan w:val="3"/>
          </w:tcPr>
          <w:p w14:paraId="563B0DD0" w14:textId="5791EDAF" w:rsidR="0045086B" w:rsidRPr="00021B51" w:rsidRDefault="00575BEE" w:rsidP="0045086B">
            <w:pPr>
              <w:pStyle w:val="TableBlock"/>
              <w:jc w:val="center"/>
              <w:rPr>
                <w:rtl/>
              </w:rPr>
            </w:pPr>
            <w:r w:rsidRPr="003F3DB4">
              <w:rPr>
                <w:rFonts w:hint="eastAsia"/>
                <w:b/>
                <w:bCs/>
                <w:rtl/>
              </w:rPr>
              <w:t>נושאי</w:t>
            </w:r>
            <w:r w:rsidRPr="003F3DB4">
              <w:rPr>
                <w:b/>
                <w:bCs/>
                <w:rtl/>
              </w:rPr>
              <w:t xml:space="preserve"> </w:t>
            </w:r>
            <w:r w:rsidRPr="003F3DB4">
              <w:rPr>
                <w:rFonts w:hint="eastAsia"/>
                <w:b/>
                <w:bCs/>
                <w:rtl/>
              </w:rPr>
              <w:t>הבחינה</w:t>
            </w:r>
          </w:p>
        </w:tc>
      </w:tr>
      <w:tr w:rsidR="0045086B" w14:paraId="3C9ED0E4" w14:textId="77777777" w:rsidTr="0045086B">
        <w:trPr>
          <w:gridAfter w:val="2"/>
          <w:wAfter w:w="13038" w:type="dxa"/>
          <w:cantSplit/>
        </w:trPr>
        <w:tc>
          <w:tcPr>
            <w:tcW w:w="1870" w:type="dxa"/>
          </w:tcPr>
          <w:p w14:paraId="046394DC" w14:textId="77777777" w:rsidR="0045086B" w:rsidRDefault="0045086B" w:rsidP="0045086B">
            <w:pPr>
              <w:pStyle w:val="TableSideHeading"/>
            </w:pPr>
          </w:p>
        </w:tc>
        <w:tc>
          <w:tcPr>
            <w:tcW w:w="624" w:type="dxa"/>
          </w:tcPr>
          <w:p w14:paraId="7B526953" w14:textId="77777777" w:rsidR="0045086B" w:rsidRDefault="0045086B" w:rsidP="0045086B">
            <w:pPr>
              <w:pStyle w:val="TableText"/>
            </w:pPr>
          </w:p>
        </w:tc>
        <w:tc>
          <w:tcPr>
            <w:tcW w:w="7146" w:type="dxa"/>
            <w:gridSpan w:val="3"/>
          </w:tcPr>
          <w:p w14:paraId="239F9834" w14:textId="77777777" w:rsidR="0045086B" w:rsidRPr="00F4608F" w:rsidDel="00BB656F" w:rsidRDefault="0045086B" w:rsidP="0045086B">
            <w:pPr>
              <w:pStyle w:val="TableBlock"/>
              <w:rPr>
                <w:rtl/>
              </w:rPr>
            </w:pPr>
            <w:r w:rsidRPr="00F4608F">
              <w:rPr>
                <w:rFonts w:hint="cs"/>
                <w:rtl/>
              </w:rPr>
              <w:t>(1)</w:t>
            </w:r>
            <w:r w:rsidRPr="00F4608F">
              <w:rPr>
                <w:rtl/>
              </w:rPr>
              <w:tab/>
            </w:r>
            <w:r w:rsidRPr="00F4608F">
              <w:rPr>
                <w:rFonts w:hint="cs"/>
                <w:rtl/>
              </w:rPr>
              <w:t xml:space="preserve">אשכול חקיקה ורגולציה: בחינה בנושאי רגולציה, לרבות נהלים בנקאיים, מקרקעין ובטוחות. </w:t>
            </w:r>
          </w:p>
        </w:tc>
      </w:tr>
      <w:tr w:rsidR="0045086B" w14:paraId="6E70D436" w14:textId="77777777" w:rsidTr="0045086B">
        <w:trPr>
          <w:gridAfter w:val="2"/>
          <w:wAfter w:w="13038" w:type="dxa"/>
          <w:cantSplit/>
          <w:trHeight w:val="869"/>
        </w:trPr>
        <w:tc>
          <w:tcPr>
            <w:tcW w:w="1870" w:type="dxa"/>
          </w:tcPr>
          <w:p w14:paraId="33C0980A" w14:textId="77777777" w:rsidR="0045086B" w:rsidRDefault="0045086B" w:rsidP="0045086B">
            <w:pPr>
              <w:pStyle w:val="TableSideHeading"/>
            </w:pPr>
          </w:p>
        </w:tc>
        <w:tc>
          <w:tcPr>
            <w:tcW w:w="624" w:type="dxa"/>
          </w:tcPr>
          <w:p w14:paraId="7E958FF8" w14:textId="77777777" w:rsidR="0045086B" w:rsidRDefault="0045086B" w:rsidP="0045086B">
            <w:pPr>
              <w:pStyle w:val="TableText"/>
            </w:pPr>
          </w:p>
        </w:tc>
        <w:tc>
          <w:tcPr>
            <w:tcW w:w="7146" w:type="dxa"/>
            <w:gridSpan w:val="3"/>
          </w:tcPr>
          <w:p w14:paraId="4AC12337" w14:textId="77777777" w:rsidR="0045086B" w:rsidRPr="00F4608F" w:rsidRDefault="0045086B" w:rsidP="0045086B">
            <w:pPr>
              <w:pStyle w:val="TableBlock"/>
              <w:rPr>
                <w:rtl/>
              </w:rPr>
            </w:pPr>
            <w:r w:rsidRPr="00F4608F">
              <w:rPr>
                <w:rFonts w:hint="cs"/>
                <w:rtl/>
              </w:rPr>
              <w:t>(2)</w:t>
            </w:r>
            <w:r w:rsidRPr="00F4608F">
              <w:rPr>
                <w:rtl/>
              </w:rPr>
              <w:tab/>
            </w:r>
            <w:r w:rsidRPr="00F4608F">
              <w:rPr>
                <w:rFonts w:hint="cs"/>
                <w:rtl/>
              </w:rPr>
              <w:t xml:space="preserve">אשכול כלכלה: בחינה במאקרו כלכלה, יסודות שוק ההון והכספים, מימון וניתוח דוחות כספיים. </w:t>
            </w:r>
          </w:p>
        </w:tc>
      </w:tr>
    </w:tbl>
    <w:p w14:paraId="4112BBD7" w14:textId="444065D1" w:rsidR="00FE05C4" w:rsidRDefault="002D1EE3" w:rsidP="00BD2206">
      <w:pPr>
        <w:pStyle w:val="HeadDivreiHesber"/>
        <w:rPr>
          <w:rtl/>
        </w:rPr>
      </w:pPr>
      <w:r w:rsidRPr="0027450A">
        <w:rPr>
          <w:rFonts w:hint="cs"/>
          <w:rtl/>
        </w:rPr>
        <w:t>דברי הסבר</w:t>
      </w:r>
    </w:p>
    <w:p w14:paraId="497A0F74" w14:textId="77777777" w:rsidR="00D622FC" w:rsidRPr="0013257B" w:rsidRDefault="00D622FC" w:rsidP="00D622FC">
      <w:pPr>
        <w:pStyle w:val="Hesber"/>
        <w:rPr>
          <w:rtl/>
        </w:rPr>
      </w:pPr>
      <w:r w:rsidRPr="0013257B">
        <w:rPr>
          <w:rtl/>
        </w:rPr>
        <w:t>כיום העיסוק בייעוץ משכנתאות אינו מוסדר בחקיקה</w:t>
      </w:r>
      <w:r w:rsidRPr="0013257B">
        <w:rPr>
          <w:rFonts w:hint="cs"/>
          <w:rtl/>
        </w:rPr>
        <w:t xml:space="preserve">, </w:t>
      </w:r>
      <w:r>
        <w:rPr>
          <w:rFonts w:hint="cs"/>
          <w:rtl/>
        </w:rPr>
        <w:t>כלומר לא קבועות</w:t>
      </w:r>
      <w:r w:rsidRPr="0013257B">
        <w:rPr>
          <w:rFonts w:hint="cs"/>
          <w:rtl/>
        </w:rPr>
        <w:t xml:space="preserve"> דרישות סטטוטוריו</w:t>
      </w:r>
      <w:r w:rsidRPr="0013257B">
        <w:rPr>
          <w:rtl/>
        </w:rPr>
        <w:t>ת</w:t>
      </w:r>
      <w:r w:rsidRPr="0013257B">
        <w:rPr>
          <w:rFonts w:hint="cs"/>
          <w:rtl/>
        </w:rPr>
        <w:t xml:space="preserve"> כלשהן </w:t>
      </w:r>
      <w:r>
        <w:rPr>
          <w:rFonts w:hint="cs"/>
          <w:rtl/>
        </w:rPr>
        <w:t>ש</w:t>
      </w:r>
      <w:r w:rsidRPr="0013257B">
        <w:rPr>
          <w:rFonts w:hint="cs"/>
          <w:rtl/>
        </w:rPr>
        <w:t>בהן חייב לעמוד אשר מי שעוסק בתחום. למעשה, הגורם היחיד המסדיר את פעולתו של מקצוע חשוב זה הוא "כוחות השוק"</w:t>
      </w:r>
      <w:r w:rsidRPr="0013257B">
        <w:rPr>
          <w:rtl/>
        </w:rPr>
        <w:t xml:space="preserve">. </w:t>
      </w:r>
      <w:r w:rsidRPr="0013257B">
        <w:rPr>
          <w:rFonts w:hint="cs"/>
          <w:rtl/>
        </w:rPr>
        <w:t xml:space="preserve">לאורך השנים הושמעה ביקורת על כך שהמקצוע אינו </w:t>
      </w:r>
      <w:r>
        <w:rPr>
          <w:rFonts w:hint="cs"/>
          <w:rtl/>
        </w:rPr>
        <w:t>מוסדר</w:t>
      </w:r>
      <w:r w:rsidRPr="0013257B">
        <w:rPr>
          <w:rFonts w:hint="cs"/>
          <w:rtl/>
        </w:rPr>
        <w:t xml:space="preserve"> ושהרגולטורים השונים אשר עוסקים בנושאים הנוגעים במקצוע לא מצאו לנכון להסדירו. </w:t>
      </w:r>
      <w:r w:rsidRPr="0013257B">
        <w:rPr>
          <w:rtl/>
        </w:rPr>
        <w:t xml:space="preserve">על רקע </w:t>
      </w:r>
      <w:r w:rsidRPr="0013257B">
        <w:rPr>
          <w:rFonts w:hint="cs"/>
          <w:rtl/>
        </w:rPr>
        <w:t>מצוקה זו</w:t>
      </w:r>
      <w:r w:rsidRPr="0013257B">
        <w:rPr>
          <w:rtl/>
        </w:rPr>
        <w:t>, קמה באופן וולונטרי התאחדות יועצי המשכנתאות, שהי</w:t>
      </w:r>
      <w:r>
        <w:rPr>
          <w:rFonts w:hint="cs"/>
          <w:rtl/>
        </w:rPr>
        <w:t>א</w:t>
      </w:r>
      <w:r w:rsidRPr="0013257B">
        <w:rPr>
          <w:rtl/>
        </w:rPr>
        <w:t xml:space="preserve"> הגוף המקצועי הבלעדי במדינת ישראל המאגד יועצי משכנתאות מקצועיים. חבריה ה</w:t>
      </w:r>
      <w:r>
        <w:rPr>
          <w:rFonts w:hint="cs"/>
          <w:rtl/>
        </w:rPr>
        <w:t>ם</w:t>
      </w:r>
      <w:r w:rsidRPr="0013257B">
        <w:rPr>
          <w:rtl/>
        </w:rPr>
        <w:t xml:space="preserve"> יועצים עצמאיים, בעלי משרדים, ושכירים העובדים או מופעלים על ידי משרדי ייעוץ משכנתאות ברחבי הארץ, אשר מתקבלים על סמך קריטריונים מקצועיים מחייבים.</w:t>
      </w:r>
      <w:r w:rsidRPr="0013257B">
        <w:rPr>
          <w:rFonts w:hint="cs"/>
          <w:rtl/>
        </w:rPr>
        <w:t xml:space="preserve"> ההתאחדות מייצרת מעין "תן תקן" למקצוע, כאשר מי שחבר בה ניגש באופן וולונטרי לבחינות ובכך מוכיח את מקצועיותו. מובן שלא מדובר בהסדרה סטטוטורי</w:t>
      </w:r>
      <w:r w:rsidRPr="0013257B">
        <w:rPr>
          <w:rtl/>
        </w:rPr>
        <w:t>ת</w:t>
      </w:r>
      <w:r w:rsidRPr="0013257B">
        <w:rPr>
          <w:rFonts w:hint="cs"/>
          <w:rtl/>
        </w:rPr>
        <w:t xml:space="preserve"> מחייבת ו</w:t>
      </w:r>
      <w:r>
        <w:rPr>
          <w:rFonts w:hint="cs"/>
          <w:rtl/>
        </w:rPr>
        <w:t xml:space="preserve">לכן היא </w:t>
      </w:r>
      <w:r w:rsidRPr="0013257B">
        <w:rPr>
          <w:rFonts w:hint="cs"/>
          <w:rtl/>
        </w:rPr>
        <w:t>אינה מספקת.</w:t>
      </w:r>
    </w:p>
    <w:p w14:paraId="6AAFAEFA" w14:textId="77777777" w:rsidR="00D622FC" w:rsidRPr="0013257B" w:rsidRDefault="00D622FC" w:rsidP="00D622FC">
      <w:pPr>
        <w:pStyle w:val="Hesber"/>
        <w:rPr>
          <w:rtl/>
        </w:rPr>
      </w:pPr>
      <w:r w:rsidRPr="0013257B">
        <w:rPr>
          <w:rFonts w:hint="cs"/>
          <w:rtl/>
        </w:rPr>
        <w:t>ה</w:t>
      </w:r>
      <w:r>
        <w:rPr>
          <w:rFonts w:hint="cs"/>
          <w:rtl/>
        </w:rPr>
        <w:t>י</w:t>
      </w:r>
      <w:r w:rsidRPr="0013257B">
        <w:rPr>
          <w:rFonts w:hint="cs"/>
          <w:rtl/>
        </w:rPr>
        <w:t>עדר אסדרה של המקצוע בולט במיוחד</w:t>
      </w:r>
      <w:r w:rsidRPr="0013257B">
        <w:rPr>
          <w:rtl/>
        </w:rPr>
        <w:t xml:space="preserve"> </w:t>
      </w:r>
      <w:r w:rsidRPr="0013257B">
        <w:rPr>
          <w:rFonts w:hint="cs"/>
          <w:rtl/>
        </w:rPr>
        <w:t xml:space="preserve">נוכח </w:t>
      </w:r>
      <w:r w:rsidRPr="0013257B">
        <w:rPr>
          <w:rtl/>
        </w:rPr>
        <w:t>מורכבות שוק הנדל"ן</w:t>
      </w:r>
      <w:r w:rsidRPr="0013257B">
        <w:rPr>
          <w:rFonts w:hint="cs"/>
          <w:rtl/>
        </w:rPr>
        <w:t xml:space="preserve"> בישראל.</w:t>
      </w:r>
      <w:r w:rsidRPr="0013257B">
        <w:rPr>
          <w:rtl/>
        </w:rPr>
        <w:t xml:space="preserve"> </w:t>
      </w:r>
      <w:r w:rsidRPr="0013257B">
        <w:rPr>
          <w:rFonts w:hint="cs"/>
          <w:rtl/>
        </w:rPr>
        <w:t xml:space="preserve">מורכבות זו, כמו גם התפישה החברתית הרואה ברכישת דירה למגורים הכרח, מחייבת </w:t>
      </w:r>
      <w:r w:rsidRPr="0013257B">
        <w:rPr>
          <w:rtl/>
        </w:rPr>
        <w:t xml:space="preserve">ייעוץ בנוגע לרכישה של נכס </w:t>
      </w:r>
      <w:r w:rsidRPr="0013257B">
        <w:rPr>
          <w:rFonts w:hint="cs"/>
          <w:rtl/>
        </w:rPr>
        <w:t>למגורים על ידי גורמי מקצוע מומחים</w:t>
      </w:r>
      <w:r w:rsidRPr="0013257B">
        <w:rPr>
          <w:rtl/>
        </w:rPr>
        <w:t>. הסדרת מקצוע יועץ משכנתאות נועדה להבטיח כי לווה הנמצא בהליך של רכישת נכס</w:t>
      </w:r>
      <w:r>
        <w:rPr>
          <w:rFonts w:hint="cs"/>
          <w:rtl/>
        </w:rPr>
        <w:t xml:space="preserve"> למגורים</w:t>
      </w:r>
      <w:r w:rsidRPr="0013257B">
        <w:rPr>
          <w:rtl/>
        </w:rPr>
        <w:t xml:space="preserve">, ומשכך ניצב בפני שורת החלטות כלכליות חשובות מאין כמותן, יעשה זאת על בסיס תשתית עובדתית מלאה ומקצועית. מטרה זו מקבלת משנה חשיבות נוכח פערי מידע אינהרנטיים בין הבנקים </w:t>
      </w:r>
      <w:r w:rsidRPr="0013257B">
        <w:rPr>
          <w:rFonts w:hint="cs"/>
          <w:rtl/>
        </w:rPr>
        <w:t xml:space="preserve">וגופים פיננסים אחרים ובין </w:t>
      </w:r>
      <w:r w:rsidRPr="0013257B">
        <w:rPr>
          <w:rtl/>
        </w:rPr>
        <w:t xml:space="preserve">נוטלי ההלוואות. </w:t>
      </w:r>
      <w:r>
        <w:rPr>
          <w:rFonts w:hint="cs"/>
          <w:rtl/>
        </w:rPr>
        <w:t>הצעת החוק נועדה להסדיר</w:t>
      </w:r>
      <w:r w:rsidRPr="0013257B">
        <w:rPr>
          <w:rtl/>
        </w:rPr>
        <w:t xml:space="preserve"> מתן ייעוץ משכנתאות מקצועי</w:t>
      </w:r>
      <w:r>
        <w:rPr>
          <w:rFonts w:hint="cs"/>
          <w:rtl/>
        </w:rPr>
        <w:t xml:space="preserve"> ה</w:t>
      </w:r>
      <w:r w:rsidRPr="0013257B">
        <w:rPr>
          <w:rtl/>
        </w:rPr>
        <w:t xml:space="preserve">עומד בתנאי סף מקצועיים ואתיים, </w:t>
      </w:r>
      <w:r>
        <w:rPr>
          <w:rFonts w:hint="cs"/>
          <w:rtl/>
        </w:rPr>
        <w:t xml:space="preserve">לטובת הציבור שיוכל לקבל את המידע הדרוש לו באופן מקיף ושקוף לקראת נטילת משכנתא לצורך רכישת דירה למגורים. </w:t>
      </w:r>
    </w:p>
    <w:p w14:paraId="70D8A4DA" w14:textId="77777777" w:rsidR="00D622FC" w:rsidRDefault="00D622FC" w:rsidP="00D622FC">
      <w:pPr>
        <w:pStyle w:val="Hesber"/>
        <w:rPr>
          <w:rtl/>
        </w:rPr>
      </w:pPr>
      <w:r>
        <w:rPr>
          <w:rFonts w:hint="cs"/>
          <w:rtl/>
        </w:rPr>
        <w:t xml:space="preserve">בהתאם לאמור באתר האינטרנט של התאחדות יועצי המשכנתאות, היא מונה כיום </w:t>
      </w:r>
      <w:r w:rsidRPr="0013257B">
        <w:rPr>
          <w:rtl/>
        </w:rPr>
        <w:t xml:space="preserve"> כ-1,368 יועצים, כאשר אלו הפועלים מחוץ למסגרת ההתאחדות אינם נתונים כלל לפיקוח</w:t>
      </w:r>
      <w:r w:rsidRPr="0013257B">
        <w:rPr>
          <w:rFonts w:hint="cs"/>
          <w:rtl/>
        </w:rPr>
        <w:t>,</w:t>
      </w:r>
      <w:r w:rsidRPr="0013257B">
        <w:rPr>
          <w:rtl/>
        </w:rPr>
        <w:t xml:space="preserve"> אף לא וולנטרי</w:t>
      </w:r>
      <w:r w:rsidRPr="0013257B">
        <w:rPr>
          <w:rFonts w:hint="cs"/>
          <w:rtl/>
        </w:rPr>
        <w:t xml:space="preserve">, </w:t>
      </w:r>
      <w:r w:rsidRPr="0013257B">
        <w:rPr>
          <w:rtl/>
        </w:rPr>
        <w:t xml:space="preserve">לא מקצועי ולא משמעתי. לאור זאת, קיימת חשיבות מכרעת לכך שיועץ משכנתאות, הנדרש </w:t>
      </w:r>
      <w:r w:rsidRPr="0013257B">
        <w:rPr>
          <w:rFonts w:hint="cs"/>
          <w:rtl/>
        </w:rPr>
        <w:t>במסגרת עבודתו להפעלת שקול דעת מקצועי בקשר ל</w:t>
      </w:r>
      <w:r w:rsidRPr="0013257B">
        <w:rPr>
          <w:rtl/>
        </w:rPr>
        <w:t>משתנים מורכבים, יקבל הכשרה מקצועית הולמת, יהיה כפוף לבחינה ולחובות מקצועיות נוספות, וכן לפיקוח משמעתי ואתי – הכ</w:t>
      </w:r>
      <w:r>
        <w:rPr>
          <w:rFonts w:hint="cs"/>
          <w:rtl/>
        </w:rPr>
        <w:t>ו</w:t>
      </w:r>
      <w:r w:rsidRPr="0013257B">
        <w:rPr>
          <w:rtl/>
        </w:rPr>
        <w:t xml:space="preserve">ל כפי שיוסדר בחוק </w:t>
      </w:r>
      <w:r>
        <w:rPr>
          <w:rFonts w:hint="cs"/>
          <w:rtl/>
        </w:rPr>
        <w:t>המוצע</w:t>
      </w:r>
      <w:r w:rsidRPr="0013257B">
        <w:rPr>
          <w:rtl/>
        </w:rPr>
        <w:t>.</w:t>
      </w:r>
      <w:r>
        <w:rPr>
          <w:rFonts w:hint="cs"/>
          <w:rtl/>
        </w:rPr>
        <w:t xml:space="preserve"> יצוין כי ככל שיתקדמו הליכי חקיקתה של הצעת חוק זו, יעוגנו בה  הוראות לעניין ועדת האתיקה וועדת המשמעת, כמקובל בחוקים אחרים שקבועים בהם הסדרים דומים לעניין דין משמעתי.</w:t>
      </w:r>
    </w:p>
    <w:p w14:paraId="42393EF3" w14:textId="77777777" w:rsidR="00D622FC" w:rsidRDefault="00D622FC" w:rsidP="00D622FC">
      <w:pPr>
        <w:pStyle w:val="Hesber"/>
        <w:rPr>
          <w:rtl/>
        </w:rPr>
      </w:pPr>
      <w:r w:rsidRPr="0013257B">
        <w:rPr>
          <w:rtl/>
        </w:rPr>
        <w:t xml:space="preserve">הוראת המעבר בחוק </w:t>
      </w:r>
      <w:r>
        <w:rPr>
          <w:rFonts w:hint="cs"/>
          <w:rtl/>
        </w:rPr>
        <w:t xml:space="preserve">המוצע </w:t>
      </w:r>
      <w:r w:rsidRPr="0013257B">
        <w:rPr>
          <w:rtl/>
        </w:rPr>
        <w:t>תאפשר התמודדות גם עם יועצי משכנתאות הפועלים כבר שנים רבות, תוך מתן הקלות רגולטוריות המתחשבות בניסיונם הרב</w:t>
      </w:r>
      <w:r w:rsidRPr="0013257B">
        <w:rPr>
          <w:rFonts w:hint="cs"/>
          <w:rtl/>
        </w:rPr>
        <w:t>, וכן בחברות פינטק, ההולכות ומתפתחות בשוק, במטרה להבטיח את מקצועיותן מבלי לפגוע בקדמה הטכנולוגית ההולכת ומתפתחת.</w:t>
      </w:r>
      <w:r>
        <w:rPr>
          <w:rFonts w:hint="cs"/>
          <w:rtl/>
        </w:rPr>
        <w:t xml:space="preserve"> </w:t>
      </w:r>
    </w:p>
    <w:p w14:paraId="145825BF" w14:textId="77777777" w:rsidR="00575BEE" w:rsidRPr="0013257B" w:rsidRDefault="00575BEE" w:rsidP="00575BEE">
      <w:pPr>
        <w:pStyle w:val="Hesber"/>
        <w:ind w:firstLine="0"/>
        <w:rPr>
          <w:rtl/>
        </w:rPr>
      </w:pPr>
    </w:p>
    <w:p w14:paraId="4E0C067C" w14:textId="5281A362" w:rsidR="00D622FC" w:rsidRPr="0013257B" w:rsidRDefault="00D622FC" w:rsidP="009B66FF">
      <w:pPr>
        <w:pStyle w:val="Hesber1st"/>
        <w:tabs>
          <w:tab w:val="clear" w:pos="680"/>
        </w:tabs>
        <w:rPr>
          <w:rtl/>
        </w:rPr>
      </w:pPr>
      <w:r w:rsidRPr="0013257B">
        <w:rPr>
          <w:b/>
          <w:bCs/>
          <w:rtl/>
        </w:rPr>
        <w:lastRenderedPageBreak/>
        <w:t>סעיף 1</w:t>
      </w:r>
      <w:r w:rsidR="009B66FF">
        <w:rPr>
          <w:b/>
          <w:bCs/>
          <w:rtl/>
        </w:rPr>
        <w:tab/>
      </w:r>
      <w:r w:rsidR="009B66FF">
        <w:rPr>
          <w:b/>
          <w:bCs/>
          <w:rtl/>
        </w:rPr>
        <w:tab/>
      </w:r>
      <w:r w:rsidRPr="009B66FF">
        <w:rPr>
          <w:rtl/>
        </w:rPr>
        <w:t>מוצע</w:t>
      </w:r>
      <w:r w:rsidRPr="0013257B">
        <w:rPr>
          <w:rtl/>
        </w:rPr>
        <w:t xml:space="preserve"> להגדיר מונחים שונים המשמשים בחוק המוצע, כמפורט בסעיף 1. בין השאר, מוצע</w:t>
      </w:r>
      <w:r w:rsidR="009B66FF">
        <w:rPr>
          <w:rFonts w:hint="cs"/>
          <w:rtl/>
        </w:rPr>
        <w:t xml:space="preserve"> ל</w:t>
      </w:r>
      <w:r w:rsidRPr="0013257B">
        <w:rPr>
          <w:rtl/>
        </w:rPr>
        <w:t>הגדיר מונחים בסיסיים בקשר לחיוב ברישום בפנקס יועצי המשכנתאות, כמוצע בחוק, ובהם, "הלוואה לדיור", "ייעוץ משכנתאות", "יועץ משכנתאות",</w:t>
      </w:r>
      <w:r>
        <w:rPr>
          <w:rFonts w:hint="cs"/>
          <w:rtl/>
        </w:rPr>
        <w:t xml:space="preserve"> כמפורט לעיל. </w:t>
      </w:r>
    </w:p>
    <w:p w14:paraId="3E61B144" w14:textId="77777777" w:rsidR="00D622FC" w:rsidRPr="0013257B" w:rsidRDefault="00D622FC" w:rsidP="009B66FF">
      <w:pPr>
        <w:pStyle w:val="Hesber"/>
        <w:rPr>
          <w:rtl/>
        </w:rPr>
      </w:pPr>
      <w:r w:rsidRPr="009B66FF">
        <w:rPr>
          <w:rFonts w:hint="cs"/>
          <w:rtl/>
        </w:rPr>
        <w:t>בהגדרת</w:t>
      </w:r>
      <w:r w:rsidRPr="0013257B">
        <w:rPr>
          <w:rFonts w:hint="cs"/>
          <w:rtl/>
        </w:rPr>
        <w:t xml:space="preserve"> </w:t>
      </w:r>
      <w:r w:rsidRPr="0013257B">
        <w:rPr>
          <w:rtl/>
        </w:rPr>
        <w:t>"הלוואה לדיור"</w:t>
      </w:r>
      <w:r w:rsidRPr="0013257B">
        <w:rPr>
          <w:rFonts w:hint="cs"/>
          <w:rtl/>
        </w:rPr>
        <w:t xml:space="preserve"> </w:t>
      </w:r>
      <w:r>
        <w:rPr>
          <w:rFonts w:hint="cs"/>
          <w:rtl/>
        </w:rPr>
        <w:t>מודגש</w:t>
      </w:r>
      <w:r w:rsidRPr="0013257B">
        <w:rPr>
          <w:rFonts w:hint="cs"/>
          <w:rtl/>
        </w:rPr>
        <w:t xml:space="preserve"> שמדובר בהלוואה לרכישה למגורים ובכלל זה הרחבה או שיפוץ של דירת מגורים או רכישה של מגרש למגורים.   </w:t>
      </w:r>
    </w:p>
    <w:p w14:paraId="44DA5EF6" w14:textId="77777777" w:rsidR="00D622FC" w:rsidRPr="0013257B" w:rsidRDefault="00D622FC" w:rsidP="009B66FF">
      <w:pPr>
        <w:pStyle w:val="Hesber"/>
      </w:pPr>
      <w:r w:rsidRPr="009B66FF">
        <w:rPr>
          <w:rFonts w:hint="cs"/>
          <w:rtl/>
        </w:rPr>
        <w:t>בהגדרת</w:t>
      </w:r>
      <w:r w:rsidRPr="0013257B">
        <w:rPr>
          <w:rFonts w:hint="cs"/>
          <w:rtl/>
        </w:rPr>
        <w:t xml:space="preserve"> </w:t>
      </w:r>
      <w:r w:rsidRPr="0013257B">
        <w:rPr>
          <w:rtl/>
        </w:rPr>
        <w:t xml:space="preserve">"ייעוץ משכנתאות" – </w:t>
      </w:r>
      <w:r>
        <w:rPr>
          <w:rFonts w:hint="cs"/>
          <w:rtl/>
        </w:rPr>
        <w:t>מודגש כי מדובר</w:t>
      </w:r>
      <w:r w:rsidRPr="0013257B">
        <w:rPr>
          <w:rFonts w:hint="cs"/>
          <w:rtl/>
        </w:rPr>
        <w:t xml:space="preserve"> </w:t>
      </w:r>
      <w:r>
        <w:rPr>
          <w:rFonts w:hint="cs"/>
          <w:rtl/>
        </w:rPr>
        <w:t>ב</w:t>
      </w:r>
      <w:r w:rsidRPr="0013257B">
        <w:rPr>
          <w:rFonts w:hint="cs"/>
          <w:rtl/>
        </w:rPr>
        <w:t xml:space="preserve">אפיון סוגי השירותים שנותן יועץ משכנתאות </w:t>
      </w:r>
      <w:r>
        <w:rPr>
          <w:rFonts w:hint="cs"/>
          <w:rtl/>
        </w:rPr>
        <w:t>כיום</w:t>
      </w:r>
      <w:r w:rsidRPr="0013257B">
        <w:rPr>
          <w:rFonts w:hint="cs"/>
          <w:rtl/>
        </w:rPr>
        <w:t xml:space="preserve"> </w:t>
      </w:r>
      <w:r>
        <w:rPr>
          <w:rFonts w:hint="cs"/>
          <w:rtl/>
        </w:rPr>
        <w:t>והצורך ב</w:t>
      </w:r>
      <w:r w:rsidRPr="0013257B">
        <w:rPr>
          <w:rFonts w:hint="cs"/>
          <w:rtl/>
        </w:rPr>
        <w:t xml:space="preserve">מתן שירות האישי על ידי יועץ המשכנתאות </w:t>
      </w:r>
      <w:r>
        <w:rPr>
          <w:rFonts w:hint="cs"/>
          <w:rtl/>
        </w:rPr>
        <w:t>ה</w:t>
      </w:r>
      <w:r w:rsidRPr="0013257B">
        <w:rPr>
          <w:rFonts w:hint="cs"/>
          <w:rtl/>
        </w:rPr>
        <w:t>נדרש, כענ</w:t>
      </w:r>
      <w:r>
        <w:rPr>
          <w:rFonts w:hint="cs"/>
          <w:rtl/>
        </w:rPr>
        <w:t>י</w:t>
      </w:r>
      <w:r w:rsidRPr="0013257B">
        <w:rPr>
          <w:rFonts w:hint="cs"/>
          <w:rtl/>
        </w:rPr>
        <w:t xml:space="preserve">ין שבהגדרת מקצועו, לבחון את הנתונים האישיים של הלווה ואת נסיבות ההלוואה. </w:t>
      </w:r>
      <w:r>
        <w:rPr>
          <w:rFonts w:hint="cs"/>
          <w:rtl/>
        </w:rPr>
        <w:t>מוצע להרחיב את הגדרת העיסוק בייעוץ משכנתאות וכלול בו גם</w:t>
      </w:r>
      <w:r w:rsidRPr="0013257B">
        <w:rPr>
          <w:rFonts w:hint="cs"/>
          <w:rtl/>
        </w:rPr>
        <w:t xml:space="preserve"> עיסוק באחד מהשירותים המפורטים להלן</w:t>
      </w:r>
      <w:r>
        <w:rPr>
          <w:rFonts w:hint="cs"/>
          <w:rtl/>
        </w:rPr>
        <w:t>:</w:t>
      </w:r>
      <w:r w:rsidRPr="0013257B">
        <w:rPr>
          <w:rFonts w:hint="cs"/>
          <w:rtl/>
        </w:rPr>
        <w:t xml:space="preserve"> </w:t>
      </w:r>
      <w:r w:rsidRPr="0013257B">
        <w:rPr>
          <w:rtl/>
        </w:rPr>
        <w:t>הגשת בקשה להלוואה לדיור דרך עיסוק, קבלת הצעות להלוואה לדיור מגוף פיננסי במענה להגשת בקשה כאמור;</w:t>
      </w:r>
      <w:r>
        <w:t xml:space="preserve"> </w:t>
      </w:r>
      <w:r w:rsidRPr="0013257B">
        <w:rPr>
          <w:rtl/>
        </w:rPr>
        <w:t>ייעוץ לעניין אפיון ההלוואה לדיור;</w:t>
      </w:r>
      <w:r>
        <w:rPr>
          <w:rFonts w:hint="cs"/>
          <w:rtl/>
        </w:rPr>
        <w:t xml:space="preserve"> </w:t>
      </w:r>
      <w:r w:rsidRPr="0013257B">
        <w:rPr>
          <w:rtl/>
        </w:rPr>
        <w:t xml:space="preserve">ייעוץ לעניין בחירת סוג ההלוואה לדיור; </w:t>
      </w:r>
    </w:p>
    <w:p w14:paraId="44D4DB30" w14:textId="6116D6EE" w:rsidR="00D622FC" w:rsidRPr="0013257B" w:rsidRDefault="00D622FC" w:rsidP="009B66FF">
      <w:pPr>
        <w:pStyle w:val="Hesber"/>
        <w:rPr>
          <w:rtl/>
        </w:rPr>
      </w:pPr>
      <w:r w:rsidRPr="0013257B">
        <w:rPr>
          <w:rtl/>
        </w:rPr>
        <w:t>לענ</w:t>
      </w:r>
      <w:r>
        <w:rPr>
          <w:rFonts w:hint="cs"/>
          <w:rtl/>
        </w:rPr>
        <w:t>י</w:t>
      </w:r>
      <w:r w:rsidRPr="0013257B">
        <w:rPr>
          <w:rtl/>
        </w:rPr>
        <w:t>ין זה, "ייעוץ" – בין במישרין ובין בעקיפין ולרבות בדרך של פרסום, בחוות דעת או בכל אמצעי אחר.  כמו כן, מוצע להגדיר בסעיף ההגדרות את בעלי התפקידים הממונים על ביצוע הוראות חוק זה.</w:t>
      </w:r>
    </w:p>
    <w:p w14:paraId="34E98D64" w14:textId="678DAF08" w:rsidR="00D622FC" w:rsidRPr="0013257B" w:rsidRDefault="00D622FC" w:rsidP="009B66FF">
      <w:pPr>
        <w:pStyle w:val="Hesber"/>
        <w:ind w:firstLine="0"/>
        <w:rPr>
          <w:rtl/>
        </w:rPr>
      </w:pPr>
      <w:r w:rsidRPr="0013257B">
        <w:rPr>
          <w:b/>
          <w:bCs/>
          <w:rtl/>
        </w:rPr>
        <w:t>סעיף 2</w:t>
      </w:r>
      <w:r w:rsidR="009B66FF">
        <w:rPr>
          <w:b/>
          <w:bCs/>
          <w:rtl/>
        </w:rPr>
        <w:tab/>
      </w:r>
      <w:r w:rsidR="009B66FF">
        <w:rPr>
          <w:b/>
          <w:bCs/>
          <w:rtl/>
        </w:rPr>
        <w:tab/>
      </w:r>
      <w:r w:rsidRPr="0013257B">
        <w:rPr>
          <w:rtl/>
        </w:rPr>
        <w:t>מוצע לקבוע כי לא יעסוק אדם בייעוץ משכנתאות, אלא אם הוא יועץ משכנתאות לפי הוראות החוק המוצע ונרשם בפנקס יועצי המשכנתאות.</w:t>
      </w:r>
      <w:r w:rsidRPr="0013257B">
        <w:rPr>
          <w:rFonts w:hint="cs"/>
          <w:rtl/>
        </w:rPr>
        <w:t xml:space="preserve"> </w:t>
      </w:r>
      <w:r>
        <w:rPr>
          <w:rFonts w:hint="cs"/>
          <w:rtl/>
        </w:rPr>
        <w:t>הסעיף</w:t>
      </w:r>
      <w:r w:rsidRPr="0013257B">
        <w:rPr>
          <w:rFonts w:hint="cs"/>
          <w:rtl/>
        </w:rPr>
        <w:t xml:space="preserve"> קובע את האיסור המרכזי בחוק </w:t>
      </w:r>
      <w:r>
        <w:rPr>
          <w:rFonts w:hint="cs"/>
          <w:rtl/>
        </w:rPr>
        <w:t>ש</w:t>
      </w:r>
      <w:r w:rsidRPr="0013257B">
        <w:rPr>
          <w:rFonts w:hint="cs"/>
          <w:rtl/>
        </w:rPr>
        <w:t>יש בו גם הגבלה על חופש העיסוק. נוכח המתואר בפרק המבוא, ברי כי הגבלה זו על חופש העיסוק היא לתכלית ראויה והורא</w:t>
      </w:r>
      <w:r>
        <w:rPr>
          <w:rFonts w:hint="cs"/>
          <w:rtl/>
        </w:rPr>
        <w:t>ו</w:t>
      </w:r>
      <w:r w:rsidRPr="0013257B">
        <w:rPr>
          <w:rFonts w:hint="cs"/>
          <w:rtl/>
        </w:rPr>
        <w:t xml:space="preserve">ת המעבר </w:t>
      </w:r>
      <w:r>
        <w:rPr>
          <w:rFonts w:hint="cs"/>
          <w:rtl/>
        </w:rPr>
        <w:t xml:space="preserve">יוודאו </w:t>
      </w:r>
      <w:r w:rsidRPr="0013257B">
        <w:rPr>
          <w:rFonts w:hint="cs"/>
          <w:rtl/>
        </w:rPr>
        <w:t xml:space="preserve">כי ההגבלה נעשתה במידתיות. </w:t>
      </w:r>
    </w:p>
    <w:p w14:paraId="7EE1FDB5" w14:textId="5B186904" w:rsidR="00D622FC" w:rsidRPr="0013257B" w:rsidRDefault="00D622FC" w:rsidP="009B66FF">
      <w:pPr>
        <w:pStyle w:val="Hesber"/>
        <w:ind w:firstLine="0"/>
        <w:rPr>
          <w:rtl/>
        </w:rPr>
      </w:pPr>
      <w:r w:rsidRPr="0013257B">
        <w:rPr>
          <w:b/>
          <w:bCs/>
          <w:rtl/>
        </w:rPr>
        <w:t>סעיף 3</w:t>
      </w:r>
      <w:r w:rsidR="009B66FF">
        <w:rPr>
          <w:rtl/>
        </w:rPr>
        <w:tab/>
      </w:r>
      <w:r w:rsidR="009B66FF">
        <w:rPr>
          <w:rtl/>
        </w:rPr>
        <w:tab/>
      </w:r>
      <w:r w:rsidRPr="0013257B">
        <w:rPr>
          <w:rtl/>
        </w:rPr>
        <w:t xml:space="preserve">מוצע לקבוע חובות מקצועיות אשר יחולו על יועץ משכנתאות, וביניהן החובה לנהוג באמונה ובשקידה כפי שיועץ משכנתאות סביר היה נוהג באותן נסיבות. עוד נקבע איסור על יועץ משכנתאות להעדיף עניינים זרים על פני עניינו של לקוחו, </w:t>
      </w:r>
      <w:r>
        <w:rPr>
          <w:rFonts w:hint="cs"/>
          <w:rtl/>
        </w:rPr>
        <w:t>ומוטלת עליו החובה</w:t>
      </w:r>
      <w:r w:rsidRPr="0013257B">
        <w:rPr>
          <w:rtl/>
        </w:rPr>
        <w:t xml:space="preserve"> </w:t>
      </w:r>
      <w:r>
        <w:rPr>
          <w:rFonts w:hint="cs"/>
          <w:rtl/>
        </w:rPr>
        <w:t>ל</w:t>
      </w:r>
      <w:r w:rsidRPr="0013257B">
        <w:rPr>
          <w:rtl/>
        </w:rPr>
        <w:t>נקוט באמצעים הראויים בנסיבות העניין לקבלת ולמסירת מידע מהותי הנוגע למתן שירות ייעוץ המשכנתאות.</w:t>
      </w:r>
      <w:r w:rsidRPr="0013257B">
        <w:rPr>
          <w:rFonts w:hint="cs"/>
          <w:rtl/>
        </w:rPr>
        <w:t xml:space="preserve"> </w:t>
      </w:r>
      <w:r>
        <w:rPr>
          <w:rFonts w:hint="cs"/>
          <w:rtl/>
        </w:rPr>
        <w:t>החובות המקצועיות החלות</w:t>
      </w:r>
      <w:r w:rsidRPr="0013257B">
        <w:rPr>
          <w:rFonts w:hint="cs"/>
          <w:rtl/>
        </w:rPr>
        <w:t xml:space="preserve"> על יועץ משכנתאות, בדומה </w:t>
      </w:r>
      <w:r>
        <w:rPr>
          <w:rFonts w:hint="cs"/>
          <w:rtl/>
        </w:rPr>
        <w:t>לחובות החלות</w:t>
      </w:r>
      <w:r w:rsidRPr="0013257B">
        <w:rPr>
          <w:rFonts w:hint="cs"/>
          <w:rtl/>
        </w:rPr>
        <w:t xml:space="preserve"> על בעלי מקצוע ש</w:t>
      </w:r>
      <w:r>
        <w:rPr>
          <w:rFonts w:hint="cs"/>
          <w:rtl/>
        </w:rPr>
        <w:t xml:space="preserve">אחרים המחויבים בראש ובראשונה לאינטרס של הלקוח </w:t>
      </w:r>
      <w:r w:rsidRPr="0013257B">
        <w:rPr>
          <w:rFonts w:hint="cs"/>
          <w:rtl/>
        </w:rPr>
        <w:t xml:space="preserve">שמים את אינטרס הלקוח בראש </w:t>
      </w:r>
      <w:r>
        <w:rPr>
          <w:rFonts w:hint="cs"/>
          <w:rtl/>
        </w:rPr>
        <w:t xml:space="preserve">הן חובות אמון. </w:t>
      </w:r>
      <w:r w:rsidRPr="0013257B">
        <w:rPr>
          <w:rFonts w:hint="cs"/>
          <w:rtl/>
        </w:rPr>
        <w:t xml:space="preserve"> </w:t>
      </w:r>
    </w:p>
    <w:p w14:paraId="3ECEF46D" w14:textId="24D69DC0" w:rsidR="00D622FC" w:rsidRPr="0013257B" w:rsidRDefault="00D622FC" w:rsidP="00575BEE">
      <w:pPr>
        <w:pStyle w:val="Hesber"/>
        <w:ind w:firstLine="0"/>
        <w:rPr>
          <w:rtl/>
        </w:rPr>
      </w:pPr>
      <w:r w:rsidRPr="0013257B">
        <w:rPr>
          <w:b/>
          <w:bCs/>
          <w:rtl/>
        </w:rPr>
        <w:t>סעיף 4</w:t>
      </w:r>
      <w:r w:rsidRPr="0013257B">
        <w:rPr>
          <w:rtl/>
        </w:rPr>
        <w:t xml:space="preserve"> </w:t>
      </w:r>
      <w:r w:rsidR="009B66FF">
        <w:rPr>
          <w:rtl/>
        </w:rPr>
        <w:tab/>
      </w:r>
      <w:r w:rsidR="009B66FF">
        <w:rPr>
          <w:rtl/>
        </w:rPr>
        <w:tab/>
      </w:r>
      <w:r w:rsidRPr="0013257B">
        <w:rPr>
          <w:rtl/>
        </w:rPr>
        <w:t>מוצע להוסיף ולקבוע סייגים לעיסוק בייעוץ משכנתאות</w:t>
      </w:r>
      <w:r w:rsidRPr="0013257B">
        <w:rPr>
          <w:rFonts w:hint="cs"/>
          <w:rtl/>
        </w:rPr>
        <w:t>,</w:t>
      </w:r>
      <w:r w:rsidRPr="0013257B">
        <w:rPr>
          <w:rtl/>
        </w:rPr>
        <w:t xml:space="preserve"> והוראות לעניין היעדר ניגוד עניינים</w:t>
      </w:r>
      <w:r w:rsidRPr="0013257B">
        <w:rPr>
          <w:rFonts w:hint="cs"/>
          <w:rtl/>
        </w:rPr>
        <w:t xml:space="preserve"> על מנת להדגיש חשיבותם של אלה ביחס למקצוע ייעוץ המשכנתאות</w:t>
      </w:r>
      <w:r w:rsidRPr="0013257B">
        <w:rPr>
          <w:rtl/>
        </w:rPr>
        <w:t>. עוד מוצע, כי יועץ משכנתאות לא יקבל תמורה כספית או אחרת במישרין או בעקיפין בקשר עם ייעוץ המשכנתאות, פרט מהלקוח. וזאת לצורך הגשמת תכלית החקיקה המוצעת, והיא מתן שירות מקצועי ונטול שיקולים זרים, לטובת הלקוח.</w:t>
      </w:r>
    </w:p>
    <w:p w14:paraId="2483D430" w14:textId="7273C97E" w:rsidR="00D622FC" w:rsidRPr="0013257B" w:rsidRDefault="00AF4BC7" w:rsidP="009D6298">
      <w:pPr>
        <w:pStyle w:val="Hesber"/>
        <w:ind w:firstLine="0"/>
        <w:rPr>
          <w:rtl/>
        </w:rPr>
      </w:pPr>
      <w:r>
        <w:rPr>
          <w:b/>
          <w:bCs/>
          <w:rtl/>
        </w:rPr>
        <w:t>סעיפים</w:t>
      </w:r>
      <w:r>
        <w:rPr>
          <w:rFonts w:hint="cs"/>
          <w:b/>
          <w:bCs/>
          <w:rtl/>
        </w:rPr>
        <w:t xml:space="preserve"> </w:t>
      </w:r>
      <w:r w:rsidR="009D6298">
        <w:rPr>
          <w:rFonts w:hint="cs"/>
          <w:b/>
          <w:bCs/>
          <w:rtl/>
        </w:rPr>
        <w:t>5</w:t>
      </w:r>
      <w:r w:rsidR="00575BEE">
        <w:rPr>
          <w:rFonts w:hint="cs"/>
          <w:b/>
          <w:bCs/>
          <w:rtl/>
        </w:rPr>
        <w:t xml:space="preserve"> עד </w:t>
      </w:r>
      <w:r w:rsidR="009D6298">
        <w:rPr>
          <w:rFonts w:hint="cs"/>
          <w:b/>
          <w:bCs/>
          <w:rtl/>
        </w:rPr>
        <w:t>12</w:t>
      </w:r>
      <w:r w:rsidR="009D6298">
        <w:rPr>
          <w:rtl/>
        </w:rPr>
        <w:t xml:space="preserve"> </w:t>
      </w:r>
      <w:r w:rsidR="00D622FC" w:rsidRPr="0013257B">
        <w:rPr>
          <w:rtl/>
        </w:rPr>
        <w:t xml:space="preserve">הפרק השלישי בחוק המוצע עוסק במועצת יועצי המשכנתאות אשר תוקם מכוח הוראות חוק זה. </w:t>
      </w:r>
      <w:r w:rsidR="00D622FC">
        <w:rPr>
          <w:rFonts w:hint="cs"/>
          <w:rtl/>
        </w:rPr>
        <w:t>מוצע לקבוע גוף מקצועי שיהיה אמון על ליווי</w:t>
      </w:r>
      <w:r w:rsidR="00D622FC" w:rsidRPr="0013257B">
        <w:rPr>
          <w:rFonts w:hint="cs"/>
          <w:rtl/>
        </w:rPr>
        <w:t xml:space="preserve"> פעילות יועצי המשכנתאות ו</w:t>
      </w:r>
      <w:r w:rsidR="00D622FC">
        <w:rPr>
          <w:rFonts w:hint="cs"/>
          <w:rtl/>
        </w:rPr>
        <w:t xml:space="preserve">דאגה </w:t>
      </w:r>
      <w:r w:rsidR="00D622FC" w:rsidRPr="0013257B">
        <w:rPr>
          <w:rFonts w:hint="cs"/>
          <w:rtl/>
        </w:rPr>
        <w:t xml:space="preserve">להיבטיו המקצועיים של ייעוץ המשכנתאות. המועצה תתפקד למעשה כרגולטור המקצועי, כאשר המוציא לפועל של הוראות החוק הפורמאליות יהיה הרשם שתפקידו מפורט להלן. </w:t>
      </w:r>
      <w:r w:rsidR="00D622FC" w:rsidRPr="0013257B">
        <w:rPr>
          <w:rtl/>
        </w:rPr>
        <w:t xml:space="preserve">מוצע כי </w:t>
      </w:r>
      <w:r w:rsidR="00D622FC" w:rsidRPr="0013257B">
        <w:rPr>
          <w:rFonts w:hint="cs"/>
          <w:rtl/>
        </w:rPr>
        <w:t>במועצה יכהנו</w:t>
      </w:r>
      <w:r w:rsidR="00D622FC" w:rsidRPr="0013257B">
        <w:rPr>
          <w:rtl/>
        </w:rPr>
        <w:t xml:space="preserve"> שבעה חברים, כמפורט בסעיף 5 לחוק המוצע, כאשר ראש המועצה ימונה מתוכם על ידי שר</w:t>
      </w:r>
      <w:r w:rsidR="00D622FC">
        <w:rPr>
          <w:rFonts w:hint="cs"/>
          <w:rtl/>
        </w:rPr>
        <w:t xml:space="preserve"> המשפטים (להלן </w:t>
      </w:r>
      <w:r w:rsidR="00D622FC">
        <w:rPr>
          <w:rtl/>
        </w:rPr>
        <w:t>–</w:t>
      </w:r>
      <w:r w:rsidR="00D622FC">
        <w:rPr>
          <w:rFonts w:hint="cs"/>
          <w:rtl/>
        </w:rPr>
        <w:t xml:space="preserve"> השר)</w:t>
      </w:r>
      <w:r w:rsidR="00D622FC" w:rsidRPr="0013257B">
        <w:rPr>
          <w:rtl/>
        </w:rPr>
        <w:t xml:space="preserve">. סעיף 6 </w:t>
      </w:r>
      <w:r w:rsidR="00B55E9E">
        <w:rPr>
          <w:rFonts w:hint="cs"/>
          <w:rtl/>
        </w:rPr>
        <w:t xml:space="preserve">המוצע </w:t>
      </w:r>
      <w:r w:rsidR="00D622FC" w:rsidRPr="0013257B">
        <w:rPr>
          <w:rtl/>
        </w:rPr>
        <w:t xml:space="preserve">קובע כי המועצה תפעל לקידום מקצוע ייעוץ המשכנתאות ולקידומם המקצועי של יועצי המשכנתאות, ומונה את תפקידי המועצה וסמכויותיה. סעיף 7 </w:t>
      </w:r>
      <w:r w:rsidR="00D622FC" w:rsidRPr="0013257B">
        <w:rPr>
          <w:rFonts w:hint="cs"/>
          <w:rtl/>
        </w:rPr>
        <w:t xml:space="preserve">לחוק המוצע </w:t>
      </w:r>
      <w:r w:rsidR="00D622FC" w:rsidRPr="0013257B">
        <w:rPr>
          <w:rtl/>
        </w:rPr>
        <w:t xml:space="preserve">קובע הוראה לעניין סדרי הדין של המועצה, </w:t>
      </w:r>
      <w:r w:rsidR="00575BEE">
        <w:rPr>
          <w:rtl/>
        </w:rPr>
        <w:t>וסעיף 8</w:t>
      </w:r>
      <w:r w:rsidR="00D622FC" w:rsidRPr="0013257B">
        <w:rPr>
          <w:rFonts w:hint="cs"/>
          <w:rtl/>
        </w:rPr>
        <w:t xml:space="preserve"> לחוק המוצע </w:t>
      </w:r>
      <w:r w:rsidR="00D622FC" w:rsidRPr="0013257B">
        <w:rPr>
          <w:rtl/>
        </w:rPr>
        <w:t>קובע את תוקף פעולותיה בהינתן מצב שהרכב חבריה פוחת משבע.</w:t>
      </w:r>
    </w:p>
    <w:p w14:paraId="70700010" w14:textId="586E9615" w:rsidR="00D622FC" w:rsidRPr="0013257B" w:rsidRDefault="00D622FC" w:rsidP="009D6298">
      <w:pPr>
        <w:pStyle w:val="Hesber"/>
        <w:ind w:firstLine="0"/>
        <w:rPr>
          <w:rtl/>
        </w:rPr>
      </w:pPr>
      <w:r w:rsidRPr="0013257B">
        <w:rPr>
          <w:b/>
          <w:bCs/>
          <w:rtl/>
        </w:rPr>
        <w:t xml:space="preserve">סעיף </w:t>
      </w:r>
      <w:r>
        <w:rPr>
          <w:rFonts w:hint="cs"/>
          <w:b/>
          <w:bCs/>
          <w:rtl/>
        </w:rPr>
        <w:t>1</w:t>
      </w:r>
      <w:r w:rsidR="009D6298">
        <w:rPr>
          <w:rFonts w:hint="cs"/>
          <w:b/>
          <w:bCs/>
          <w:rtl/>
        </w:rPr>
        <w:t>3</w:t>
      </w:r>
      <w:r w:rsidRPr="0013257B">
        <w:rPr>
          <w:rtl/>
        </w:rPr>
        <w:t xml:space="preserve"> </w:t>
      </w:r>
      <w:r w:rsidR="009B66FF">
        <w:rPr>
          <w:rtl/>
        </w:rPr>
        <w:tab/>
      </w:r>
      <w:r>
        <w:rPr>
          <w:rFonts w:hint="cs"/>
          <w:rtl/>
        </w:rPr>
        <w:t xml:space="preserve">הסעיף </w:t>
      </w:r>
      <w:r w:rsidRPr="0013257B">
        <w:rPr>
          <w:rtl/>
        </w:rPr>
        <w:t xml:space="preserve">מסמיך את השר למנות עובד מדינה הכשיר להיות שופט בית משפט שלום כרשם </w:t>
      </w:r>
      <w:r w:rsidRPr="0013257B">
        <w:rPr>
          <w:rtl/>
        </w:rPr>
        <w:lastRenderedPageBreak/>
        <w:t>יועצי המשכנתאות, וקובע כי תפקידיו</w:t>
      </w:r>
      <w:r w:rsidRPr="0013257B">
        <w:rPr>
          <w:rFonts w:hint="cs"/>
          <w:rtl/>
        </w:rPr>
        <w:t xml:space="preserve"> יהיו </w:t>
      </w:r>
      <w:r w:rsidRPr="0013257B">
        <w:rPr>
          <w:rtl/>
        </w:rPr>
        <w:t xml:space="preserve">לרשום יועצי המשכנתאות העומדים בתנאי הכשירות כאמור בסעיף </w:t>
      </w:r>
      <w:r w:rsidR="009D6298">
        <w:rPr>
          <w:rFonts w:hint="cs"/>
          <w:rtl/>
        </w:rPr>
        <w:t>14</w:t>
      </w:r>
      <w:r w:rsidRPr="0013257B">
        <w:rPr>
          <w:rtl/>
        </w:rPr>
        <w:t xml:space="preserve"> בפנקס יועצי המשכנתאות</w:t>
      </w:r>
      <w:r>
        <w:rPr>
          <w:rFonts w:hint="cs"/>
          <w:rtl/>
        </w:rPr>
        <w:t xml:space="preserve"> </w:t>
      </w:r>
      <w:r w:rsidRPr="0013257B">
        <w:rPr>
          <w:rFonts w:hint="cs"/>
          <w:rtl/>
        </w:rPr>
        <w:t xml:space="preserve">וכן </w:t>
      </w:r>
      <w:r w:rsidRPr="0013257B">
        <w:rPr>
          <w:rtl/>
        </w:rPr>
        <w:t>לנהל את פנקס יועצי המשכנתאות.</w:t>
      </w:r>
    </w:p>
    <w:p w14:paraId="303AFEE4" w14:textId="4CE73B70" w:rsidR="00D622FC" w:rsidRPr="0013257B" w:rsidRDefault="00D622FC" w:rsidP="00AF4BC7">
      <w:pPr>
        <w:pStyle w:val="Hesber"/>
        <w:ind w:firstLine="0"/>
        <w:rPr>
          <w:rtl/>
        </w:rPr>
      </w:pPr>
      <w:r w:rsidRPr="0013257B">
        <w:rPr>
          <w:b/>
          <w:bCs/>
          <w:rtl/>
        </w:rPr>
        <w:t xml:space="preserve">סעיף </w:t>
      </w:r>
      <w:r>
        <w:rPr>
          <w:rFonts w:hint="cs"/>
          <w:b/>
          <w:bCs/>
          <w:rtl/>
        </w:rPr>
        <w:t>1</w:t>
      </w:r>
      <w:r w:rsidR="009D6298">
        <w:rPr>
          <w:rFonts w:hint="cs"/>
          <w:b/>
          <w:bCs/>
          <w:rtl/>
        </w:rPr>
        <w:t>4</w:t>
      </w:r>
      <w:r w:rsidR="00AF4BC7">
        <w:rPr>
          <w:rtl/>
        </w:rPr>
        <w:t xml:space="preserve"> </w:t>
      </w:r>
      <w:r w:rsidR="009B66FF">
        <w:rPr>
          <w:rtl/>
        </w:rPr>
        <w:tab/>
      </w:r>
      <w:r w:rsidRPr="0013257B">
        <w:rPr>
          <w:rtl/>
        </w:rPr>
        <w:t xml:space="preserve">מוצע לקבוע </w:t>
      </w:r>
      <w:r w:rsidRPr="0013257B">
        <w:rPr>
          <w:rFonts w:hint="cs"/>
          <w:rtl/>
        </w:rPr>
        <w:t xml:space="preserve">הוראות לעניין כשירות להירשם בפנקס, </w:t>
      </w:r>
      <w:r>
        <w:rPr>
          <w:rFonts w:hint="cs"/>
          <w:rtl/>
        </w:rPr>
        <w:t xml:space="preserve">אלו הן </w:t>
      </w:r>
      <w:r w:rsidRPr="0013257B">
        <w:rPr>
          <w:rFonts w:hint="cs"/>
          <w:rtl/>
        </w:rPr>
        <w:t xml:space="preserve">הוראות סטנדרטיות המופיעות גם באסדרת מקצועות אחרים, וכן </w:t>
      </w:r>
      <w:r>
        <w:rPr>
          <w:rFonts w:hint="cs"/>
          <w:rtl/>
        </w:rPr>
        <w:t xml:space="preserve">מוצע </w:t>
      </w:r>
      <w:r w:rsidRPr="0013257B">
        <w:rPr>
          <w:rFonts w:hint="cs"/>
          <w:rtl/>
        </w:rPr>
        <w:t xml:space="preserve">לקבוע חובה לעמוד בהצלחה בבחינות שייערכו </w:t>
      </w:r>
      <w:r>
        <w:rPr>
          <w:rFonts w:hint="cs"/>
          <w:rtl/>
        </w:rPr>
        <w:t>על ידי</w:t>
      </w:r>
      <w:r w:rsidRPr="0013257B">
        <w:rPr>
          <w:rFonts w:hint="cs"/>
          <w:rtl/>
        </w:rPr>
        <w:t xml:space="preserve"> המועצה. עם זאת, הוראת פסקה </w:t>
      </w:r>
      <w:r>
        <w:rPr>
          <w:rFonts w:hint="cs"/>
          <w:rtl/>
        </w:rPr>
        <w:t>1</w:t>
      </w:r>
      <w:r w:rsidR="00AF4BC7">
        <w:rPr>
          <w:rFonts w:hint="cs"/>
          <w:rtl/>
        </w:rPr>
        <w:t>4</w:t>
      </w:r>
      <w:r w:rsidRPr="0013257B">
        <w:rPr>
          <w:rFonts w:hint="cs"/>
          <w:rtl/>
        </w:rPr>
        <w:t xml:space="preserve">(א)(2) מאפשרת הקלה בנטל הרגולטורי לגבי מי שהוא בעל תואר במקצועות המשיקים לתחום ייעוץ המשכנתאות, מתוך הנחה שהוא רכש את הידע המקצועי הנדרש במסגרת התואר ומשכך בחינה בנושא מיותרת עבורו. יודגש כי הוא </w:t>
      </w:r>
      <w:r>
        <w:rPr>
          <w:rFonts w:hint="cs"/>
          <w:rtl/>
        </w:rPr>
        <w:t>הוא אינו פטור מהמבחן הנוסף ונדרש לעמוד בו</w:t>
      </w:r>
      <w:r w:rsidRPr="0013257B">
        <w:rPr>
          <w:rFonts w:hint="cs"/>
          <w:rtl/>
        </w:rPr>
        <w:t>.</w:t>
      </w:r>
      <w:r w:rsidR="009B66FF">
        <w:rPr>
          <w:rFonts w:hint="cs"/>
          <w:rtl/>
        </w:rPr>
        <w:t xml:space="preserve"> </w:t>
      </w:r>
      <w:r w:rsidRPr="0013257B">
        <w:rPr>
          <w:rFonts w:hint="cs"/>
          <w:rtl/>
        </w:rPr>
        <w:t>עוד קובע הסעיף הוראות לעניין סמכות הרשם שלא לרשום אדם בפנקס והוראות לעניין ביטול רישום והתלייתו.</w:t>
      </w:r>
    </w:p>
    <w:p w14:paraId="625146B2" w14:textId="5DE01C77" w:rsidR="00D622FC" w:rsidRPr="0013257B" w:rsidRDefault="00D622FC" w:rsidP="009D6298">
      <w:pPr>
        <w:pStyle w:val="Hesber"/>
        <w:ind w:firstLine="0"/>
        <w:rPr>
          <w:rtl/>
        </w:rPr>
      </w:pPr>
      <w:r w:rsidRPr="0013257B">
        <w:rPr>
          <w:b/>
          <w:bCs/>
          <w:rtl/>
        </w:rPr>
        <w:t xml:space="preserve">סעיף </w:t>
      </w:r>
      <w:r>
        <w:rPr>
          <w:rFonts w:hint="cs"/>
          <w:b/>
          <w:bCs/>
          <w:rtl/>
        </w:rPr>
        <w:t>1</w:t>
      </w:r>
      <w:r w:rsidR="009D6298">
        <w:rPr>
          <w:rFonts w:hint="cs"/>
          <w:b/>
          <w:bCs/>
          <w:rtl/>
        </w:rPr>
        <w:t>5</w:t>
      </w:r>
      <w:r w:rsidRPr="0013257B">
        <w:rPr>
          <w:rtl/>
        </w:rPr>
        <w:t xml:space="preserve"> </w:t>
      </w:r>
      <w:r w:rsidR="009B66FF">
        <w:rPr>
          <w:rtl/>
        </w:rPr>
        <w:tab/>
      </w:r>
      <w:r w:rsidRPr="0013257B">
        <w:rPr>
          <w:rtl/>
        </w:rPr>
        <w:t xml:space="preserve">מוצע לקבוע הוראות שעניינן תשלום אגרה </w:t>
      </w:r>
      <w:r>
        <w:rPr>
          <w:rFonts w:hint="cs"/>
          <w:rtl/>
        </w:rPr>
        <w:t xml:space="preserve">שנתית </w:t>
      </w:r>
      <w:r w:rsidRPr="0013257B">
        <w:rPr>
          <w:rtl/>
        </w:rPr>
        <w:t>בגין הרישום בפנקס, ששיעוריה ייקבע</w:t>
      </w:r>
      <w:r>
        <w:rPr>
          <w:rFonts w:hint="cs"/>
          <w:rtl/>
        </w:rPr>
        <w:t>ו</w:t>
      </w:r>
      <w:r w:rsidRPr="0013257B">
        <w:rPr>
          <w:rtl/>
        </w:rPr>
        <w:t xml:space="preserve"> בתקנות.</w:t>
      </w:r>
      <w:r w:rsidRPr="0013257B">
        <w:rPr>
          <w:rFonts w:hint="cs"/>
          <w:rtl/>
        </w:rPr>
        <w:t xml:space="preserve"> </w:t>
      </w:r>
      <w:r>
        <w:rPr>
          <w:rFonts w:hint="cs"/>
          <w:rtl/>
        </w:rPr>
        <w:t xml:space="preserve">לפי המוצע, </w:t>
      </w:r>
      <w:r w:rsidRPr="0013257B">
        <w:rPr>
          <w:rFonts w:hint="cs"/>
          <w:rtl/>
        </w:rPr>
        <w:t xml:space="preserve">אי תשלום רצוף עלול לגרור התלייה ברישום. </w:t>
      </w:r>
    </w:p>
    <w:p w14:paraId="6311FAA5" w14:textId="79B0E6D4" w:rsidR="00D622FC" w:rsidRPr="0013257B" w:rsidRDefault="00D622FC" w:rsidP="009D6298">
      <w:pPr>
        <w:pStyle w:val="Hesber"/>
        <w:ind w:firstLine="0"/>
        <w:rPr>
          <w:rtl/>
        </w:rPr>
      </w:pPr>
      <w:r w:rsidRPr="0013257B">
        <w:rPr>
          <w:b/>
          <w:bCs/>
          <w:rtl/>
        </w:rPr>
        <w:t xml:space="preserve">סעיף </w:t>
      </w:r>
      <w:r>
        <w:rPr>
          <w:rFonts w:hint="cs"/>
          <w:b/>
          <w:bCs/>
          <w:rtl/>
        </w:rPr>
        <w:t>1</w:t>
      </w:r>
      <w:r w:rsidR="009D6298">
        <w:rPr>
          <w:rFonts w:hint="cs"/>
          <w:b/>
          <w:bCs/>
          <w:rtl/>
        </w:rPr>
        <w:t>6</w:t>
      </w:r>
      <w:r w:rsidRPr="0013257B">
        <w:rPr>
          <w:rtl/>
        </w:rPr>
        <w:t xml:space="preserve"> </w:t>
      </w:r>
      <w:r w:rsidR="009B66FF">
        <w:rPr>
          <w:rtl/>
        </w:rPr>
        <w:tab/>
      </w:r>
      <w:r w:rsidR="009D6298">
        <w:rPr>
          <w:rFonts w:hint="cs"/>
          <w:rtl/>
        </w:rPr>
        <w:t>הסעיף המוצע</w:t>
      </w:r>
      <w:r w:rsidR="00575BEE">
        <w:rPr>
          <w:rFonts w:hint="cs"/>
          <w:rtl/>
        </w:rPr>
        <w:t xml:space="preserve"> </w:t>
      </w:r>
      <w:r w:rsidRPr="0013257B">
        <w:rPr>
          <w:rtl/>
        </w:rPr>
        <w:t>עוסק בהתליית רישום בפנקס מרצון של יועץ משכנתאות המבקש שלא לעסוק בייעוץ משכנתאות.</w:t>
      </w:r>
      <w:r w:rsidRPr="0013257B">
        <w:rPr>
          <w:rFonts w:hint="cs"/>
          <w:rtl/>
        </w:rPr>
        <w:t xml:space="preserve"> </w:t>
      </w:r>
    </w:p>
    <w:p w14:paraId="43C97FEE" w14:textId="452D5745" w:rsidR="00D622FC" w:rsidRPr="0013257B" w:rsidRDefault="00D622FC" w:rsidP="00B55E9E">
      <w:pPr>
        <w:pStyle w:val="Hesber"/>
        <w:ind w:firstLine="0"/>
        <w:rPr>
          <w:rtl/>
        </w:rPr>
      </w:pPr>
      <w:r w:rsidRPr="0013257B">
        <w:rPr>
          <w:b/>
          <w:bCs/>
          <w:rtl/>
        </w:rPr>
        <w:t xml:space="preserve">סעיפים </w:t>
      </w:r>
      <w:r w:rsidR="009D6298">
        <w:rPr>
          <w:rFonts w:hint="cs"/>
          <w:b/>
          <w:bCs/>
          <w:rtl/>
        </w:rPr>
        <w:t xml:space="preserve">17 עד 19 </w:t>
      </w:r>
      <w:r w:rsidRPr="0013257B">
        <w:rPr>
          <w:rtl/>
        </w:rPr>
        <w:t>הפרק החמישי בחוק המוצע עוסק בבחינות ההסמכה לייעוץ משכנתאות</w:t>
      </w:r>
      <w:r>
        <w:rPr>
          <w:rFonts w:hint="cs"/>
          <w:rtl/>
        </w:rPr>
        <w:t>.</w:t>
      </w:r>
      <w:r w:rsidRPr="0013257B">
        <w:rPr>
          <w:rtl/>
        </w:rPr>
        <w:t xml:space="preserve"> </w:t>
      </w:r>
      <w:r>
        <w:rPr>
          <w:rFonts w:hint="cs"/>
          <w:rtl/>
        </w:rPr>
        <w:t xml:space="preserve">מוצע לקבוע כי השר יקבע כללים לעניין הבחינות ויסמיך את המועצה </w:t>
      </w:r>
      <w:r w:rsidRPr="0013257B">
        <w:rPr>
          <w:rtl/>
        </w:rPr>
        <w:t>לערוך את הבחינות</w:t>
      </w:r>
      <w:r>
        <w:rPr>
          <w:rFonts w:hint="cs"/>
          <w:rtl/>
        </w:rPr>
        <w:t xml:space="preserve"> בהתאם ולקבוע הוראות לעניין עררים</w:t>
      </w:r>
      <w:r w:rsidRPr="0013257B">
        <w:rPr>
          <w:rtl/>
        </w:rPr>
        <w:t>. סעיף 1</w:t>
      </w:r>
      <w:r w:rsidR="00B55E9E">
        <w:rPr>
          <w:rFonts w:hint="cs"/>
          <w:rtl/>
        </w:rPr>
        <w:t>8</w:t>
      </w:r>
      <w:r w:rsidRPr="0013257B">
        <w:rPr>
          <w:rtl/>
        </w:rPr>
        <w:t xml:space="preserve"> עוסק בערר על ציון בבחינה כאמור, כאשר נוהלי הערר וסדריו ייקבעו בתקנות. סעיף 1</w:t>
      </w:r>
      <w:r w:rsidR="00B55E9E">
        <w:rPr>
          <w:rFonts w:hint="cs"/>
          <w:rtl/>
        </w:rPr>
        <w:t>9</w:t>
      </w:r>
      <w:r w:rsidRPr="0013257B">
        <w:rPr>
          <w:rtl/>
        </w:rPr>
        <w:t xml:space="preserve"> מסמיך את המועצה למנות ועדות וממלאי תפקידים בכל הנוגע לבחינות המועצה.</w:t>
      </w:r>
    </w:p>
    <w:p w14:paraId="243DAE32" w14:textId="12945EE9" w:rsidR="00D622FC" w:rsidRPr="0013257B" w:rsidRDefault="00D622FC" w:rsidP="00575BEE">
      <w:pPr>
        <w:pStyle w:val="Hesber"/>
        <w:ind w:firstLine="0"/>
        <w:rPr>
          <w:rtl/>
        </w:rPr>
      </w:pPr>
      <w:r w:rsidRPr="0013257B">
        <w:rPr>
          <w:rFonts w:hint="cs"/>
          <w:b/>
          <w:bCs/>
          <w:rtl/>
        </w:rPr>
        <w:t>ס</w:t>
      </w:r>
      <w:r w:rsidRPr="0013257B">
        <w:rPr>
          <w:b/>
          <w:bCs/>
          <w:rtl/>
        </w:rPr>
        <w:t xml:space="preserve">עיף </w:t>
      </w:r>
      <w:r w:rsidR="00575BEE">
        <w:rPr>
          <w:rFonts w:hint="cs"/>
          <w:b/>
          <w:bCs/>
          <w:rtl/>
        </w:rPr>
        <w:t>20</w:t>
      </w:r>
      <w:r w:rsidRPr="0013257B">
        <w:rPr>
          <w:b/>
          <w:bCs/>
          <w:rtl/>
        </w:rPr>
        <w:t xml:space="preserve"> </w:t>
      </w:r>
      <w:r w:rsidR="009B66FF">
        <w:rPr>
          <w:b/>
          <w:bCs/>
          <w:rtl/>
        </w:rPr>
        <w:tab/>
      </w:r>
      <w:r>
        <w:rPr>
          <w:rFonts w:hint="cs"/>
          <w:rtl/>
        </w:rPr>
        <w:t>מוצע לקבוע</w:t>
      </w:r>
      <w:r w:rsidRPr="0013257B">
        <w:rPr>
          <w:rtl/>
        </w:rPr>
        <w:t xml:space="preserve"> כי מי שפועל בניגוד להוראת סעיף 2 בחוק המוצע (מי שעוסק בייעוץ משכנתאות על אף שאינו יועץ משכנתאות לפי הוראות חוק זה), וכן מי שפועל בניגוד לסעיף 4(ב) (מי שמקבל תמורה בקשר עם ייעוץ משכנתאות שאינה מלקוחו) – דינו קנס כאמור בסעיף קטן 61(א)(4) לחוק העונשין. כמו כן, מי שמתחזה ליועץ משכנתאות או משתמש בתואר יועץ משכנתאות והוא אינו יועץ כאמור – דינו מאסר שנה או קנס כאמור בסעיף קטן 61(א)(4) לחוק העונשין.</w:t>
      </w:r>
      <w:r w:rsidRPr="0013257B">
        <w:rPr>
          <w:rFonts w:hint="cs"/>
          <w:rtl/>
        </w:rPr>
        <w:t xml:space="preserve"> פרק העונשין נועד להבהיר כי אסדרת מקצוע ייעוץ המשכנתאות היא אקוטית, וכי מי שחורג מליבת רגולציה זו צפוי לעמוד בפני דין פלילי. </w:t>
      </w:r>
    </w:p>
    <w:p w14:paraId="6D507ABE" w14:textId="251003B8" w:rsidR="00D622FC" w:rsidRPr="0013257B" w:rsidRDefault="00D622FC" w:rsidP="00575BEE">
      <w:pPr>
        <w:pStyle w:val="Hesber"/>
        <w:ind w:firstLine="0"/>
        <w:rPr>
          <w:rtl/>
        </w:rPr>
      </w:pPr>
      <w:r w:rsidRPr="0013257B">
        <w:rPr>
          <w:rFonts w:hint="cs"/>
          <w:b/>
          <w:bCs/>
          <w:rtl/>
        </w:rPr>
        <w:t xml:space="preserve">סעיף </w:t>
      </w:r>
      <w:r w:rsidR="00BD2206">
        <w:rPr>
          <w:rFonts w:hint="cs"/>
          <w:b/>
          <w:bCs/>
          <w:rtl/>
        </w:rPr>
        <w:t xml:space="preserve"> </w:t>
      </w:r>
      <w:r w:rsidR="00575BEE">
        <w:rPr>
          <w:rFonts w:hint="cs"/>
          <w:b/>
          <w:bCs/>
          <w:rtl/>
        </w:rPr>
        <w:t>21</w:t>
      </w:r>
      <w:r w:rsidRPr="0013257B">
        <w:rPr>
          <w:rFonts w:hint="cs"/>
          <w:rtl/>
        </w:rPr>
        <w:t xml:space="preserve"> </w:t>
      </w:r>
      <w:r w:rsidR="009B66FF">
        <w:rPr>
          <w:rtl/>
        </w:rPr>
        <w:tab/>
      </w:r>
      <w:r>
        <w:rPr>
          <w:rFonts w:hint="cs"/>
          <w:rtl/>
        </w:rPr>
        <w:t xml:space="preserve">מוצע לקבוע </w:t>
      </w:r>
      <w:r w:rsidRPr="0013257B">
        <w:rPr>
          <w:rFonts w:hint="cs"/>
          <w:rtl/>
        </w:rPr>
        <w:t xml:space="preserve">כי השר יוכל לקבוע כללים, </w:t>
      </w:r>
      <w:r>
        <w:rPr>
          <w:rFonts w:hint="cs"/>
          <w:rtl/>
        </w:rPr>
        <w:t xml:space="preserve">לעניין הבחינות, ממלאי תפקידים ואגרות. </w:t>
      </w:r>
    </w:p>
    <w:p w14:paraId="4381CF46" w14:textId="726B694E" w:rsidR="00D622FC" w:rsidRPr="0013257B" w:rsidRDefault="00D622FC" w:rsidP="00AF4BC7">
      <w:pPr>
        <w:pStyle w:val="Hesber"/>
        <w:ind w:firstLine="0"/>
        <w:rPr>
          <w:rtl/>
        </w:rPr>
      </w:pPr>
      <w:r w:rsidRPr="00EC3792">
        <w:rPr>
          <w:b/>
          <w:bCs/>
          <w:rtl/>
        </w:rPr>
        <w:t>סעי</w:t>
      </w:r>
      <w:r w:rsidRPr="00EC3792">
        <w:rPr>
          <w:rFonts w:hint="eastAsia"/>
          <w:b/>
          <w:bCs/>
          <w:rtl/>
        </w:rPr>
        <w:t>ף</w:t>
      </w:r>
      <w:r w:rsidRPr="00EC3792">
        <w:rPr>
          <w:b/>
          <w:bCs/>
          <w:rtl/>
        </w:rPr>
        <w:t xml:space="preserve"> </w:t>
      </w:r>
      <w:r w:rsidRPr="00EC3792">
        <w:rPr>
          <w:rFonts w:hint="cs"/>
          <w:b/>
          <w:bCs/>
          <w:rtl/>
        </w:rPr>
        <w:t>2</w:t>
      </w:r>
      <w:r w:rsidR="00575BEE">
        <w:rPr>
          <w:rFonts w:hint="cs"/>
          <w:b/>
          <w:bCs/>
          <w:rtl/>
        </w:rPr>
        <w:t>2</w:t>
      </w:r>
      <w:r w:rsidRPr="00EC3792">
        <w:rPr>
          <w:rtl/>
        </w:rPr>
        <w:t xml:space="preserve"> </w:t>
      </w:r>
      <w:r w:rsidR="009B66FF">
        <w:rPr>
          <w:rtl/>
        </w:rPr>
        <w:tab/>
      </w:r>
      <w:r w:rsidRPr="00EC3792">
        <w:rPr>
          <w:rtl/>
        </w:rPr>
        <w:t xml:space="preserve">מוצע לקבוע כי הוראות סעיף </w:t>
      </w:r>
      <w:r w:rsidRPr="00EC3792">
        <w:rPr>
          <w:rFonts w:hint="cs"/>
          <w:rtl/>
        </w:rPr>
        <w:t>1</w:t>
      </w:r>
      <w:r w:rsidR="00AF4BC7">
        <w:rPr>
          <w:rFonts w:hint="cs"/>
          <w:rtl/>
        </w:rPr>
        <w:t>4</w:t>
      </w:r>
      <w:r w:rsidRPr="00EC3792">
        <w:rPr>
          <w:rtl/>
        </w:rPr>
        <w:t>(א)(1) לחוק המוצע (</w:t>
      </w:r>
      <w:r w:rsidRPr="00EC3792">
        <w:rPr>
          <w:rFonts w:hint="eastAsia"/>
          <w:rtl/>
        </w:rPr>
        <w:t>קיום</w:t>
      </w:r>
      <w:r w:rsidRPr="00EC3792">
        <w:rPr>
          <w:rtl/>
        </w:rPr>
        <w:t xml:space="preserve"> </w:t>
      </w:r>
      <w:r w:rsidRPr="00EC3792">
        <w:rPr>
          <w:rFonts w:hint="eastAsia"/>
          <w:rtl/>
        </w:rPr>
        <w:t>בחינות</w:t>
      </w:r>
      <w:r w:rsidRPr="00EC3792">
        <w:rPr>
          <w:rtl/>
        </w:rPr>
        <w:t xml:space="preserve">) לא יחולו על חברות פינטק, ובלבד שבנק ישראל בחן את אופן מתן ייעוץ המשכנתאות על ידי החברה ומצא כי רמתו המקצועית דומה לרמה המקצועית של מי שעומד בתנאי סעיף </w:t>
      </w:r>
      <w:r w:rsidRPr="00EC3792">
        <w:rPr>
          <w:rFonts w:hint="cs"/>
          <w:rtl/>
        </w:rPr>
        <w:t>1</w:t>
      </w:r>
      <w:r w:rsidR="00AF4BC7">
        <w:rPr>
          <w:rFonts w:hint="cs"/>
          <w:rtl/>
        </w:rPr>
        <w:t>4</w:t>
      </w:r>
      <w:r w:rsidRPr="00EC3792">
        <w:rPr>
          <w:rtl/>
        </w:rPr>
        <w:t xml:space="preserve">(א)(1) כאמור. עוד </w:t>
      </w:r>
      <w:r>
        <w:rPr>
          <w:rFonts w:hint="cs"/>
          <w:rtl/>
        </w:rPr>
        <w:t xml:space="preserve">מוצע להסמיך את </w:t>
      </w:r>
      <w:r w:rsidRPr="00EC3792">
        <w:rPr>
          <w:rtl/>
        </w:rPr>
        <w:t xml:space="preserve">נגיד </w:t>
      </w:r>
      <w:r>
        <w:rPr>
          <w:rFonts w:hint="cs"/>
          <w:rtl/>
        </w:rPr>
        <w:t xml:space="preserve">בנק ישראל לקבוע </w:t>
      </w:r>
      <w:r w:rsidRPr="00EC3792">
        <w:rPr>
          <w:rtl/>
        </w:rPr>
        <w:t xml:space="preserve">כללים לעניין דרך הבדיקה </w:t>
      </w:r>
      <w:r>
        <w:rPr>
          <w:rFonts w:hint="cs"/>
          <w:rtl/>
        </w:rPr>
        <w:t xml:space="preserve">לעניין זה. </w:t>
      </w:r>
      <w:r w:rsidRPr="00EC3792">
        <w:rPr>
          <w:rtl/>
        </w:rPr>
        <w:t>תכליתה של הוראה זו הי</w:t>
      </w:r>
      <w:r w:rsidRPr="00EC3792">
        <w:rPr>
          <w:rFonts w:hint="eastAsia"/>
          <w:rtl/>
        </w:rPr>
        <w:t>א</w:t>
      </w:r>
      <w:r w:rsidRPr="00EC3792">
        <w:rPr>
          <w:rtl/>
        </w:rPr>
        <w:t xml:space="preserve"> להבטיח את רמתן המקצועית של חברות הפינטק, אשר על אף שהשירות שהן מעניקות ללקוח שונה בצורתו מיועץ משכנתאות אחר, הוא דומה במהותו, שכן לקוחות מתבססים על המידע שניתן להם ומקבלים החלטות בעלות משמעות כלכלית כבדה על סמך הייעוץ כאמור. ההצעה אינה מתעלמת מחשיבות ההתפתחות הטכנולוגית בתחום הפיננסים, ואין תכליתה לעכב או להכביד על כך. כמו כן, מתחשבת ההצעה בכך שחברת פינטק שונה מאדם אשר מעניק ייעוץ משכנתאות, ומשכך יש להתאים חלק מהוראותיה למאפיינים השונים – כל זאת במטרה להגשים את תכלית הפיקוח ושיפור השירות הניתן בקשר עם ייעוץ משכנתאות באשר הוא, לצד התאמת ההוראות לזהות נותן השירות. כך למשל, חברת פינטק אשר מעניקה שירות של ייעוץ משכנתאות אינה נדרשת לעמוד בבחינות הנערכות על ידי המועצה, או ל</w:t>
      </w:r>
      <w:r w:rsidRPr="00EC3792">
        <w:rPr>
          <w:rFonts w:hint="eastAsia"/>
          <w:rtl/>
        </w:rPr>
        <w:t>חלופין</w:t>
      </w:r>
      <w:r w:rsidRPr="00EC3792">
        <w:rPr>
          <w:rtl/>
        </w:rPr>
        <w:t xml:space="preserve"> </w:t>
      </w:r>
      <w:r w:rsidRPr="00EC3792">
        <w:rPr>
          <w:rFonts w:hint="eastAsia"/>
          <w:rtl/>
        </w:rPr>
        <w:t>ל</w:t>
      </w:r>
      <w:r w:rsidRPr="00EC3792">
        <w:rPr>
          <w:rtl/>
        </w:rPr>
        <w:t xml:space="preserve">החזיק בתואר אקדמי, כאמור בסעיף </w:t>
      </w:r>
      <w:r w:rsidRPr="00EC3792">
        <w:rPr>
          <w:rFonts w:hint="cs"/>
          <w:rtl/>
        </w:rPr>
        <w:t>1</w:t>
      </w:r>
      <w:r w:rsidR="00AF4BC7">
        <w:rPr>
          <w:rFonts w:hint="cs"/>
          <w:rtl/>
        </w:rPr>
        <w:t>4</w:t>
      </w:r>
      <w:r w:rsidRPr="00EC3792">
        <w:rPr>
          <w:rFonts w:hint="cs"/>
          <w:rtl/>
        </w:rPr>
        <w:t xml:space="preserve"> </w:t>
      </w:r>
      <w:r w:rsidRPr="00EC3792">
        <w:rPr>
          <w:rtl/>
        </w:rPr>
        <w:t xml:space="preserve">לחוק המוצע. עם זאת, חברות הפינטק נתונות לפיקוח בנק </w:t>
      </w:r>
      <w:r w:rsidRPr="00EC3792">
        <w:rPr>
          <w:rtl/>
        </w:rPr>
        <w:lastRenderedPageBreak/>
        <w:t>ישראל, בהתאם לכללים שהנגיד יקבע.</w:t>
      </w:r>
    </w:p>
    <w:p w14:paraId="2EEA2561" w14:textId="1DB3CFC5" w:rsidR="00D622FC" w:rsidRPr="0013257B" w:rsidRDefault="00D622FC" w:rsidP="00AF4BC7">
      <w:pPr>
        <w:pStyle w:val="Hesber"/>
        <w:ind w:firstLine="0"/>
        <w:rPr>
          <w:rtl/>
        </w:rPr>
      </w:pPr>
      <w:r w:rsidRPr="0013257B">
        <w:rPr>
          <w:b/>
          <w:bCs/>
          <w:rtl/>
        </w:rPr>
        <w:t xml:space="preserve">סעיף </w:t>
      </w:r>
      <w:r w:rsidR="00575BEE">
        <w:rPr>
          <w:rFonts w:hint="cs"/>
          <w:b/>
          <w:bCs/>
          <w:rtl/>
        </w:rPr>
        <w:t>23</w:t>
      </w:r>
      <w:r w:rsidRPr="0013257B">
        <w:rPr>
          <w:rFonts w:hint="cs"/>
          <w:b/>
          <w:bCs/>
          <w:rtl/>
        </w:rPr>
        <w:t xml:space="preserve"> </w:t>
      </w:r>
      <w:r w:rsidR="009B66FF">
        <w:rPr>
          <w:b/>
          <w:bCs/>
          <w:rtl/>
        </w:rPr>
        <w:tab/>
      </w:r>
      <w:r w:rsidRPr="0013257B">
        <w:rPr>
          <w:rtl/>
        </w:rPr>
        <w:t>מוצע לקבוע כי לא ייתן גוף פיננסי לאדם המבקש לפעול כיועץ משכנתאות מידע או שירות הנוגע לייעוץ משכנתאות, אלא אם כן אותו אדם רשום בפנקס יועצי המשכנתאות.</w:t>
      </w:r>
      <w:r>
        <w:rPr>
          <w:rFonts w:hint="cs"/>
          <w:rtl/>
        </w:rPr>
        <w:t xml:space="preserve"> </w:t>
      </w:r>
      <w:r w:rsidRPr="0013257B">
        <w:rPr>
          <w:rtl/>
        </w:rPr>
        <w:t>תכליתה של הוראה זו הינה למנוע מצב בו "נעקף" האיסור להעניק שירות ייעוץ משכנתאות מבלי להיות יועץ משכנתאות כמשמעות</w:t>
      </w:r>
      <w:r>
        <w:rPr>
          <w:rFonts w:hint="cs"/>
          <w:rtl/>
        </w:rPr>
        <w:t>ו בחוק המוצע.</w:t>
      </w:r>
      <w:r w:rsidR="00AF4BC7">
        <w:rPr>
          <w:rFonts w:hint="cs"/>
          <w:rtl/>
        </w:rPr>
        <w:t xml:space="preserve"> </w:t>
      </w:r>
      <w:r w:rsidRPr="0013257B">
        <w:rPr>
          <w:rFonts w:hint="cs"/>
          <w:rtl/>
        </w:rPr>
        <w:t>עוד מוצע כי גוף פיננסי לא יית</w:t>
      </w:r>
      <w:r w:rsidRPr="0013257B">
        <w:rPr>
          <w:rFonts w:hint="eastAsia"/>
          <w:rtl/>
        </w:rPr>
        <w:t>ן</w:t>
      </w:r>
      <w:r w:rsidRPr="0013257B">
        <w:rPr>
          <w:rFonts w:hint="cs"/>
          <w:rtl/>
        </w:rPr>
        <w:t xml:space="preserve"> תמורה</w:t>
      </w:r>
      <w:r>
        <w:rPr>
          <w:rFonts w:hint="cs"/>
          <w:rtl/>
        </w:rPr>
        <w:t xml:space="preserve">, </w:t>
      </w:r>
      <w:r w:rsidRPr="0013257B">
        <w:rPr>
          <w:rFonts w:hint="cs"/>
          <w:rtl/>
        </w:rPr>
        <w:t>במישרין או בעקיפין</w:t>
      </w:r>
      <w:r>
        <w:rPr>
          <w:rFonts w:hint="cs"/>
          <w:rtl/>
        </w:rPr>
        <w:t>,</w:t>
      </w:r>
      <w:r w:rsidRPr="0013257B">
        <w:rPr>
          <w:rFonts w:hint="cs"/>
          <w:rtl/>
        </w:rPr>
        <w:t xml:space="preserve"> ליועץ משכנתאות בקשר לייעוץ שניתן, וזאת על מנת למנוע עקיפה של איסור היועץ לקבל תמורה בעד הייעוץ שנתן זולת מלקוחו. הה</w:t>
      </w:r>
      <w:r>
        <w:rPr>
          <w:rFonts w:hint="cs"/>
          <w:rtl/>
        </w:rPr>
        <w:t>ו</w:t>
      </w:r>
      <w:r w:rsidRPr="0013257B">
        <w:rPr>
          <w:rFonts w:hint="cs"/>
          <w:rtl/>
        </w:rPr>
        <w:t>ראה נועדה להבטיח כי מוסדות פיננסים לא יעסיקו יועצי משכנתאות, שכן ייעוץ משכנתאות על ידי מוסד פיננסי מסוים עלול ליצור ניגוד עניינים אינהרנטי.</w:t>
      </w:r>
    </w:p>
    <w:p w14:paraId="53894D2D" w14:textId="16368AEA" w:rsidR="00D622FC" w:rsidRPr="0013257B" w:rsidRDefault="00D622FC" w:rsidP="00AF4BC7">
      <w:pPr>
        <w:pStyle w:val="Hesber"/>
        <w:ind w:firstLine="0"/>
        <w:rPr>
          <w:rtl/>
        </w:rPr>
      </w:pPr>
      <w:r w:rsidRPr="0013257B">
        <w:rPr>
          <w:b/>
          <w:bCs/>
          <w:rtl/>
        </w:rPr>
        <w:t xml:space="preserve">סעיף </w:t>
      </w:r>
      <w:r w:rsidR="00575BEE">
        <w:rPr>
          <w:rFonts w:hint="cs"/>
          <w:b/>
          <w:bCs/>
          <w:rtl/>
        </w:rPr>
        <w:t>24</w:t>
      </w:r>
      <w:r w:rsidRPr="00EC3792">
        <w:rPr>
          <w:b/>
          <w:bCs/>
          <w:rtl/>
        </w:rPr>
        <w:t xml:space="preserve"> </w:t>
      </w:r>
      <w:r w:rsidR="009B66FF">
        <w:rPr>
          <w:b/>
          <w:bCs/>
          <w:rtl/>
        </w:rPr>
        <w:tab/>
      </w:r>
      <w:r w:rsidRPr="0013257B">
        <w:rPr>
          <w:rtl/>
        </w:rPr>
        <w:t xml:space="preserve">מוצע תיקון עקיף </w:t>
      </w:r>
      <w:r>
        <w:rPr>
          <w:rFonts w:hint="cs"/>
          <w:rtl/>
        </w:rPr>
        <w:t>ב</w:t>
      </w:r>
      <w:r w:rsidRPr="0013257B">
        <w:rPr>
          <w:rtl/>
        </w:rPr>
        <w:t>חוק העבירות המ</w:t>
      </w:r>
      <w:r>
        <w:rPr>
          <w:rFonts w:hint="cs"/>
          <w:rtl/>
        </w:rPr>
        <w:t>י</w:t>
      </w:r>
      <w:r w:rsidRPr="0013257B">
        <w:rPr>
          <w:rtl/>
        </w:rPr>
        <w:t>נהליות, התשמ"ו</w:t>
      </w:r>
      <w:r>
        <w:rPr>
          <w:rFonts w:hint="cs"/>
          <w:rtl/>
        </w:rPr>
        <w:t>–</w:t>
      </w:r>
      <w:r w:rsidRPr="0013257B">
        <w:rPr>
          <w:rtl/>
        </w:rPr>
        <w:t>1985, כך שהחוק המוצע יבוא בגדר החוקים המנויים בתוספת הראשונה</w:t>
      </w:r>
      <w:r>
        <w:rPr>
          <w:rFonts w:hint="cs"/>
          <w:rtl/>
        </w:rPr>
        <w:t xml:space="preserve"> לחוק האמור. לפי המוצע</w:t>
      </w:r>
      <w:r w:rsidRPr="0013257B">
        <w:rPr>
          <w:rtl/>
        </w:rPr>
        <w:t>,</w:t>
      </w:r>
      <w:r w:rsidRPr="0013257B">
        <w:rPr>
          <w:rFonts w:hint="cs"/>
          <w:rtl/>
        </w:rPr>
        <w:t xml:space="preserve"> </w:t>
      </w:r>
      <w:r>
        <w:rPr>
          <w:rFonts w:hint="cs"/>
          <w:rtl/>
        </w:rPr>
        <w:t>ה</w:t>
      </w:r>
      <w:r w:rsidRPr="0013257B">
        <w:rPr>
          <w:rtl/>
        </w:rPr>
        <w:t xml:space="preserve">שר </w:t>
      </w:r>
      <w:r>
        <w:rPr>
          <w:rFonts w:hint="cs"/>
          <w:rtl/>
        </w:rPr>
        <w:t xml:space="preserve">יהיה </w:t>
      </w:r>
      <w:r w:rsidRPr="0013257B">
        <w:rPr>
          <w:rtl/>
        </w:rPr>
        <w:t>רשאי לקבו</w:t>
      </w:r>
      <w:r w:rsidRPr="0013257B">
        <w:rPr>
          <w:rFonts w:hint="cs"/>
          <w:rtl/>
        </w:rPr>
        <w:t>ע</w:t>
      </w:r>
      <w:r w:rsidRPr="0013257B">
        <w:rPr>
          <w:rtl/>
        </w:rPr>
        <w:t xml:space="preserve"> בתקנות כי עבירה על הוראה בחוק המוצע או בתקנות שהותקנו לפיו, שאינה פשע, היא עבירה שבשלה ניתן להטיל קנס בדרך מינהלית (להלן – עבירה מינהלית); הקביעה יכול שתהיה דרך כלל, בתנאים או בסייגים.</w:t>
      </w:r>
      <w:r w:rsidR="00AF4BC7">
        <w:rPr>
          <w:rFonts w:hint="cs"/>
          <w:rtl/>
        </w:rPr>
        <w:t xml:space="preserve"> </w:t>
      </w:r>
      <w:r w:rsidRPr="00D622FC">
        <w:rPr>
          <w:rFonts w:hint="eastAsia"/>
          <w:rtl/>
        </w:rPr>
        <w:t>זאת</w:t>
      </w:r>
      <w:r w:rsidRPr="00D622FC">
        <w:rPr>
          <w:rtl/>
        </w:rPr>
        <w:t xml:space="preserve">, כדי לייעל את אכיפת החוק המוצע ולאפשר מתן קנסות </w:t>
      </w:r>
      <w:r w:rsidRPr="00D622FC">
        <w:rPr>
          <w:rFonts w:hint="eastAsia"/>
          <w:rtl/>
        </w:rPr>
        <w:t>מינהליים</w:t>
      </w:r>
      <w:r w:rsidRPr="00D622FC">
        <w:rPr>
          <w:rtl/>
        </w:rPr>
        <w:t xml:space="preserve"> בשל הפרתו. </w:t>
      </w:r>
    </w:p>
    <w:p w14:paraId="5562A604" w14:textId="457BFE63" w:rsidR="00D622FC" w:rsidRPr="0013257B" w:rsidRDefault="00D622FC" w:rsidP="00AF4BC7">
      <w:pPr>
        <w:pStyle w:val="Hesber"/>
        <w:ind w:firstLine="0"/>
        <w:rPr>
          <w:rtl/>
        </w:rPr>
      </w:pPr>
      <w:r w:rsidRPr="0013257B">
        <w:rPr>
          <w:b/>
          <w:bCs/>
          <w:rtl/>
        </w:rPr>
        <w:t xml:space="preserve">סעיף </w:t>
      </w:r>
      <w:r w:rsidR="00575BEE">
        <w:rPr>
          <w:rFonts w:hint="cs"/>
          <w:b/>
          <w:bCs/>
          <w:rtl/>
        </w:rPr>
        <w:t>25</w:t>
      </w:r>
      <w:r w:rsidRPr="0013257B">
        <w:rPr>
          <w:rFonts w:hint="cs"/>
          <w:b/>
          <w:bCs/>
          <w:rtl/>
        </w:rPr>
        <w:t xml:space="preserve"> </w:t>
      </w:r>
      <w:r w:rsidR="009B66FF">
        <w:rPr>
          <w:b/>
          <w:bCs/>
          <w:rtl/>
        </w:rPr>
        <w:tab/>
      </w:r>
      <w:r w:rsidRPr="0013257B">
        <w:rPr>
          <w:rtl/>
        </w:rPr>
        <w:t xml:space="preserve">מוצע לקבוע כי תחילתו של חוק זה שלושה חודשים מיום פרסומו. עם זאת, לשם היערכות מיטבית ליישומו של </w:t>
      </w:r>
      <w:r>
        <w:rPr>
          <w:rFonts w:hint="cs"/>
          <w:rtl/>
        </w:rPr>
        <w:t>ה</w:t>
      </w:r>
      <w:r w:rsidRPr="0013257B">
        <w:rPr>
          <w:rtl/>
        </w:rPr>
        <w:t>חוק</w:t>
      </w:r>
      <w:r>
        <w:rPr>
          <w:rFonts w:hint="cs"/>
          <w:rtl/>
        </w:rPr>
        <w:t xml:space="preserve"> המוצע</w:t>
      </w:r>
      <w:r w:rsidRPr="0013257B">
        <w:rPr>
          <w:rtl/>
        </w:rPr>
        <w:t xml:space="preserve">, באופן שיאפשר למשרד המשפטים כמו גם לעוסקים בתחום פרק זמן מספק לצורך התארגנות, מוצע לקבוע כי תחילתם של סעיפים </w:t>
      </w:r>
      <w:r>
        <w:rPr>
          <w:rFonts w:hint="cs"/>
          <w:rtl/>
        </w:rPr>
        <w:t>1</w:t>
      </w:r>
      <w:r w:rsidR="00AF4BC7">
        <w:rPr>
          <w:rFonts w:hint="cs"/>
          <w:rtl/>
        </w:rPr>
        <w:t>3</w:t>
      </w:r>
      <w:r>
        <w:rPr>
          <w:rFonts w:hint="cs"/>
          <w:rtl/>
        </w:rPr>
        <w:t xml:space="preserve"> עד 1</w:t>
      </w:r>
      <w:r w:rsidR="00AF4BC7">
        <w:rPr>
          <w:rFonts w:hint="cs"/>
          <w:rtl/>
        </w:rPr>
        <w:t>6</w:t>
      </w:r>
      <w:r>
        <w:rPr>
          <w:rFonts w:hint="cs"/>
          <w:rtl/>
        </w:rPr>
        <w:t xml:space="preserve"> </w:t>
      </w:r>
      <w:r w:rsidRPr="0013257B">
        <w:rPr>
          <w:rtl/>
        </w:rPr>
        <w:t>תהיה שנה מיום פרסומו.</w:t>
      </w:r>
    </w:p>
    <w:p w14:paraId="4487CC28" w14:textId="40DAEB77" w:rsidR="00D622FC" w:rsidRDefault="00D622FC" w:rsidP="006B04E9">
      <w:pPr>
        <w:pStyle w:val="Hesber"/>
        <w:ind w:firstLine="0"/>
        <w:rPr>
          <w:rtl/>
        </w:rPr>
      </w:pPr>
      <w:r w:rsidRPr="006B04E9">
        <w:rPr>
          <w:b/>
          <w:bCs/>
          <w:rtl/>
        </w:rPr>
        <w:t xml:space="preserve">סעיף </w:t>
      </w:r>
      <w:r w:rsidRPr="006B04E9">
        <w:rPr>
          <w:rFonts w:hint="cs"/>
          <w:b/>
          <w:bCs/>
          <w:rtl/>
        </w:rPr>
        <w:t>2</w:t>
      </w:r>
      <w:r w:rsidR="00575BEE" w:rsidRPr="006B04E9">
        <w:rPr>
          <w:rFonts w:hint="cs"/>
          <w:b/>
          <w:bCs/>
          <w:rtl/>
        </w:rPr>
        <w:t>6</w:t>
      </w:r>
      <w:r w:rsidRPr="006B04E9">
        <w:rPr>
          <w:rtl/>
        </w:rPr>
        <w:t xml:space="preserve"> </w:t>
      </w:r>
      <w:r w:rsidR="009B66FF">
        <w:rPr>
          <w:rtl/>
        </w:rPr>
        <w:tab/>
      </w:r>
      <w:r w:rsidRPr="006B04E9">
        <w:rPr>
          <w:rtl/>
        </w:rPr>
        <w:t xml:space="preserve">מוצע לקבוע הוראת מעבר לפיה מי שעסק בייעוץ משכנתאות, </w:t>
      </w:r>
      <w:r w:rsidRPr="006B04E9">
        <w:rPr>
          <w:rFonts w:hint="cs"/>
          <w:rtl/>
        </w:rPr>
        <w:t xml:space="preserve">ערב יום התחילה </w:t>
      </w:r>
      <w:r w:rsidRPr="006B04E9">
        <w:rPr>
          <w:rtl/>
        </w:rPr>
        <w:t xml:space="preserve">במשך </w:t>
      </w:r>
      <w:r w:rsidRPr="006B04E9">
        <w:rPr>
          <w:rFonts w:hint="cs"/>
          <w:rtl/>
        </w:rPr>
        <w:t>תשע</w:t>
      </w:r>
      <w:r w:rsidRPr="006B04E9">
        <w:rPr>
          <w:rtl/>
        </w:rPr>
        <w:t xml:space="preserve"> שנים לפחות, </w:t>
      </w:r>
      <w:r w:rsidRPr="006B04E9">
        <w:rPr>
          <w:rFonts w:hint="cs"/>
          <w:rtl/>
        </w:rPr>
        <w:t>רשאי</w:t>
      </w:r>
      <w:r w:rsidRPr="006B04E9">
        <w:rPr>
          <w:rtl/>
        </w:rPr>
        <w:t xml:space="preserve"> להיכלל במ</w:t>
      </w:r>
      <w:r w:rsidR="009D6298" w:rsidRPr="006B04E9">
        <w:rPr>
          <w:rtl/>
        </w:rPr>
        <w:t xml:space="preserve">רשם ובלבד שלא חלות עליו הוראות </w:t>
      </w:r>
      <w:r w:rsidRPr="006B04E9">
        <w:rPr>
          <w:rtl/>
        </w:rPr>
        <w:t xml:space="preserve">סעיף </w:t>
      </w:r>
      <w:r w:rsidR="009D6298" w:rsidRPr="006B04E9">
        <w:rPr>
          <w:rFonts w:hint="cs"/>
          <w:rtl/>
        </w:rPr>
        <w:t>14</w:t>
      </w:r>
      <w:r w:rsidR="009D6298" w:rsidRPr="006B04E9">
        <w:rPr>
          <w:rtl/>
        </w:rPr>
        <w:t>(ב)(1)</w:t>
      </w:r>
      <w:r w:rsidR="009D6298" w:rsidRPr="006B04E9">
        <w:rPr>
          <w:rFonts w:hint="cs"/>
          <w:rtl/>
        </w:rPr>
        <w:t xml:space="preserve"> </w:t>
      </w:r>
      <w:r w:rsidRPr="006B04E9">
        <w:rPr>
          <w:rtl/>
        </w:rPr>
        <w:t xml:space="preserve">(סעיף הרשעה פלילית). עוד מוצע לקבוע כי מי שעסק בייעוץ משכנתאות, </w:t>
      </w:r>
      <w:r w:rsidRPr="006B04E9">
        <w:rPr>
          <w:rFonts w:hint="cs"/>
          <w:rtl/>
        </w:rPr>
        <w:t xml:space="preserve">ערב יום התחילה, </w:t>
      </w:r>
      <w:r w:rsidRPr="006B04E9">
        <w:rPr>
          <w:rtl/>
        </w:rPr>
        <w:t>במשך שנתיים לפחות</w:t>
      </w:r>
      <w:r w:rsidRPr="006B04E9">
        <w:rPr>
          <w:rFonts w:hint="cs"/>
          <w:rtl/>
        </w:rPr>
        <w:t xml:space="preserve"> רשאי</w:t>
      </w:r>
      <w:r w:rsidRPr="006B04E9">
        <w:rPr>
          <w:rtl/>
        </w:rPr>
        <w:t xml:space="preserve"> להיכלל במרשם ובלבד שלא חלות עליו ה</w:t>
      </w:r>
      <w:r w:rsidRPr="006B04E9">
        <w:rPr>
          <w:rFonts w:hint="cs"/>
          <w:rtl/>
        </w:rPr>
        <w:t>וראו</w:t>
      </w:r>
      <w:r w:rsidRPr="006B04E9">
        <w:rPr>
          <w:rtl/>
        </w:rPr>
        <w:t xml:space="preserve">ת סעיף </w:t>
      </w:r>
      <w:r w:rsidR="000B2EFD" w:rsidRPr="006B04E9">
        <w:rPr>
          <w:rFonts w:hint="cs"/>
          <w:rtl/>
        </w:rPr>
        <w:t>14</w:t>
      </w:r>
      <w:r w:rsidRPr="006B04E9">
        <w:rPr>
          <w:rtl/>
        </w:rPr>
        <w:t xml:space="preserve">(ב)(1) והוא עמד בהוראות סעיף </w:t>
      </w:r>
      <w:r w:rsidR="009D6298" w:rsidRPr="006B04E9">
        <w:rPr>
          <w:rFonts w:hint="cs"/>
          <w:rtl/>
        </w:rPr>
        <w:t>14</w:t>
      </w:r>
      <w:r w:rsidRPr="006B04E9">
        <w:rPr>
          <w:rFonts w:hint="cs"/>
          <w:rtl/>
        </w:rPr>
        <w:t>(א)</w:t>
      </w:r>
      <w:r w:rsidR="006B04E9" w:rsidRPr="006B04E9">
        <w:rPr>
          <w:rFonts w:hint="cs"/>
          <w:rtl/>
        </w:rPr>
        <w:t xml:space="preserve">(1)(א) או </w:t>
      </w:r>
      <w:r w:rsidRPr="006B04E9">
        <w:rPr>
          <w:rFonts w:hint="cs"/>
          <w:rtl/>
        </w:rPr>
        <w:t xml:space="preserve"> </w:t>
      </w:r>
      <w:r w:rsidR="006B04E9" w:rsidRPr="006B04E9">
        <w:rPr>
          <w:rFonts w:hint="cs"/>
          <w:rtl/>
        </w:rPr>
        <w:t xml:space="preserve">(ב) </w:t>
      </w:r>
      <w:r w:rsidRPr="006B04E9">
        <w:rPr>
          <w:rtl/>
        </w:rPr>
        <w:t xml:space="preserve">בתוך </w:t>
      </w:r>
      <w:r w:rsidRPr="006B04E9">
        <w:rPr>
          <w:rFonts w:hint="cs"/>
          <w:rtl/>
        </w:rPr>
        <w:t>שלוש</w:t>
      </w:r>
      <w:r w:rsidRPr="006B04E9">
        <w:rPr>
          <w:rtl/>
        </w:rPr>
        <w:t xml:space="preserve"> שנים מיום תחילתו של חוק זה; לעני</w:t>
      </w:r>
      <w:r w:rsidRPr="006B04E9">
        <w:rPr>
          <w:rFonts w:hint="cs"/>
          <w:rtl/>
        </w:rPr>
        <w:t>י</w:t>
      </w:r>
      <w:r w:rsidRPr="006B04E9">
        <w:rPr>
          <w:rtl/>
        </w:rPr>
        <w:t xml:space="preserve">ן זה יראו את מי שעבר בחינות מטעם הגוף היציג כמי שעמד בתנאי סעיף </w:t>
      </w:r>
      <w:r w:rsidR="009D6298" w:rsidRPr="006B04E9">
        <w:rPr>
          <w:rFonts w:hint="cs"/>
          <w:rtl/>
        </w:rPr>
        <w:t>14</w:t>
      </w:r>
      <w:r w:rsidRPr="006B04E9">
        <w:rPr>
          <w:rtl/>
        </w:rPr>
        <w:t>(א)(2)</w:t>
      </w:r>
      <w:r w:rsidRPr="006B04E9">
        <w:rPr>
          <w:rFonts w:hint="cs"/>
          <w:rtl/>
        </w:rPr>
        <w:t>.</w:t>
      </w:r>
      <w:r w:rsidRPr="006B04E9">
        <w:rPr>
          <w:rtl/>
        </w:rPr>
        <w:t xml:space="preserve"> באשר למי שעסק בייעוץ משכנתאות </w:t>
      </w:r>
      <w:r w:rsidRPr="006B04E9">
        <w:rPr>
          <w:rFonts w:hint="cs"/>
          <w:rtl/>
        </w:rPr>
        <w:t>ערב יום התחילה</w:t>
      </w:r>
      <w:r w:rsidRPr="006B04E9">
        <w:rPr>
          <w:rtl/>
        </w:rPr>
        <w:t xml:space="preserve"> במשך פחות משנתיים</w:t>
      </w:r>
      <w:r w:rsidRPr="006B04E9">
        <w:rPr>
          <w:rFonts w:hint="cs"/>
          <w:rtl/>
        </w:rPr>
        <w:t>,</w:t>
      </w:r>
      <w:r w:rsidRPr="006B04E9">
        <w:rPr>
          <w:rtl/>
        </w:rPr>
        <w:t xml:space="preserve"> </w:t>
      </w:r>
      <w:r w:rsidR="006B04E9" w:rsidRPr="006B04E9">
        <w:rPr>
          <w:rFonts w:hint="cs"/>
          <w:rtl/>
        </w:rPr>
        <w:t xml:space="preserve">הוא יהיה </w:t>
      </w:r>
      <w:r w:rsidRPr="006B04E9">
        <w:rPr>
          <w:rFonts w:hint="cs"/>
          <w:rtl/>
        </w:rPr>
        <w:t xml:space="preserve">רשאי </w:t>
      </w:r>
      <w:r w:rsidRPr="006B04E9">
        <w:rPr>
          <w:rtl/>
        </w:rPr>
        <w:t>להיכלל במרשם, ובלבד שלא חלות עליו ה</w:t>
      </w:r>
      <w:r w:rsidRPr="006B04E9">
        <w:rPr>
          <w:rFonts w:hint="cs"/>
          <w:rtl/>
        </w:rPr>
        <w:t xml:space="preserve">וראות </w:t>
      </w:r>
      <w:r w:rsidRPr="006B04E9">
        <w:rPr>
          <w:rtl/>
        </w:rPr>
        <w:t xml:space="preserve">סעיף </w:t>
      </w:r>
      <w:r w:rsidR="006B04E9" w:rsidRPr="006B04E9">
        <w:rPr>
          <w:rFonts w:hint="cs"/>
          <w:rtl/>
        </w:rPr>
        <w:t xml:space="preserve">14(ב)(1) </w:t>
      </w:r>
      <w:r w:rsidRPr="006B04E9">
        <w:rPr>
          <w:rtl/>
        </w:rPr>
        <w:t xml:space="preserve">והוא עמד בהוראות סעיף </w:t>
      </w:r>
      <w:r w:rsidR="009D6298" w:rsidRPr="006B04E9">
        <w:rPr>
          <w:rFonts w:hint="cs"/>
          <w:rtl/>
        </w:rPr>
        <w:t>14</w:t>
      </w:r>
      <w:r w:rsidRPr="006B04E9">
        <w:rPr>
          <w:rFonts w:hint="cs"/>
          <w:rtl/>
        </w:rPr>
        <w:t>(א)(1)(א) או(ב)</w:t>
      </w:r>
      <w:r w:rsidRPr="006B04E9">
        <w:rPr>
          <w:rtl/>
        </w:rPr>
        <w:t xml:space="preserve"> וזאת</w:t>
      </w:r>
      <w:r w:rsidRPr="006B04E9">
        <w:rPr>
          <w:rFonts w:hint="cs"/>
          <w:rtl/>
        </w:rPr>
        <w:t xml:space="preserve"> בתוך שלוש שנים מיום התחילה, ואם הוא חבר הארגון היציג, </w:t>
      </w:r>
      <w:r w:rsidRPr="006B04E9">
        <w:rPr>
          <w:rtl/>
        </w:rPr>
        <w:t xml:space="preserve">בתוך </w:t>
      </w:r>
      <w:r w:rsidRPr="006B04E9">
        <w:rPr>
          <w:rFonts w:hint="cs"/>
          <w:rtl/>
        </w:rPr>
        <w:t>חמש</w:t>
      </w:r>
      <w:r w:rsidRPr="006B04E9">
        <w:rPr>
          <w:rtl/>
        </w:rPr>
        <w:t xml:space="preserve"> שנים </w:t>
      </w:r>
      <w:r w:rsidRPr="006B04E9">
        <w:rPr>
          <w:rFonts w:hint="cs"/>
          <w:rtl/>
        </w:rPr>
        <w:t xml:space="preserve">מיום התחילה. </w:t>
      </w:r>
      <w:r w:rsidRPr="006B04E9">
        <w:rPr>
          <w:rtl/>
        </w:rPr>
        <w:t>עוד נקבע</w:t>
      </w:r>
      <w:r w:rsidRPr="006B04E9">
        <w:rPr>
          <w:rFonts w:hint="cs"/>
          <w:rtl/>
        </w:rPr>
        <w:t>ה</w:t>
      </w:r>
      <w:r w:rsidRPr="006B04E9">
        <w:rPr>
          <w:rtl/>
        </w:rPr>
        <w:t xml:space="preserve"> בסעיף הוראת המעבר</w:t>
      </w:r>
      <w:r w:rsidRPr="006B04E9">
        <w:rPr>
          <w:rFonts w:hint="cs"/>
          <w:rtl/>
        </w:rPr>
        <w:t xml:space="preserve"> </w:t>
      </w:r>
      <w:r w:rsidRPr="006B04E9">
        <w:rPr>
          <w:rtl/>
        </w:rPr>
        <w:t>לעניין הגשת הבקשה והרישום במרשם של מי שכבר עוסק במקצוע ייעוץ המשכנתאות ערב תחילתו של חוק זה.</w:t>
      </w:r>
    </w:p>
    <w:p w14:paraId="28AFF92B" w14:textId="2988035B" w:rsidR="00D622FC" w:rsidRDefault="00D622FC" w:rsidP="00575BEE">
      <w:pPr>
        <w:pStyle w:val="Hesber"/>
        <w:ind w:firstLine="0"/>
        <w:rPr>
          <w:rtl/>
        </w:rPr>
      </w:pPr>
      <w:r w:rsidRPr="00EC3792">
        <w:rPr>
          <w:rFonts w:hint="cs"/>
          <w:b/>
          <w:bCs/>
          <w:rtl/>
        </w:rPr>
        <w:t xml:space="preserve">סעיף </w:t>
      </w:r>
      <w:r w:rsidR="00575BEE">
        <w:rPr>
          <w:rFonts w:hint="cs"/>
          <w:b/>
          <w:bCs/>
          <w:rtl/>
        </w:rPr>
        <w:t>27</w:t>
      </w:r>
      <w:r>
        <w:rPr>
          <w:rFonts w:hint="cs"/>
          <w:rtl/>
        </w:rPr>
        <w:t xml:space="preserve"> </w:t>
      </w:r>
      <w:r w:rsidR="009B66FF">
        <w:rPr>
          <w:rtl/>
        </w:rPr>
        <w:tab/>
      </w:r>
      <w:r>
        <w:rPr>
          <w:rFonts w:hint="cs"/>
          <w:rtl/>
        </w:rPr>
        <w:t xml:space="preserve">מוצע להסמיך את השר להתקין תקנות לעניין הוראות המעבר. לפי המוצע, השר יקבע הוראות בנוגע להגשת בקשה לרישום אדם שעסק בייעוץ משכנתאות ערב תחילתו של החוק וכן בנוגע למתן תעודת רישום זמנית. </w:t>
      </w:r>
    </w:p>
    <w:p w14:paraId="7F6961CB" w14:textId="77777777" w:rsidR="00E13C27" w:rsidRDefault="00E13C27" w:rsidP="00E13C27">
      <w:pPr>
        <w:pStyle w:val="Hesber"/>
        <w:rPr>
          <w:rtl/>
        </w:rPr>
      </w:pPr>
      <w:bookmarkStart w:id="8" w:name="_GoBack"/>
      <w:bookmarkEnd w:id="8"/>
    </w:p>
    <w:p w14:paraId="2BBAC8E1" w14:textId="77777777" w:rsidR="00F53283" w:rsidRDefault="003F3DB4">
      <w:pPr>
        <w:spacing w:before="0" w:line="360" w:lineRule="auto"/>
        <w:jc w:val="left"/>
      </w:pPr>
      <w:bookmarkStart w:id="9" w:name="selectedDocDateB"/>
      <w:bookmarkEnd w:id="9"/>
      <w:r>
        <w:rPr>
          <w:rFonts w:ascii="David" w:eastAsia="David" w:hAnsi="David" w:cs="David" w:hint="cs"/>
          <w:sz w:val="26"/>
          <w:szCs w:val="26"/>
          <w:rtl/>
        </w:rPr>
        <w:t>--------------------------------</w:t>
      </w:r>
    </w:p>
    <w:p w14:paraId="37B9317C" w14:textId="77777777" w:rsidR="00F53283" w:rsidRDefault="003F3DB4">
      <w:pPr>
        <w:spacing w:before="0" w:line="360" w:lineRule="auto"/>
        <w:jc w:val="left"/>
      </w:pPr>
      <w:r>
        <w:rPr>
          <w:rFonts w:ascii="David" w:eastAsia="David" w:hAnsi="David" w:cs="David" w:hint="cs"/>
          <w:sz w:val="26"/>
          <w:szCs w:val="26"/>
          <w:rtl/>
        </w:rPr>
        <w:t>הוגשה ליו"ר הכנסת והסגנים</w:t>
      </w:r>
    </w:p>
    <w:p w14:paraId="56AC4267" w14:textId="77777777" w:rsidR="00F53283" w:rsidRDefault="003F3DB4">
      <w:pPr>
        <w:spacing w:before="0" w:line="360" w:lineRule="auto"/>
        <w:jc w:val="left"/>
      </w:pPr>
      <w:r>
        <w:rPr>
          <w:rFonts w:ascii="David" w:eastAsia="David" w:hAnsi="David" w:cs="David" w:hint="cs"/>
          <w:sz w:val="26"/>
          <w:szCs w:val="26"/>
          <w:rtl/>
        </w:rPr>
        <w:t>והונחה על שולחן הכנסת ביום</w:t>
      </w:r>
    </w:p>
    <w:p w14:paraId="297C59E3" w14:textId="77777777" w:rsidR="00F53283" w:rsidRDefault="003F3DB4">
      <w:pPr>
        <w:spacing w:before="0" w:line="360" w:lineRule="auto"/>
        <w:jc w:val="left"/>
      </w:pPr>
      <w:r>
        <w:rPr>
          <w:rFonts w:ascii="David" w:eastAsia="David" w:hAnsi="David" w:cs="David" w:hint="cs"/>
          <w:sz w:val="26"/>
          <w:szCs w:val="26"/>
          <w:rtl/>
        </w:rPr>
        <w:t xml:space="preserve">כ"ד בחשוון התשפ"ה (25.11.2024) </w:t>
      </w:r>
    </w:p>
    <w:p w14:paraId="16C55782" w14:textId="77777777" w:rsidR="00F53283" w:rsidRDefault="00F53283">
      <w:pPr>
        <w:spacing w:before="0" w:line="276" w:lineRule="auto"/>
        <w:jc w:val="left"/>
      </w:pPr>
    </w:p>
    <w:sectPr w:rsidR="00F53283"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B55E9E" w:rsidRDefault="00B55E9E">
      <w:r>
        <w:separator/>
      </w:r>
    </w:p>
  </w:endnote>
  <w:endnote w:type="continuationSeparator" w:id="0">
    <w:p w14:paraId="0E546755" w14:textId="77777777" w:rsidR="00B55E9E" w:rsidRDefault="00B55E9E">
      <w:r>
        <w:continuationSeparator/>
      </w:r>
    </w:p>
  </w:endnote>
  <w:endnote w:type="continuationNotice" w:id="1">
    <w:p w14:paraId="24369900" w14:textId="77777777" w:rsidR="00B55E9E" w:rsidRDefault="00B55E9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B55E9E" w:rsidRDefault="00B55E9E"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B55E9E" w:rsidRDefault="00B55E9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0FE7625F" w:rsidR="00B55E9E" w:rsidRDefault="00B55E9E"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9B66FF">
      <w:rPr>
        <w:rStyle w:val="aa"/>
        <w:noProof/>
        <w:rtl/>
      </w:rPr>
      <w:t>14</w:t>
    </w:r>
    <w:r>
      <w:rPr>
        <w:rStyle w:val="aa"/>
        <w:rtl/>
      </w:rPr>
      <w:fldChar w:fldCharType="end"/>
    </w:r>
  </w:p>
  <w:p w14:paraId="7F6961D8" w14:textId="77777777" w:rsidR="00B55E9E" w:rsidRDefault="00B55E9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B55E9E" w:rsidRDefault="00B55E9E">
      <w:r>
        <w:separator/>
      </w:r>
    </w:p>
  </w:footnote>
  <w:footnote w:type="continuationSeparator" w:id="0">
    <w:p w14:paraId="401CF485" w14:textId="77777777" w:rsidR="00B55E9E" w:rsidRDefault="00B55E9E">
      <w:r>
        <w:continuationSeparator/>
      </w:r>
    </w:p>
  </w:footnote>
  <w:footnote w:type="continuationNotice" w:id="1">
    <w:p w14:paraId="173A6451" w14:textId="77777777" w:rsidR="00B55E9E" w:rsidRDefault="00B55E9E"/>
  </w:footnote>
  <w:footnote w:id="2">
    <w:p w14:paraId="77C208E6" w14:textId="77777777" w:rsidR="00B55E9E" w:rsidRDefault="00B55E9E" w:rsidP="0045086B">
      <w:pPr>
        <w:pStyle w:val="a4"/>
      </w:pPr>
      <w:r>
        <w:rPr>
          <w:rStyle w:val="a5"/>
        </w:rPr>
        <w:footnoteRef/>
      </w:r>
      <w:r>
        <w:rPr>
          <w:rtl/>
        </w:rPr>
        <w:t xml:space="preserve"> </w:t>
      </w:r>
      <w:r>
        <w:rPr>
          <w:rFonts w:hint="cs"/>
          <w:rtl/>
        </w:rPr>
        <w:t>ס"ח התשפ"ב, עמ' 288.</w:t>
      </w:r>
    </w:p>
  </w:footnote>
  <w:footnote w:id="3">
    <w:p w14:paraId="2D9E153E" w14:textId="77777777" w:rsidR="00B55E9E" w:rsidRDefault="00B55E9E" w:rsidP="00876039">
      <w:pPr>
        <w:pStyle w:val="a4"/>
      </w:pPr>
      <w:r>
        <w:rPr>
          <w:rStyle w:val="a5"/>
        </w:rPr>
        <w:footnoteRef/>
      </w:r>
      <w:r>
        <w:rPr>
          <w:rtl/>
        </w:rPr>
        <w:t xml:space="preserve"> </w:t>
      </w:r>
      <w:r>
        <w:rPr>
          <w:rFonts w:hint="cs"/>
          <w:rtl/>
        </w:rPr>
        <w:t>ס"ח התש"ע, עמ' 452.</w:t>
      </w:r>
    </w:p>
  </w:footnote>
  <w:footnote w:id="4">
    <w:p w14:paraId="24A1C5F7" w14:textId="77777777" w:rsidR="00B55E9E" w:rsidRDefault="00B55E9E" w:rsidP="00876039">
      <w:pPr>
        <w:pStyle w:val="a4"/>
      </w:pPr>
      <w:r>
        <w:rPr>
          <w:rStyle w:val="a5"/>
        </w:rPr>
        <w:footnoteRef/>
      </w:r>
      <w:r>
        <w:rPr>
          <w:rtl/>
        </w:rPr>
        <w:t xml:space="preserve"> </w:t>
      </w:r>
      <w:r>
        <w:rPr>
          <w:rFonts w:hint="cs"/>
          <w:rtl/>
        </w:rPr>
        <w:t>ס"ח התש"ם, עמ' 944.</w:t>
      </w:r>
    </w:p>
  </w:footnote>
  <w:footnote w:id="5">
    <w:p w14:paraId="6D34516C" w14:textId="77777777" w:rsidR="00B55E9E" w:rsidRDefault="00B55E9E" w:rsidP="00876039">
      <w:pPr>
        <w:pStyle w:val="a4"/>
      </w:pPr>
      <w:r>
        <w:rPr>
          <w:rStyle w:val="a5"/>
        </w:rPr>
        <w:footnoteRef/>
      </w:r>
      <w:r>
        <w:rPr>
          <w:rtl/>
        </w:rPr>
        <w:t xml:space="preserve"> </w:t>
      </w:r>
      <w:r>
        <w:rPr>
          <w:rFonts w:hint="cs"/>
          <w:rtl/>
        </w:rPr>
        <w:t>ס"ח התשל"ז, עמ' 266.</w:t>
      </w:r>
    </w:p>
  </w:footnote>
  <w:footnote w:id="6">
    <w:p w14:paraId="0B247B06" w14:textId="77777777" w:rsidR="00B55E9E" w:rsidRDefault="00B55E9E" w:rsidP="00876039">
      <w:pPr>
        <w:pStyle w:val="a4"/>
      </w:pPr>
      <w:r>
        <w:rPr>
          <w:rStyle w:val="a5"/>
        </w:rPr>
        <w:footnoteRef/>
      </w:r>
      <w:r>
        <w:rPr>
          <w:rtl/>
        </w:rPr>
        <w:t xml:space="preserve"> </w:t>
      </w:r>
      <w:r>
        <w:rPr>
          <w:rFonts w:hint="cs"/>
          <w:rtl/>
        </w:rPr>
        <w:t>ס"ח התשכ"ט, עמ' 561.</w:t>
      </w:r>
    </w:p>
  </w:footnote>
  <w:footnote w:id="7">
    <w:p w14:paraId="1190401E" w14:textId="77777777" w:rsidR="00B55E9E" w:rsidRDefault="00B55E9E" w:rsidP="00876039">
      <w:pPr>
        <w:pStyle w:val="a4"/>
      </w:pPr>
      <w:r>
        <w:rPr>
          <w:rStyle w:val="a5"/>
        </w:rPr>
        <w:footnoteRef/>
      </w:r>
      <w:r>
        <w:rPr>
          <w:rtl/>
        </w:rPr>
        <w:t xml:space="preserve"> </w:t>
      </w:r>
      <w:r>
        <w:rPr>
          <w:rFonts w:hint="cs"/>
          <w:rtl/>
        </w:rPr>
        <w:t>ס"ח התשי"ח, עמ' 191.</w:t>
      </w:r>
    </w:p>
  </w:footnote>
  <w:footnote w:id="8">
    <w:p w14:paraId="65F87572" w14:textId="253488A8" w:rsidR="00B55E9E" w:rsidRDefault="00B55E9E" w:rsidP="003F3DB4">
      <w:pPr>
        <w:pStyle w:val="a4"/>
        <w:rPr>
          <w:rtl/>
        </w:rPr>
      </w:pPr>
      <w:r>
        <w:rPr>
          <w:rStyle w:val="a5"/>
        </w:rPr>
        <w:footnoteRef/>
      </w:r>
      <w:r>
        <w:rPr>
          <w:rtl/>
        </w:rPr>
        <w:t xml:space="preserve"> </w:t>
      </w:r>
      <w:r>
        <w:rPr>
          <w:rFonts w:hint="cs"/>
          <w:rtl/>
        </w:rPr>
        <w:t>ס"ח התשמ"ו, עמ' 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B2CAC"/>
    <w:multiLevelType w:val="hybridMultilevel"/>
    <w:tmpl w:val="529820D6"/>
    <w:lvl w:ilvl="0" w:tplc="F5126E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AB5629B"/>
    <w:multiLevelType w:val="hybridMultilevel"/>
    <w:tmpl w:val="25462FC2"/>
    <w:lvl w:ilvl="0" w:tplc="51A0C8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FC4194"/>
    <w:multiLevelType w:val="hybridMultilevel"/>
    <w:tmpl w:val="79A2DC0A"/>
    <w:lvl w:ilvl="0" w:tplc="BA40AB76">
      <w:start w:val="1"/>
      <w:numFmt w:val="hebrew1"/>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13" w15:restartNumberingAfterBreak="0">
    <w:nsid w:val="13CF0D51"/>
    <w:multiLevelType w:val="hybridMultilevel"/>
    <w:tmpl w:val="C21ADCBA"/>
    <w:lvl w:ilvl="0" w:tplc="563E1994">
      <w:start w:val="1"/>
      <w:numFmt w:val="decimal"/>
      <w:lvlText w:val="(%1)"/>
      <w:lvlJc w:val="left"/>
      <w:pPr>
        <w:ind w:left="720" w:hanging="360"/>
      </w:pPr>
      <w:rPr>
        <w:rFonts w:cs="David"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7972A86"/>
    <w:multiLevelType w:val="hybridMultilevel"/>
    <w:tmpl w:val="0D5028AE"/>
    <w:lvl w:ilvl="0" w:tplc="FB92B18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5"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CE350B"/>
    <w:multiLevelType w:val="hybridMultilevel"/>
    <w:tmpl w:val="9E00FFE2"/>
    <w:lvl w:ilvl="0" w:tplc="484267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EB76FE3"/>
    <w:multiLevelType w:val="hybridMultilevel"/>
    <w:tmpl w:val="F6E8E3D2"/>
    <w:lvl w:ilvl="0" w:tplc="FC025C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B86A82"/>
    <w:multiLevelType w:val="hybridMultilevel"/>
    <w:tmpl w:val="78DE70F8"/>
    <w:lvl w:ilvl="0" w:tplc="D1089674">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2F28A6"/>
    <w:multiLevelType w:val="hybridMultilevel"/>
    <w:tmpl w:val="4CCCB12A"/>
    <w:lvl w:ilvl="0" w:tplc="0B52B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514A8F"/>
    <w:multiLevelType w:val="hybridMultilevel"/>
    <w:tmpl w:val="058C3424"/>
    <w:lvl w:ilvl="0" w:tplc="CA20AF36">
      <w:start w:val="1"/>
      <w:numFmt w:val="decimal"/>
      <w:lvlText w:val="(%1)"/>
      <w:lvlJc w:val="left"/>
      <w:pPr>
        <w:ind w:left="1080" w:hanging="360"/>
      </w:pPr>
      <w:rPr>
        <w:rFonts w:hint="default"/>
        <w:b/>
        <w:bCs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46BB2489"/>
    <w:multiLevelType w:val="hybridMultilevel"/>
    <w:tmpl w:val="09FEC9EE"/>
    <w:lvl w:ilvl="0" w:tplc="90104F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8F476A"/>
    <w:multiLevelType w:val="hybridMultilevel"/>
    <w:tmpl w:val="897E1986"/>
    <w:lvl w:ilvl="0" w:tplc="79285AC2">
      <w:start w:val="1"/>
      <w:numFmt w:val="hebrew1"/>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ABE132C"/>
    <w:multiLevelType w:val="hybridMultilevel"/>
    <w:tmpl w:val="5D52AC3C"/>
    <w:lvl w:ilvl="0" w:tplc="A5E6D60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5" w15:restartNumberingAfterBreak="0">
    <w:nsid w:val="4F1A6F20"/>
    <w:multiLevelType w:val="hybridMultilevel"/>
    <w:tmpl w:val="D4F2F8AA"/>
    <w:lvl w:ilvl="0" w:tplc="786AE2E8">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A56C17"/>
    <w:multiLevelType w:val="hybridMultilevel"/>
    <w:tmpl w:val="7186BECA"/>
    <w:lvl w:ilvl="0" w:tplc="958455B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7" w15:restartNumberingAfterBreak="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3B28B0"/>
    <w:multiLevelType w:val="hybridMultilevel"/>
    <w:tmpl w:val="41ACEA96"/>
    <w:lvl w:ilvl="0" w:tplc="06A8C010">
      <w:start w:val="1"/>
      <w:numFmt w:val="decimal"/>
      <w:pStyle w:val="TOC3"/>
      <w:lvlText w:val="%1."/>
      <w:lvlJc w:val="left"/>
      <w:pPr>
        <w:ind w:left="1287" w:hanging="360"/>
      </w:pPr>
      <w:rPr>
        <w:rFonts w:cs="David" w:hint="default"/>
        <w:bCs w:val="0"/>
        <w:iCs w:val="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60C47DCA"/>
    <w:multiLevelType w:val="hybridMultilevel"/>
    <w:tmpl w:val="1A989B9A"/>
    <w:lvl w:ilvl="0" w:tplc="00E6B7BC">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364447B"/>
    <w:multiLevelType w:val="hybridMultilevel"/>
    <w:tmpl w:val="BDFA95B6"/>
    <w:lvl w:ilvl="0" w:tplc="34CE198E">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8D5BCC"/>
    <w:multiLevelType w:val="hybridMultilevel"/>
    <w:tmpl w:val="C63EB154"/>
    <w:lvl w:ilvl="0" w:tplc="7CB22968">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0E2B0B"/>
    <w:multiLevelType w:val="hybridMultilevel"/>
    <w:tmpl w:val="25462FC2"/>
    <w:lvl w:ilvl="0" w:tplc="51A0C8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E309C3"/>
    <w:multiLevelType w:val="hybridMultilevel"/>
    <w:tmpl w:val="033A45B6"/>
    <w:lvl w:ilvl="0" w:tplc="430453C4">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6E033F8"/>
    <w:multiLevelType w:val="hybridMultilevel"/>
    <w:tmpl w:val="5CE2A278"/>
    <w:lvl w:ilvl="0" w:tplc="0F0EF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97453F"/>
    <w:multiLevelType w:val="hybridMultilevel"/>
    <w:tmpl w:val="983CD9BE"/>
    <w:lvl w:ilvl="0" w:tplc="0DF864B6">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34"/>
  </w:num>
  <w:num w:numId="13">
    <w:abstractNumId w:val="15"/>
  </w:num>
  <w:num w:numId="14">
    <w:abstractNumId w:val="35"/>
  </w:num>
  <w:num w:numId="15">
    <w:abstractNumId w:val="13"/>
  </w:num>
  <w:num w:numId="16">
    <w:abstractNumId w:val="26"/>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3"/>
  </w:num>
  <w:num w:numId="20">
    <w:abstractNumId w:val="24"/>
  </w:num>
  <w:num w:numId="21">
    <w:abstractNumId w:val="12"/>
  </w:num>
  <w:num w:numId="22">
    <w:abstractNumId w:val="23"/>
  </w:num>
  <w:num w:numId="23">
    <w:abstractNumId w:val="21"/>
  </w:num>
  <w:num w:numId="24">
    <w:abstractNumId w:val="22"/>
  </w:num>
  <w:num w:numId="25">
    <w:abstractNumId w:val="18"/>
  </w:num>
  <w:num w:numId="26">
    <w:abstractNumId w:val="17"/>
  </w:num>
  <w:num w:numId="27">
    <w:abstractNumId w:val="10"/>
  </w:num>
  <w:num w:numId="28">
    <w:abstractNumId w:val="11"/>
  </w:num>
  <w:num w:numId="29">
    <w:abstractNumId w:val="32"/>
  </w:num>
  <w:num w:numId="30">
    <w:abstractNumId w:val="36"/>
  </w:num>
  <w:num w:numId="31">
    <w:abstractNumId w:val="20"/>
  </w:num>
  <w:num w:numId="32">
    <w:abstractNumId w:val="27"/>
  </w:num>
  <w:num w:numId="33">
    <w:abstractNumId w:val="27"/>
    <w:lvlOverride w:ilvl="0">
      <w:startOverride w:val="1"/>
    </w:lvlOverride>
  </w:num>
  <w:num w:numId="34">
    <w:abstractNumId w:val="14"/>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25"/>
  </w:num>
  <w:num w:numId="39">
    <w:abstractNumId w:val="30"/>
  </w:num>
  <w:num w:numId="40">
    <w:abstractNumId w:val="37"/>
  </w:num>
  <w:num w:numId="41">
    <w:abstractNumId w:val="19"/>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0B2EFD"/>
    <w:rsid w:val="00102B6B"/>
    <w:rsid w:val="001052D4"/>
    <w:rsid w:val="0010644B"/>
    <w:rsid w:val="001207F8"/>
    <w:rsid w:val="00121924"/>
    <w:rsid w:val="001279A8"/>
    <w:rsid w:val="0013257B"/>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D6E38"/>
    <w:rsid w:val="003D74A0"/>
    <w:rsid w:val="003F3DB4"/>
    <w:rsid w:val="004033D8"/>
    <w:rsid w:val="004073F0"/>
    <w:rsid w:val="00412A7D"/>
    <w:rsid w:val="00416B4D"/>
    <w:rsid w:val="00417CFC"/>
    <w:rsid w:val="0045086B"/>
    <w:rsid w:val="004A06DC"/>
    <w:rsid w:val="004B24ED"/>
    <w:rsid w:val="004B6625"/>
    <w:rsid w:val="004D2D82"/>
    <w:rsid w:val="004D3876"/>
    <w:rsid w:val="004E4552"/>
    <w:rsid w:val="004E6CDF"/>
    <w:rsid w:val="00553C9D"/>
    <w:rsid w:val="00562A66"/>
    <w:rsid w:val="00575BEE"/>
    <w:rsid w:val="005B064E"/>
    <w:rsid w:val="005D51AE"/>
    <w:rsid w:val="0062674B"/>
    <w:rsid w:val="006363B2"/>
    <w:rsid w:val="00644940"/>
    <w:rsid w:val="006818A9"/>
    <w:rsid w:val="006A2D81"/>
    <w:rsid w:val="006B04E9"/>
    <w:rsid w:val="006B3F55"/>
    <w:rsid w:val="006C1D0D"/>
    <w:rsid w:val="0070601E"/>
    <w:rsid w:val="00712C72"/>
    <w:rsid w:val="00735FE9"/>
    <w:rsid w:val="00740BB0"/>
    <w:rsid w:val="00763CAA"/>
    <w:rsid w:val="00765F66"/>
    <w:rsid w:val="0078159E"/>
    <w:rsid w:val="0078664F"/>
    <w:rsid w:val="007A27CE"/>
    <w:rsid w:val="007C3FA6"/>
    <w:rsid w:val="007D585A"/>
    <w:rsid w:val="007D5A12"/>
    <w:rsid w:val="007E59F9"/>
    <w:rsid w:val="00810BCD"/>
    <w:rsid w:val="00812C98"/>
    <w:rsid w:val="00814D92"/>
    <w:rsid w:val="00821A3E"/>
    <w:rsid w:val="0083181D"/>
    <w:rsid w:val="00843EB2"/>
    <w:rsid w:val="00865572"/>
    <w:rsid w:val="00874BBC"/>
    <w:rsid w:val="00876039"/>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32A59"/>
    <w:rsid w:val="00943386"/>
    <w:rsid w:val="009456B6"/>
    <w:rsid w:val="00957589"/>
    <w:rsid w:val="00966D06"/>
    <w:rsid w:val="00982412"/>
    <w:rsid w:val="00983A8D"/>
    <w:rsid w:val="009A0DB8"/>
    <w:rsid w:val="009A7257"/>
    <w:rsid w:val="009B66FF"/>
    <w:rsid w:val="009D6298"/>
    <w:rsid w:val="009D6E0A"/>
    <w:rsid w:val="009E1E33"/>
    <w:rsid w:val="00A14672"/>
    <w:rsid w:val="00A26BD6"/>
    <w:rsid w:val="00A443CF"/>
    <w:rsid w:val="00A6611D"/>
    <w:rsid w:val="00A82CB7"/>
    <w:rsid w:val="00A942C1"/>
    <w:rsid w:val="00AA2F03"/>
    <w:rsid w:val="00AC36F7"/>
    <w:rsid w:val="00AC63A4"/>
    <w:rsid w:val="00AD239E"/>
    <w:rsid w:val="00AF4BC7"/>
    <w:rsid w:val="00B10265"/>
    <w:rsid w:val="00B16A99"/>
    <w:rsid w:val="00B21211"/>
    <w:rsid w:val="00B35784"/>
    <w:rsid w:val="00B55E9E"/>
    <w:rsid w:val="00B733A7"/>
    <w:rsid w:val="00B75C91"/>
    <w:rsid w:val="00B975AD"/>
    <w:rsid w:val="00BC45FB"/>
    <w:rsid w:val="00BD2206"/>
    <w:rsid w:val="00BF148D"/>
    <w:rsid w:val="00C23B1A"/>
    <w:rsid w:val="00C310EB"/>
    <w:rsid w:val="00C9176A"/>
    <w:rsid w:val="00CA5537"/>
    <w:rsid w:val="00CF1AA2"/>
    <w:rsid w:val="00D142D3"/>
    <w:rsid w:val="00D17774"/>
    <w:rsid w:val="00D622FC"/>
    <w:rsid w:val="00D63620"/>
    <w:rsid w:val="00D8410D"/>
    <w:rsid w:val="00D867D7"/>
    <w:rsid w:val="00DB7060"/>
    <w:rsid w:val="00DE3153"/>
    <w:rsid w:val="00E06736"/>
    <w:rsid w:val="00E13C27"/>
    <w:rsid w:val="00E20B1B"/>
    <w:rsid w:val="00E33BBD"/>
    <w:rsid w:val="00E374F2"/>
    <w:rsid w:val="00E45103"/>
    <w:rsid w:val="00E55A60"/>
    <w:rsid w:val="00E62778"/>
    <w:rsid w:val="00E635A2"/>
    <w:rsid w:val="00E63D38"/>
    <w:rsid w:val="00E665B9"/>
    <w:rsid w:val="00EA01E6"/>
    <w:rsid w:val="00EA3DE8"/>
    <w:rsid w:val="00EA758F"/>
    <w:rsid w:val="00ED2E00"/>
    <w:rsid w:val="00ED4A6F"/>
    <w:rsid w:val="00EF3A3A"/>
    <w:rsid w:val="00F06918"/>
    <w:rsid w:val="00F53283"/>
    <w:rsid w:val="00F628D6"/>
    <w:rsid w:val="00F67051"/>
    <w:rsid w:val="00F86A1E"/>
    <w:rsid w:val="00FA5E88"/>
    <w:rsid w:val="00FE05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3A25C9E6-759C-450E-96D8-5FD811A3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paragraph" w:styleId="1">
    <w:name w:val="heading 1"/>
    <w:basedOn w:val="a"/>
    <w:next w:val="a"/>
    <w:link w:val="10"/>
    <w:uiPriority w:val="9"/>
    <w:qFormat/>
    <w:rsid w:val="00876039"/>
    <w:pPr>
      <w:keepNext/>
      <w:keepLines/>
      <w:autoSpaceDE/>
      <w:autoSpaceDN/>
      <w:adjustRightInd/>
      <w:spacing w:before="240" w:line="360" w:lineRule="auto"/>
      <w:ind w:left="340" w:firstLine="0"/>
      <w:contextualSpacing/>
      <w:jc w:val="center"/>
      <w:textAlignment w:val="auto"/>
      <w:outlineLvl w:val="0"/>
    </w:pPr>
    <w:rPr>
      <w:rFonts w:asciiTheme="majorHAnsi" w:eastAsiaTheme="majorEastAsia" w:hAnsiTheme="majorHAnsi" w:cs="David"/>
      <w:bCs/>
      <w:color w:val="auto"/>
      <w:spacing w:val="0"/>
      <w:sz w:val="32"/>
      <w:szCs w:val="36"/>
      <w:lang w:eastAsia="en-US"/>
    </w:rPr>
  </w:style>
  <w:style w:type="paragraph" w:styleId="2">
    <w:name w:val="heading 2"/>
    <w:basedOn w:val="a"/>
    <w:next w:val="a"/>
    <w:link w:val="20"/>
    <w:unhideWhenUsed/>
    <w:qFormat/>
    <w:rsid w:val="00876039"/>
    <w:pPr>
      <w:autoSpaceDE/>
      <w:autoSpaceDN/>
      <w:adjustRightInd/>
      <w:spacing w:before="0" w:line="360" w:lineRule="auto"/>
      <w:ind w:firstLine="0"/>
      <w:contextualSpacing/>
      <w:jc w:val="left"/>
      <w:textAlignment w:val="auto"/>
      <w:outlineLvl w:val="1"/>
    </w:pPr>
    <w:rPr>
      <w:rFonts w:asciiTheme="majorHAnsi" w:eastAsiaTheme="majorEastAsia" w:hAnsiTheme="majorHAnsi" w:cs="David"/>
      <w:bCs/>
      <w:color w:val="auto"/>
      <w:spacing w:val="0"/>
      <w:sz w:val="26"/>
      <w:szCs w:val="36"/>
      <w:u w:val="single"/>
      <w:lang w:eastAsia="en-US"/>
    </w:rPr>
  </w:style>
  <w:style w:type="paragraph" w:styleId="3">
    <w:name w:val="heading 3"/>
    <w:basedOn w:val="a"/>
    <w:next w:val="a"/>
    <w:link w:val="30"/>
    <w:unhideWhenUsed/>
    <w:qFormat/>
    <w:rsid w:val="00876039"/>
    <w:pPr>
      <w:autoSpaceDE/>
      <w:autoSpaceDN/>
      <w:adjustRightInd/>
      <w:spacing w:before="40" w:line="360" w:lineRule="auto"/>
      <w:ind w:firstLine="0"/>
      <w:contextualSpacing/>
      <w:jc w:val="left"/>
      <w:textAlignment w:val="auto"/>
      <w:outlineLvl w:val="2"/>
    </w:pPr>
    <w:rPr>
      <w:rFonts w:asciiTheme="majorHAnsi" w:eastAsiaTheme="majorEastAsia" w:hAnsiTheme="majorHAnsi" w:cs="David"/>
      <w:color w:val="auto"/>
      <w:spacing w:val="0"/>
      <w:sz w:val="24"/>
      <w:szCs w:val="28"/>
      <w:u w:val="double"/>
      <w:lang w:eastAsia="en-US"/>
    </w:rPr>
  </w:style>
  <w:style w:type="paragraph" w:styleId="4">
    <w:name w:val="heading 4"/>
    <w:basedOn w:val="a"/>
    <w:next w:val="a"/>
    <w:link w:val="40"/>
    <w:uiPriority w:val="9"/>
    <w:unhideWhenUsed/>
    <w:qFormat/>
    <w:rsid w:val="00876039"/>
    <w:pPr>
      <w:numPr>
        <w:numId w:val="32"/>
      </w:numPr>
      <w:autoSpaceDE/>
      <w:autoSpaceDN/>
      <w:adjustRightInd/>
      <w:spacing w:before="40" w:after="120" w:line="360" w:lineRule="auto"/>
      <w:contextualSpacing/>
      <w:textAlignment w:val="auto"/>
      <w:outlineLvl w:val="3"/>
    </w:pPr>
    <w:rPr>
      <w:rFonts w:ascii="David" w:eastAsiaTheme="minorHAnsi" w:hAnsi="David" w:cs="David"/>
      <w:b/>
      <w:bCs/>
      <w:color w:val="000000" w:themeColor="text1"/>
      <w:spacing w:val="0"/>
      <w:sz w:val="24"/>
      <w:szCs w:val="28"/>
      <w:lang w:eastAsia="en-US"/>
    </w:rPr>
  </w:style>
  <w:style w:type="paragraph" w:styleId="5">
    <w:name w:val="heading 5"/>
    <w:basedOn w:val="a"/>
    <w:next w:val="a"/>
    <w:link w:val="50"/>
    <w:uiPriority w:val="9"/>
    <w:unhideWhenUsed/>
    <w:qFormat/>
    <w:rsid w:val="00876039"/>
    <w:pPr>
      <w:autoSpaceDE/>
      <w:autoSpaceDN/>
      <w:adjustRightInd/>
      <w:spacing w:before="0" w:line="259" w:lineRule="auto"/>
      <w:ind w:left="340" w:firstLine="0"/>
      <w:contextualSpacing/>
      <w:textAlignment w:val="auto"/>
      <w:outlineLvl w:val="4"/>
    </w:pPr>
    <w:rPr>
      <w:rFonts w:ascii="David" w:eastAsiaTheme="minorHAnsi" w:hAnsi="David" w:cs="David"/>
      <w:color w:val="000000" w:themeColor="text1"/>
      <w:spacing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link w:val="TableText0"/>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aliases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6">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7">
    <w:name w:val="header"/>
    <w:basedOn w:val="a"/>
    <w:rsid w:val="00B975AD"/>
    <w:pPr>
      <w:tabs>
        <w:tab w:val="center" w:pos="4153"/>
        <w:tab w:val="right" w:pos="8306"/>
      </w:tabs>
    </w:pPr>
  </w:style>
  <w:style w:type="paragraph" w:styleId="a8">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b">
    <w:name w:val="Balloon Text"/>
    <w:basedOn w:val="a"/>
    <w:link w:val="ac"/>
    <w:semiHidden/>
    <w:unhideWhenUsed/>
    <w:rsid w:val="00325C14"/>
    <w:pPr>
      <w:spacing w:before="0"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 w:type="paragraph" w:styleId="ad">
    <w:name w:val="List Paragraph"/>
    <w:basedOn w:val="a"/>
    <w:uiPriority w:val="34"/>
    <w:qFormat/>
    <w:rsid w:val="00932A59"/>
    <w:pPr>
      <w:ind w:left="720"/>
      <w:contextualSpacing/>
    </w:pPr>
  </w:style>
  <w:style w:type="character" w:customStyle="1" w:styleId="TableText0">
    <w:name w:val="Table Text תו"/>
    <w:link w:val="TableText"/>
    <w:rsid w:val="00CA5537"/>
    <w:rPr>
      <w:rFonts w:ascii="Arial" w:eastAsia="Arial Unicode MS" w:hAnsi="Arial" w:cs="David"/>
      <w:snapToGrid w:val="0"/>
      <w:color w:val="000000"/>
      <w:szCs w:val="26"/>
      <w:lang w:eastAsia="ja-JP"/>
    </w:rPr>
  </w:style>
  <w:style w:type="character" w:customStyle="1" w:styleId="10">
    <w:name w:val="כותרת 1 תו"/>
    <w:basedOn w:val="a0"/>
    <w:link w:val="1"/>
    <w:uiPriority w:val="9"/>
    <w:rsid w:val="00876039"/>
    <w:rPr>
      <w:rFonts w:asciiTheme="majorHAnsi" w:eastAsiaTheme="majorEastAsia" w:hAnsiTheme="majorHAnsi" w:cs="David"/>
      <w:bCs/>
      <w:sz w:val="32"/>
      <w:szCs w:val="36"/>
    </w:rPr>
  </w:style>
  <w:style w:type="character" w:customStyle="1" w:styleId="20">
    <w:name w:val="כותרת 2 תו"/>
    <w:basedOn w:val="a0"/>
    <w:link w:val="2"/>
    <w:rsid w:val="00876039"/>
    <w:rPr>
      <w:rFonts w:asciiTheme="majorHAnsi" w:eastAsiaTheme="majorEastAsia" w:hAnsiTheme="majorHAnsi" w:cs="David"/>
      <w:bCs/>
      <w:sz w:val="26"/>
      <w:szCs w:val="36"/>
      <w:u w:val="single"/>
    </w:rPr>
  </w:style>
  <w:style w:type="character" w:customStyle="1" w:styleId="30">
    <w:name w:val="כותרת 3 תו"/>
    <w:basedOn w:val="a0"/>
    <w:link w:val="3"/>
    <w:rsid w:val="00876039"/>
    <w:rPr>
      <w:rFonts w:asciiTheme="majorHAnsi" w:eastAsiaTheme="majorEastAsia" w:hAnsiTheme="majorHAnsi" w:cs="David"/>
      <w:sz w:val="24"/>
      <w:szCs w:val="28"/>
      <w:u w:val="double"/>
    </w:rPr>
  </w:style>
  <w:style w:type="character" w:customStyle="1" w:styleId="40">
    <w:name w:val="כותרת 4 תו"/>
    <w:basedOn w:val="a0"/>
    <w:link w:val="4"/>
    <w:uiPriority w:val="9"/>
    <w:rsid w:val="00876039"/>
    <w:rPr>
      <w:rFonts w:ascii="David" w:eastAsiaTheme="minorHAnsi" w:hAnsi="David" w:cs="David"/>
      <w:b/>
      <w:bCs/>
      <w:color w:val="000000" w:themeColor="text1"/>
      <w:sz w:val="24"/>
      <w:szCs w:val="28"/>
    </w:rPr>
  </w:style>
  <w:style w:type="character" w:customStyle="1" w:styleId="50">
    <w:name w:val="כותרת 5 תו"/>
    <w:basedOn w:val="a0"/>
    <w:link w:val="5"/>
    <w:uiPriority w:val="9"/>
    <w:rsid w:val="00876039"/>
    <w:rPr>
      <w:rFonts w:ascii="David" w:eastAsiaTheme="minorHAnsi" w:hAnsi="David" w:cs="David"/>
      <w:color w:val="000000" w:themeColor="text1"/>
      <w:sz w:val="24"/>
      <w:szCs w:val="24"/>
    </w:rPr>
  </w:style>
  <w:style w:type="paragraph" w:styleId="ae">
    <w:name w:val="TOC Heading"/>
    <w:basedOn w:val="1"/>
    <w:next w:val="a"/>
    <w:uiPriority w:val="39"/>
    <w:unhideWhenUsed/>
    <w:qFormat/>
    <w:rsid w:val="00876039"/>
    <w:pPr>
      <w:widowControl/>
      <w:spacing w:before="120" w:after="120"/>
      <w:outlineLvl w:val="9"/>
    </w:pPr>
    <w:rPr>
      <w:rtl/>
      <w:cs/>
    </w:rPr>
  </w:style>
  <w:style w:type="paragraph" w:styleId="TOC1">
    <w:name w:val="toc 1"/>
    <w:basedOn w:val="a"/>
    <w:next w:val="a"/>
    <w:autoRedefine/>
    <w:uiPriority w:val="39"/>
    <w:unhideWhenUsed/>
    <w:rsid w:val="00876039"/>
    <w:pPr>
      <w:tabs>
        <w:tab w:val="right" w:leader="dot" w:pos="9629"/>
      </w:tabs>
      <w:autoSpaceDE/>
      <w:autoSpaceDN/>
      <w:adjustRightInd/>
      <w:spacing w:before="0" w:after="100" w:line="360" w:lineRule="auto"/>
      <w:ind w:left="340" w:firstLine="0"/>
      <w:contextualSpacing/>
      <w:textAlignment w:val="auto"/>
    </w:pPr>
    <w:rPr>
      <w:rFonts w:ascii="David" w:eastAsiaTheme="minorHAnsi" w:hAnsi="David" w:cs="David"/>
      <w:bCs/>
      <w:color w:val="auto"/>
      <w:spacing w:val="0"/>
      <w:sz w:val="24"/>
      <w:szCs w:val="22"/>
      <w:lang w:eastAsia="en-US"/>
    </w:rPr>
  </w:style>
  <w:style w:type="paragraph" w:styleId="TOC2">
    <w:name w:val="toc 2"/>
    <w:basedOn w:val="a"/>
    <w:next w:val="a"/>
    <w:uiPriority w:val="39"/>
    <w:unhideWhenUsed/>
    <w:rsid w:val="00876039"/>
    <w:pPr>
      <w:tabs>
        <w:tab w:val="right" w:leader="dot" w:pos="9628"/>
      </w:tabs>
      <w:autoSpaceDE/>
      <w:autoSpaceDN/>
      <w:adjustRightInd/>
      <w:spacing w:before="0" w:after="100" w:line="360" w:lineRule="auto"/>
      <w:ind w:left="340" w:firstLine="0"/>
      <w:contextualSpacing/>
      <w:textAlignment w:val="auto"/>
    </w:pPr>
    <w:rPr>
      <w:rFonts w:ascii="David" w:eastAsiaTheme="minorHAnsi" w:hAnsi="David" w:cs="David"/>
      <w:color w:val="auto"/>
      <w:spacing w:val="0"/>
      <w:sz w:val="24"/>
      <w:szCs w:val="22"/>
      <w:lang w:eastAsia="en-US"/>
    </w:rPr>
  </w:style>
  <w:style w:type="character" w:styleId="Hyperlink">
    <w:name w:val="Hyperlink"/>
    <w:basedOn w:val="a0"/>
    <w:uiPriority w:val="99"/>
    <w:unhideWhenUsed/>
    <w:rsid w:val="00876039"/>
    <w:rPr>
      <w:color w:val="0000FF" w:themeColor="hyperlink"/>
      <w:u w:val="single"/>
    </w:rPr>
  </w:style>
  <w:style w:type="paragraph" w:styleId="TOC3">
    <w:name w:val="toc 3"/>
    <w:basedOn w:val="a"/>
    <w:next w:val="a"/>
    <w:uiPriority w:val="39"/>
    <w:unhideWhenUsed/>
    <w:rsid w:val="00876039"/>
    <w:pPr>
      <w:numPr>
        <w:numId w:val="37"/>
      </w:numPr>
      <w:tabs>
        <w:tab w:val="right" w:leader="dot" w:pos="9629"/>
      </w:tabs>
      <w:autoSpaceDE/>
      <w:autoSpaceDN/>
      <w:adjustRightInd/>
      <w:spacing w:before="0" w:after="100" w:line="360" w:lineRule="auto"/>
      <w:ind w:left="811" w:hanging="357"/>
      <w:contextualSpacing/>
      <w:textAlignment w:val="auto"/>
    </w:pPr>
    <w:rPr>
      <w:rFonts w:ascii="David" w:eastAsiaTheme="minorHAnsi" w:hAnsi="David" w:cs="David"/>
      <w:color w:val="auto"/>
      <w:spacing w:val="0"/>
      <w:sz w:val="24"/>
      <w:szCs w:val="22"/>
      <w:lang w:eastAsia="en-US"/>
    </w:rPr>
  </w:style>
  <w:style w:type="paragraph" w:styleId="TOC4">
    <w:name w:val="toc 4"/>
    <w:basedOn w:val="a"/>
    <w:next w:val="a"/>
    <w:autoRedefine/>
    <w:unhideWhenUsed/>
    <w:qFormat/>
    <w:rsid w:val="00876039"/>
    <w:pPr>
      <w:tabs>
        <w:tab w:val="right" w:leader="dot" w:pos="9628"/>
      </w:tabs>
      <w:autoSpaceDE/>
      <w:autoSpaceDN/>
      <w:adjustRightInd/>
      <w:spacing w:before="0" w:after="100" w:line="360" w:lineRule="auto"/>
      <w:ind w:left="567" w:firstLine="0"/>
      <w:contextualSpacing/>
      <w:textAlignment w:val="auto"/>
    </w:pPr>
    <w:rPr>
      <w:rFonts w:asciiTheme="minorHAnsi" w:eastAsiaTheme="minorEastAsia" w:hAnsiTheme="minorHAnsi" w:cs="David"/>
      <w:noProof/>
      <w:color w:val="auto"/>
      <w:spacing w:val="0"/>
      <w:sz w:val="22"/>
      <w:szCs w:val="22"/>
      <w:lang w:eastAsia="en-US"/>
    </w:rPr>
  </w:style>
  <w:style w:type="paragraph" w:styleId="TOC5">
    <w:name w:val="toc 5"/>
    <w:basedOn w:val="a"/>
    <w:next w:val="a"/>
    <w:semiHidden/>
    <w:unhideWhenUsed/>
    <w:rsid w:val="00876039"/>
    <w:pPr>
      <w:tabs>
        <w:tab w:val="right" w:leader="dot" w:pos="9628"/>
      </w:tabs>
      <w:autoSpaceDE/>
      <w:autoSpaceDN/>
      <w:adjustRightInd/>
      <w:spacing w:before="0" w:after="100" w:line="360" w:lineRule="auto"/>
      <w:ind w:left="567" w:firstLine="0"/>
      <w:contextualSpacing/>
      <w:textAlignment w:val="auto"/>
    </w:pPr>
    <w:rPr>
      <w:rFonts w:ascii="David" w:eastAsiaTheme="minorHAnsi" w:hAnsi="David" w:cs="David"/>
      <w:color w:val="auto"/>
      <w:spacing w:val="0"/>
      <w:sz w:val="24"/>
      <w:szCs w:val="22"/>
      <w:lang w:eastAsia="en-US"/>
    </w:rPr>
  </w:style>
  <w:style w:type="paragraph" w:styleId="TOC6">
    <w:name w:val="toc 6"/>
    <w:basedOn w:val="a"/>
    <w:next w:val="a"/>
    <w:autoRedefine/>
    <w:semiHidden/>
    <w:unhideWhenUsed/>
    <w:rsid w:val="00876039"/>
    <w:pPr>
      <w:autoSpaceDE/>
      <w:autoSpaceDN/>
      <w:adjustRightInd/>
      <w:spacing w:before="0" w:after="100" w:line="360" w:lineRule="auto"/>
      <w:ind w:left="850" w:firstLine="0"/>
      <w:contextualSpacing/>
      <w:textAlignment w:val="auto"/>
    </w:pPr>
    <w:rPr>
      <w:rFonts w:ascii="David" w:eastAsiaTheme="minorHAnsi" w:hAnsi="David" w:cs="David"/>
      <w:color w:val="auto"/>
      <w:spacing w:val="0"/>
      <w:sz w:val="24"/>
      <w:szCs w:val="24"/>
      <w:lang w:eastAsia="en-US"/>
    </w:rPr>
  </w:style>
  <w:style w:type="paragraph" w:styleId="TOC7">
    <w:name w:val="toc 7"/>
    <w:basedOn w:val="a"/>
    <w:next w:val="a"/>
    <w:autoRedefine/>
    <w:semiHidden/>
    <w:unhideWhenUsed/>
    <w:rsid w:val="00876039"/>
    <w:pPr>
      <w:autoSpaceDE/>
      <w:autoSpaceDN/>
      <w:adjustRightInd/>
      <w:spacing w:before="0" w:after="100" w:line="360" w:lineRule="auto"/>
      <w:ind w:left="1020" w:firstLine="0"/>
      <w:contextualSpacing/>
      <w:textAlignment w:val="auto"/>
    </w:pPr>
    <w:rPr>
      <w:rFonts w:ascii="David" w:eastAsiaTheme="minorHAnsi" w:hAnsi="David" w:cs="David"/>
      <w:color w:val="auto"/>
      <w:spacing w:val="0"/>
      <w:sz w:val="24"/>
      <w:szCs w:val="24"/>
      <w:lang w:eastAsia="en-US"/>
    </w:rPr>
  </w:style>
  <w:style w:type="paragraph" w:styleId="TOC8">
    <w:name w:val="toc 8"/>
    <w:basedOn w:val="a"/>
    <w:next w:val="a"/>
    <w:autoRedefine/>
    <w:semiHidden/>
    <w:unhideWhenUsed/>
    <w:rsid w:val="00876039"/>
    <w:pPr>
      <w:autoSpaceDE/>
      <w:autoSpaceDN/>
      <w:adjustRightInd/>
      <w:spacing w:before="0" w:after="100" w:line="360" w:lineRule="auto"/>
      <w:ind w:left="1190" w:firstLine="0"/>
      <w:contextualSpacing/>
      <w:textAlignment w:val="auto"/>
    </w:pPr>
    <w:rPr>
      <w:rFonts w:ascii="David" w:eastAsiaTheme="minorHAnsi" w:hAnsi="David" w:cs="David"/>
      <w:color w:val="auto"/>
      <w:spacing w:val="0"/>
      <w:sz w:val="24"/>
      <w:szCs w:val="24"/>
      <w:lang w:eastAsia="en-US"/>
    </w:rPr>
  </w:style>
  <w:style w:type="paragraph" w:styleId="TOC9">
    <w:name w:val="toc 9"/>
    <w:basedOn w:val="a"/>
    <w:next w:val="a"/>
    <w:autoRedefine/>
    <w:semiHidden/>
    <w:unhideWhenUsed/>
    <w:rsid w:val="00876039"/>
    <w:pPr>
      <w:autoSpaceDE/>
      <w:autoSpaceDN/>
      <w:adjustRightInd/>
      <w:spacing w:before="0" w:after="100" w:line="360" w:lineRule="auto"/>
      <w:ind w:left="1360" w:firstLine="0"/>
      <w:contextualSpacing/>
      <w:textAlignment w:val="auto"/>
    </w:pPr>
    <w:rPr>
      <w:rFonts w:ascii="David" w:eastAsiaTheme="minorHAnsi" w:hAnsi="David" w:cs="David"/>
      <w:color w:val="auto"/>
      <w:spacing w:val="0"/>
      <w:sz w:val="24"/>
      <w:szCs w:val="24"/>
      <w:lang w:eastAsia="en-US"/>
    </w:rPr>
  </w:style>
  <w:style w:type="paragraph" w:customStyle="1" w:styleId="TableHead2">
    <w:name w:val="Table Head2"/>
    <w:basedOn w:val="TableHead"/>
    <w:qFormat/>
    <w:rsid w:val="00876039"/>
    <w:pPr>
      <w:autoSpaceDE/>
      <w:autoSpaceDN/>
      <w:adjustRightInd/>
      <w:contextualSpacing/>
      <w:textAlignment w:val="auto"/>
    </w:pPr>
    <w:rPr>
      <w:color w:val="auto"/>
      <w:lang w:eastAsia="en-US"/>
    </w:rPr>
  </w:style>
  <w:style w:type="paragraph" w:customStyle="1" w:styleId="TableSideHeading2">
    <w:name w:val="Table SideHeading2"/>
    <w:basedOn w:val="TableSideHeading"/>
    <w:autoRedefine/>
    <w:qFormat/>
    <w:rsid w:val="00876039"/>
    <w:pPr>
      <w:keepLines w:val="0"/>
      <w:autoSpaceDE/>
      <w:autoSpaceDN/>
      <w:adjustRightInd/>
      <w:ind w:right="0"/>
      <w:contextualSpacing/>
      <w:textAlignment w:val="auto"/>
    </w:pPr>
    <w:rPr>
      <w:color w:val="auto"/>
      <w:lang w:eastAsia="en-US"/>
    </w:rPr>
  </w:style>
  <w:style w:type="paragraph" w:customStyle="1" w:styleId="0">
    <w:name w:val="סגנון שורה ראשונה:  0  ס''מ"/>
    <w:basedOn w:val="2"/>
    <w:rsid w:val="00876039"/>
    <w:rPr>
      <w:rFonts w:eastAsia="Times New Roman"/>
    </w:rPr>
  </w:style>
  <w:style w:type="table" w:styleId="af">
    <w:name w:val="Table Grid"/>
    <w:basedOn w:val="a1"/>
    <w:rsid w:val="00876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87603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87603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0">
    <w:name w:val="טבלת חקיקה"/>
    <w:basedOn w:val="a1"/>
    <w:uiPriority w:val="99"/>
    <w:rsid w:val="00876039"/>
    <w:pPr>
      <w:jc w:val="center"/>
    </w:pPr>
    <w:rPr>
      <w:rFonts w:cstheme="minorBidi"/>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3">
    <w:name w:val="סגנון1"/>
    <w:basedOn w:val="a1"/>
    <w:uiPriority w:val="99"/>
    <w:rsid w:val="00876039"/>
    <w:tblPr/>
    <w:tblStylePr w:type="firstCol">
      <w:pPr>
        <w:keepNext w:val="0"/>
        <w:keepLines/>
        <w:pageBreakBefore w:val="0"/>
        <w:widowControl w:val="0"/>
        <w:suppressLineNumbers w:val="0"/>
        <w:suppressAutoHyphens w:val="0"/>
        <w:wordWrap/>
      </w:pPr>
    </w:tblStylePr>
  </w:style>
  <w:style w:type="character" w:styleId="af1">
    <w:name w:val="annotation reference"/>
    <w:basedOn w:val="a0"/>
    <w:semiHidden/>
    <w:unhideWhenUsed/>
    <w:rsid w:val="00876039"/>
    <w:rPr>
      <w:sz w:val="16"/>
      <w:szCs w:val="16"/>
    </w:rPr>
  </w:style>
  <w:style w:type="paragraph" w:styleId="af2">
    <w:name w:val="annotation text"/>
    <w:basedOn w:val="a"/>
    <w:link w:val="af3"/>
    <w:semiHidden/>
    <w:unhideWhenUsed/>
    <w:rsid w:val="00876039"/>
    <w:pPr>
      <w:autoSpaceDE/>
      <w:autoSpaceDN/>
      <w:adjustRightInd/>
      <w:spacing w:before="0" w:line="240" w:lineRule="auto"/>
      <w:ind w:left="340" w:firstLine="0"/>
      <w:contextualSpacing/>
      <w:textAlignment w:val="auto"/>
    </w:pPr>
    <w:rPr>
      <w:rFonts w:ascii="David" w:eastAsiaTheme="minorHAnsi" w:hAnsi="David" w:cs="David"/>
      <w:color w:val="auto"/>
      <w:spacing w:val="0"/>
      <w:sz w:val="20"/>
      <w:szCs w:val="20"/>
      <w:lang w:eastAsia="en-US"/>
    </w:rPr>
  </w:style>
  <w:style w:type="character" w:customStyle="1" w:styleId="af3">
    <w:name w:val="טקסט הערה תו"/>
    <w:basedOn w:val="a0"/>
    <w:link w:val="af2"/>
    <w:semiHidden/>
    <w:rsid w:val="00876039"/>
    <w:rPr>
      <w:rFonts w:ascii="David" w:eastAsiaTheme="minorHAnsi" w:hAnsi="David" w:cs="David"/>
    </w:rPr>
  </w:style>
  <w:style w:type="paragraph" w:styleId="af4">
    <w:name w:val="annotation subject"/>
    <w:basedOn w:val="af2"/>
    <w:next w:val="af2"/>
    <w:link w:val="af5"/>
    <w:semiHidden/>
    <w:unhideWhenUsed/>
    <w:rsid w:val="00876039"/>
    <w:rPr>
      <w:b/>
      <w:bCs/>
    </w:rPr>
  </w:style>
  <w:style w:type="character" w:customStyle="1" w:styleId="af5">
    <w:name w:val="נושא הערה תו"/>
    <w:basedOn w:val="af3"/>
    <w:link w:val="af4"/>
    <w:semiHidden/>
    <w:rsid w:val="00876039"/>
    <w:rPr>
      <w:rFonts w:ascii="David" w:eastAsiaTheme="minorHAnsi" w:hAnsi="David" w:cs="David"/>
      <w:b/>
      <w:bCs/>
    </w:rPr>
  </w:style>
  <w:style w:type="paragraph" w:styleId="af6">
    <w:name w:val="Revision"/>
    <w:hidden/>
    <w:uiPriority w:val="99"/>
    <w:semiHidden/>
    <w:rsid w:val="00876039"/>
    <w:rPr>
      <w:rFonts w:ascii="David" w:eastAsiaTheme="minorHAnsi" w:hAnsi="David"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54E21C28B32ECF49ADBB6A5BBBCCB3CD" ma:contentTypeVersion="" ma:contentTypeDescription="צור מסמך חדש." ma:contentTypeScope="" ma:versionID="f81d89568b860eeaa06327f0f2d2f14b">
  <xsd:schema xmlns:xsd="http://www.w3.org/2001/XMLSchema" xmlns:xs="http://www.w3.org/2001/XMLSchema" xmlns:p="http://schemas.microsoft.com/office/2006/metadata/properties" xmlns:ns2="290d5b49-c690-4c6f-bbb9-1e50dab33eee" targetNamespace="http://schemas.microsoft.com/office/2006/metadata/properties" ma:root="true" ma:fieldsID="a6db6e33f8462d87724f237088727803"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BD038E65-5CF2-4798-9D8D-EFCFB54C4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5b49-c690-4c6f-bbb9-1e50dab3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F4AFE3-9455-419C-8851-785A55F44517}">
  <ds:schemaRef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290d5b49-c690-4c6f-bbb9-1e50dab33ee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15404E8-D977-44CF-873C-42765CBC5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14</Pages>
  <Words>3828</Words>
  <Characters>21825</Characters>
  <Application>Microsoft Office Word</Application>
  <DocSecurity>0</DocSecurity>
  <Lines>181</Lines>
  <Paragraphs>51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25602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טליה ווייס עמר</cp:lastModifiedBy>
  <cp:revision>13</cp:revision>
  <cp:lastPrinted>2013-07-04T08:25:00Z</cp:lastPrinted>
  <dcterms:created xsi:type="dcterms:W3CDTF">2015-04-20T09:58:00Z</dcterms:created>
  <dcterms:modified xsi:type="dcterms:W3CDTF">2024-11-24T10:19:00Z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0x01010054E21C28B32ECF49ADBB6A5BBBCCB3CD</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2220194</vt:r8>
  </property>
</Properties>
</file>