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2221049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ולדימיר בליאק</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D63ECC1" w:rsidR="00E13C27" w:rsidRPr="00E06736" w:rsidRDefault="00904591" w:rsidP="00904591">
      <w:pPr>
        <w:pStyle w:val="David"/>
        <w:spacing w:line="240" w:lineRule="auto"/>
        <w:ind w:left="3544"/>
        <w:rPr>
          <w:rtl/>
        </w:rPr>
      </w:pPr>
      <w:r>
        <w:t xml:space="preserve">                                            </w:t>
      </w:r>
      <w:r w:rsidR="008F1308">
        <w:t xml:space="preserve"> </w:t>
      </w:r>
      <w:bookmarkStart w:id="6" w:name="Private_Number"/>
      <w:r w:rsidR="00B23265">
        <w:tab/>
      </w:r>
      <w:bookmarkStart w:id="7" w:name="_GoBack"/>
      <w:bookmarkEnd w:id="7"/>
      <w:r>
        <w:rPr>
          <w:rFonts w:hint="cs"/>
          <w:rtl/>
        </w:rPr>
        <w:t>פ/5008/25</w:t>
      </w:r>
      <w:bookmarkEnd w:id="6"/>
    </w:p>
    <w:p w14:paraId="7F6961AC" w14:textId="77777777" w:rsidR="00E13C27" w:rsidRDefault="00E13C27" w:rsidP="00E13C27">
      <w:pPr>
        <w:ind w:left="2880" w:firstLine="720"/>
        <w:rPr>
          <w:sz w:val="26"/>
          <w:szCs w:val="26"/>
          <w:rtl/>
        </w:rPr>
      </w:pPr>
    </w:p>
    <w:p w14:paraId="045A996C" w14:textId="3F41D349" w:rsidR="00CC7A7C" w:rsidRPr="00F67051" w:rsidRDefault="00CC7A7C" w:rsidP="00CC7A7C">
      <w:pPr>
        <w:pStyle w:val="HeadHatzaotHok"/>
        <w:rPr>
          <w:rtl/>
        </w:rPr>
      </w:pPr>
      <w:r>
        <w:rPr>
          <w:rFonts w:hint="cs"/>
          <w:rtl/>
        </w:rPr>
        <w:t>הצעת ח</w:t>
      </w:r>
      <w:r w:rsidR="00AE76C2">
        <w:rPr>
          <w:rFonts w:hint="cs"/>
          <w:rtl/>
        </w:rPr>
        <w:t>וק עוסק בכלכלת הפלטפורמה, התשפ"ה</w:t>
      </w:r>
      <w:r>
        <w:rPr>
          <w:rFonts w:hint="eastAsia"/>
          <w:rtl/>
        </w:rPr>
        <w:t>–</w:t>
      </w:r>
      <w:r>
        <w:rPr>
          <w:rFonts w:hint="cs"/>
          <w:rtl/>
        </w:rPr>
        <w:t>2024</w:t>
      </w:r>
    </w:p>
    <w:p w14:paraId="22BC6A4D" w14:textId="77777777" w:rsidR="00CC7A7C" w:rsidRDefault="00CC7A7C" w:rsidP="00CC7A7C">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CC7A7C" w:rsidRPr="001004EF" w14:paraId="0FA5AD3D" w14:textId="77777777" w:rsidTr="00C43E90">
        <w:trPr>
          <w:cantSplit/>
        </w:trPr>
        <w:tc>
          <w:tcPr>
            <w:tcW w:w="1871" w:type="dxa"/>
          </w:tcPr>
          <w:p w14:paraId="3146C9F1" w14:textId="77777777" w:rsidR="00CC7A7C" w:rsidRPr="000B48D5" w:rsidRDefault="00CC7A7C" w:rsidP="005630C8">
            <w:pPr>
              <w:pStyle w:val="TableSideHeading"/>
              <w:keepLines w:val="0"/>
              <w:rPr>
                <w:rtl/>
              </w:rPr>
            </w:pPr>
            <w:r>
              <w:rPr>
                <w:rFonts w:hint="cs"/>
                <w:rtl/>
              </w:rPr>
              <w:t>הגדרות</w:t>
            </w:r>
          </w:p>
        </w:tc>
        <w:tc>
          <w:tcPr>
            <w:tcW w:w="624" w:type="dxa"/>
          </w:tcPr>
          <w:p w14:paraId="03BDDE59" w14:textId="77777777" w:rsidR="00CC7A7C" w:rsidRDefault="00CC7A7C" w:rsidP="005630C8">
            <w:pPr>
              <w:pStyle w:val="TableText"/>
              <w:rPr>
                <w:rtl/>
              </w:rPr>
            </w:pPr>
            <w:r>
              <w:rPr>
                <w:rFonts w:hint="cs"/>
                <w:rtl/>
              </w:rPr>
              <w:t>1.</w:t>
            </w:r>
          </w:p>
        </w:tc>
        <w:tc>
          <w:tcPr>
            <w:tcW w:w="7143" w:type="dxa"/>
          </w:tcPr>
          <w:p w14:paraId="2607ADDD" w14:textId="77777777" w:rsidR="00CC7A7C" w:rsidRPr="005D34E1" w:rsidRDefault="00CC7A7C" w:rsidP="00C43E90">
            <w:pPr>
              <w:pStyle w:val="TableBlock"/>
              <w:rPr>
                <w:b/>
                <w:rtl/>
              </w:rPr>
            </w:pPr>
            <w:r>
              <w:rPr>
                <w:rFonts w:hint="cs"/>
                <w:b/>
                <w:rtl/>
              </w:rPr>
              <w:t xml:space="preserve">בחוק זה </w:t>
            </w:r>
            <w:r>
              <w:rPr>
                <w:rFonts w:hint="eastAsia"/>
                <w:b/>
                <w:rtl/>
              </w:rPr>
              <w:t>–</w:t>
            </w:r>
            <w:r>
              <w:rPr>
                <w:rFonts w:hint="cs"/>
                <w:b/>
                <w:rtl/>
              </w:rPr>
              <w:t xml:space="preserve"> </w:t>
            </w:r>
          </w:p>
        </w:tc>
      </w:tr>
      <w:tr w:rsidR="00CC7A7C" w:rsidRPr="001004EF" w14:paraId="6AE4F012" w14:textId="77777777" w:rsidTr="00C43E90">
        <w:trPr>
          <w:cantSplit/>
        </w:trPr>
        <w:tc>
          <w:tcPr>
            <w:tcW w:w="1871" w:type="dxa"/>
          </w:tcPr>
          <w:p w14:paraId="61F3A83E" w14:textId="77777777" w:rsidR="00CC7A7C" w:rsidRPr="000B48D5" w:rsidRDefault="00CC7A7C" w:rsidP="005630C8">
            <w:pPr>
              <w:pStyle w:val="TableSideHeading"/>
              <w:keepLines w:val="0"/>
              <w:rPr>
                <w:rtl/>
              </w:rPr>
            </w:pPr>
          </w:p>
        </w:tc>
        <w:tc>
          <w:tcPr>
            <w:tcW w:w="624" w:type="dxa"/>
          </w:tcPr>
          <w:p w14:paraId="5B8A3D5F" w14:textId="77777777" w:rsidR="00CC7A7C" w:rsidRDefault="00CC7A7C" w:rsidP="005630C8">
            <w:pPr>
              <w:pStyle w:val="TableText"/>
              <w:rPr>
                <w:rtl/>
              </w:rPr>
            </w:pPr>
          </w:p>
        </w:tc>
        <w:tc>
          <w:tcPr>
            <w:tcW w:w="7143" w:type="dxa"/>
          </w:tcPr>
          <w:p w14:paraId="61614019" w14:textId="17F348B2" w:rsidR="00CC7A7C" w:rsidRPr="00AA193E" w:rsidRDefault="00CC7A7C" w:rsidP="00C43E90">
            <w:pPr>
              <w:pStyle w:val="TableBlockOutdent"/>
              <w:rPr>
                <w:rtl/>
              </w:rPr>
            </w:pPr>
            <w:r>
              <w:rPr>
                <w:rFonts w:hint="cs"/>
                <w:rtl/>
              </w:rPr>
              <w:t xml:space="preserve">"התקשרות" </w:t>
            </w:r>
            <w:r>
              <w:rPr>
                <w:rtl/>
              </w:rPr>
              <w:t>–</w:t>
            </w:r>
            <w:r>
              <w:rPr>
                <w:rFonts w:hint="cs"/>
                <w:rtl/>
              </w:rPr>
              <w:t xml:space="preserve"> התקשרות בין מפעילה לעוסק המרשה לו לקבל הצעות למתן שירות באמצעות הפלטפורמה ומחייב</w:t>
            </w:r>
            <w:r w:rsidR="00C43E90">
              <w:rPr>
                <w:rFonts w:hint="cs"/>
                <w:rtl/>
              </w:rPr>
              <w:t>ת את המפעילה לשלם לו תמורה בעדן;</w:t>
            </w:r>
          </w:p>
        </w:tc>
      </w:tr>
      <w:tr w:rsidR="00CC7A7C" w:rsidRPr="001004EF" w14:paraId="1A5D9A27" w14:textId="77777777" w:rsidTr="00C43E90">
        <w:trPr>
          <w:cantSplit/>
        </w:trPr>
        <w:tc>
          <w:tcPr>
            <w:tcW w:w="1871" w:type="dxa"/>
          </w:tcPr>
          <w:p w14:paraId="6BDADF71" w14:textId="77777777" w:rsidR="00CC7A7C" w:rsidRPr="000B48D5" w:rsidRDefault="00CC7A7C" w:rsidP="005630C8">
            <w:pPr>
              <w:pStyle w:val="TableSideHeading"/>
              <w:keepLines w:val="0"/>
              <w:rPr>
                <w:rtl/>
              </w:rPr>
            </w:pPr>
          </w:p>
        </w:tc>
        <w:tc>
          <w:tcPr>
            <w:tcW w:w="624" w:type="dxa"/>
          </w:tcPr>
          <w:p w14:paraId="46BAEA76" w14:textId="77777777" w:rsidR="00CC7A7C" w:rsidRDefault="00CC7A7C" w:rsidP="005630C8">
            <w:pPr>
              <w:pStyle w:val="TableText"/>
              <w:rPr>
                <w:rtl/>
              </w:rPr>
            </w:pPr>
          </w:p>
        </w:tc>
        <w:tc>
          <w:tcPr>
            <w:tcW w:w="7143" w:type="dxa"/>
          </w:tcPr>
          <w:p w14:paraId="0BC186D0" w14:textId="77777777" w:rsidR="00CC7A7C" w:rsidRPr="002C555D" w:rsidRDefault="00CC7A7C" w:rsidP="00C43E90">
            <w:pPr>
              <w:pStyle w:val="TableBlockOutdent"/>
              <w:rPr>
                <w:rtl/>
              </w:rPr>
            </w:pPr>
            <w:r w:rsidRPr="0001694A">
              <w:rPr>
                <w:rtl/>
              </w:rPr>
              <w:t>"זמן מתן השירות</w:t>
            </w:r>
            <w:r w:rsidRPr="00AA193E">
              <w:rPr>
                <w:rtl/>
              </w:rPr>
              <w:t>" – משך הזמן בו העוסק מבצע בפועל את השירות;</w:t>
            </w:r>
          </w:p>
        </w:tc>
      </w:tr>
      <w:tr w:rsidR="00CC7A7C" w:rsidRPr="001004EF" w14:paraId="68A6B36F" w14:textId="77777777" w:rsidTr="00C43E90">
        <w:trPr>
          <w:cantSplit/>
        </w:trPr>
        <w:tc>
          <w:tcPr>
            <w:tcW w:w="1871" w:type="dxa"/>
          </w:tcPr>
          <w:p w14:paraId="13EF93AD" w14:textId="77777777" w:rsidR="00CC7A7C" w:rsidRPr="000B48D5" w:rsidRDefault="00CC7A7C" w:rsidP="005630C8">
            <w:pPr>
              <w:pStyle w:val="TableSideHeading"/>
              <w:keepLines w:val="0"/>
              <w:rPr>
                <w:rtl/>
              </w:rPr>
            </w:pPr>
          </w:p>
        </w:tc>
        <w:tc>
          <w:tcPr>
            <w:tcW w:w="624" w:type="dxa"/>
          </w:tcPr>
          <w:p w14:paraId="69010E97" w14:textId="77777777" w:rsidR="00CC7A7C" w:rsidRDefault="00CC7A7C" w:rsidP="005630C8">
            <w:pPr>
              <w:pStyle w:val="TableText"/>
              <w:tabs>
                <w:tab w:val="clear" w:pos="1247"/>
              </w:tabs>
              <w:rPr>
                <w:rtl/>
              </w:rPr>
            </w:pPr>
            <w:r>
              <w:rPr>
                <w:rtl/>
              </w:rPr>
              <w:tab/>
            </w:r>
          </w:p>
        </w:tc>
        <w:tc>
          <w:tcPr>
            <w:tcW w:w="7143" w:type="dxa"/>
          </w:tcPr>
          <w:p w14:paraId="6899A047" w14:textId="77777777" w:rsidR="00CC7A7C" w:rsidRPr="002C555D" w:rsidRDefault="00CC7A7C" w:rsidP="00C43E90">
            <w:pPr>
              <w:pStyle w:val="TableBlockOutdent"/>
              <w:rPr>
                <w:rtl/>
              </w:rPr>
            </w:pPr>
            <w:r w:rsidRPr="002C555D">
              <w:t>"</w:t>
            </w:r>
            <w:r w:rsidRPr="0001694A">
              <w:rPr>
                <w:rtl/>
              </w:rPr>
              <w:t>המפעילה</w:t>
            </w:r>
            <w:r w:rsidRPr="002C555D">
              <w:rPr>
                <w:rtl/>
              </w:rPr>
              <w:t xml:space="preserve">" – חברה כהגדרתה בחוק החברות, </w:t>
            </w:r>
            <w:r>
              <w:rPr>
                <w:rFonts w:hint="cs"/>
                <w:rtl/>
              </w:rPr>
              <w:t xml:space="preserve">התשנ"ט </w:t>
            </w:r>
            <w:r>
              <w:rPr>
                <w:rFonts w:hint="eastAsia"/>
                <w:rtl/>
              </w:rPr>
              <w:t>–</w:t>
            </w:r>
            <w:r>
              <w:rPr>
                <w:rFonts w:hint="cs"/>
                <w:rtl/>
              </w:rPr>
              <w:t>1991</w:t>
            </w:r>
            <w:r w:rsidRPr="00C43E90">
              <w:rPr>
                <w:rStyle w:val="a5"/>
                <w:rFonts w:ascii="David" w:hAnsi="David"/>
                <w:sz w:val="26"/>
                <w:rtl/>
              </w:rPr>
              <w:footnoteReference w:id="2"/>
            </w:r>
            <w:r w:rsidRPr="002C555D">
              <w:rPr>
                <w:rtl/>
              </w:rPr>
              <w:t>, או תאגיד אחר שהתאגד כדין וכשיר לפעול ככזה בישראל, המפעיל</w:t>
            </w:r>
            <w:r w:rsidRPr="002C555D">
              <w:rPr>
                <w:rFonts w:hint="cs"/>
                <w:rtl/>
              </w:rPr>
              <w:t>ים</w:t>
            </w:r>
            <w:r w:rsidRPr="002C555D">
              <w:rPr>
                <w:rtl/>
              </w:rPr>
              <w:t xml:space="preserve"> את פלטפורמת השירותים הדיגיטלית;</w:t>
            </w:r>
          </w:p>
        </w:tc>
      </w:tr>
      <w:tr w:rsidR="00CC7A7C" w:rsidRPr="001004EF" w14:paraId="57DBFE55" w14:textId="77777777" w:rsidTr="00C43E90">
        <w:trPr>
          <w:cantSplit/>
        </w:trPr>
        <w:tc>
          <w:tcPr>
            <w:tcW w:w="1871" w:type="dxa"/>
          </w:tcPr>
          <w:p w14:paraId="5E3E9BE3" w14:textId="77777777" w:rsidR="00CC7A7C" w:rsidRPr="000B48D5" w:rsidRDefault="00CC7A7C" w:rsidP="005630C8">
            <w:pPr>
              <w:pStyle w:val="TableSideHeading"/>
              <w:keepLines w:val="0"/>
              <w:rPr>
                <w:rtl/>
              </w:rPr>
            </w:pPr>
          </w:p>
        </w:tc>
        <w:tc>
          <w:tcPr>
            <w:tcW w:w="624" w:type="dxa"/>
          </w:tcPr>
          <w:p w14:paraId="22EF4941" w14:textId="77777777" w:rsidR="00CC7A7C" w:rsidRDefault="00CC7A7C" w:rsidP="005630C8">
            <w:pPr>
              <w:pStyle w:val="TableText"/>
              <w:rPr>
                <w:rtl/>
              </w:rPr>
            </w:pPr>
          </w:p>
        </w:tc>
        <w:tc>
          <w:tcPr>
            <w:tcW w:w="7143" w:type="dxa"/>
          </w:tcPr>
          <w:p w14:paraId="50DA0AC5" w14:textId="75E21B2F" w:rsidR="00CC7A7C" w:rsidRPr="002C555D" w:rsidRDefault="00CC7A7C" w:rsidP="00C43E90">
            <w:pPr>
              <w:pStyle w:val="TableBlockOutdent"/>
              <w:rPr>
                <w:rtl/>
              </w:rPr>
            </w:pPr>
            <w:r w:rsidRPr="0001694A">
              <w:rPr>
                <w:rtl/>
              </w:rPr>
              <w:t>"עוסק</w:t>
            </w:r>
            <w:r w:rsidRPr="002C555D">
              <w:rPr>
                <w:rtl/>
              </w:rPr>
              <w:t>" – יחיד</w:t>
            </w:r>
            <w:r w:rsidRPr="002C555D">
              <w:rPr>
                <w:rFonts w:hint="cs"/>
                <w:rtl/>
              </w:rPr>
              <w:t>,</w:t>
            </w:r>
            <w:r w:rsidRPr="002C555D">
              <w:rPr>
                <w:rtl/>
              </w:rPr>
              <w:t xml:space="preserve"> או חברה שהכנסתה נובעת מפעילות של יחיד שהוא בעל המניות היחיד בה, הרשומים כעוסק כהגדרתו בחוק מס ערך מוסף, </w:t>
            </w:r>
            <w:r>
              <w:rPr>
                <w:rFonts w:hint="cs"/>
                <w:rtl/>
              </w:rPr>
              <w:t>התשל"ו</w:t>
            </w:r>
            <w:r>
              <w:rPr>
                <w:rFonts w:hint="eastAsia"/>
                <w:rtl/>
              </w:rPr>
              <w:t>–</w:t>
            </w:r>
            <w:r>
              <w:rPr>
                <w:rFonts w:hint="cs"/>
                <w:rtl/>
              </w:rPr>
              <w:t>1952</w:t>
            </w:r>
            <w:r w:rsidRPr="00C43E90">
              <w:rPr>
                <w:rStyle w:val="a5"/>
                <w:rFonts w:ascii="David" w:hAnsi="David"/>
                <w:sz w:val="26"/>
                <w:rtl/>
              </w:rPr>
              <w:footnoteReference w:id="3"/>
            </w:r>
            <w:r w:rsidR="00C43E90">
              <w:rPr>
                <w:rFonts w:hint="cs"/>
                <w:rtl/>
              </w:rPr>
              <w:t xml:space="preserve">, </w:t>
            </w:r>
            <w:r w:rsidRPr="002C555D">
              <w:rPr>
                <w:rtl/>
              </w:rPr>
              <w:t>ש</w:t>
            </w:r>
            <w:r>
              <w:rPr>
                <w:rFonts w:hint="cs"/>
                <w:rtl/>
              </w:rPr>
              <w:t xml:space="preserve">התקשר עם </w:t>
            </w:r>
            <w:r w:rsidRPr="002C555D">
              <w:rPr>
                <w:rtl/>
              </w:rPr>
              <w:t xml:space="preserve">המפעילה </w:t>
            </w:r>
            <w:r>
              <w:rPr>
                <w:rFonts w:hint="cs"/>
                <w:rtl/>
              </w:rPr>
              <w:t xml:space="preserve">בהתקשרות המרשה לו </w:t>
            </w:r>
            <w:r w:rsidRPr="002C555D">
              <w:rPr>
                <w:rtl/>
              </w:rPr>
              <w:t>לקבל הצעות לספק שירות על גבי פלטפורמת השירותים הדיגיטלית שהיא מפעילה</w:t>
            </w:r>
            <w:r>
              <w:rPr>
                <w:rFonts w:hint="cs"/>
                <w:rtl/>
              </w:rPr>
              <w:t>, ולקבל מהמפעילה את התמורה בעד מתן השירות</w:t>
            </w:r>
            <w:r w:rsidRPr="002C555D">
              <w:rPr>
                <w:rtl/>
              </w:rPr>
              <w:t xml:space="preserve">; </w:t>
            </w:r>
          </w:p>
        </w:tc>
      </w:tr>
      <w:tr w:rsidR="00CC7A7C" w:rsidRPr="001004EF" w14:paraId="70BFCE79" w14:textId="77777777" w:rsidTr="00C43E90">
        <w:trPr>
          <w:cantSplit/>
        </w:trPr>
        <w:tc>
          <w:tcPr>
            <w:tcW w:w="1871" w:type="dxa"/>
          </w:tcPr>
          <w:p w14:paraId="2DB8E9C2" w14:textId="77777777" w:rsidR="00CC7A7C" w:rsidRPr="000B48D5" w:rsidRDefault="00CC7A7C" w:rsidP="005630C8">
            <w:pPr>
              <w:pStyle w:val="TableSideHeading"/>
              <w:keepLines w:val="0"/>
              <w:rPr>
                <w:rtl/>
              </w:rPr>
            </w:pPr>
          </w:p>
        </w:tc>
        <w:tc>
          <w:tcPr>
            <w:tcW w:w="624" w:type="dxa"/>
          </w:tcPr>
          <w:p w14:paraId="29EC7A04" w14:textId="77777777" w:rsidR="00CC7A7C" w:rsidRDefault="00CC7A7C" w:rsidP="005630C8">
            <w:pPr>
              <w:pStyle w:val="TableText"/>
              <w:rPr>
                <w:rtl/>
              </w:rPr>
            </w:pPr>
          </w:p>
        </w:tc>
        <w:tc>
          <w:tcPr>
            <w:tcW w:w="7143" w:type="dxa"/>
          </w:tcPr>
          <w:p w14:paraId="7011AA51" w14:textId="7E39C525" w:rsidR="00CC7A7C" w:rsidRPr="00AA193E" w:rsidRDefault="00C43E90" w:rsidP="00C43E90">
            <w:pPr>
              <w:pStyle w:val="TableBlockOutdent"/>
              <w:rPr>
                <w:rtl/>
              </w:rPr>
            </w:pPr>
            <w:r>
              <w:rPr>
                <w:rFonts w:hint="cs"/>
                <w:rtl/>
              </w:rPr>
              <w:t>"</w:t>
            </w:r>
            <w:r w:rsidR="00CC7A7C" w:rsidRPr="0001694A">
              <w:rPr>
                <w:rtl/>
              </w:rPr>
              <w:t>פלטפורמת שירותים דיגיטלית</w:t>
            </w:r>
            <w:r w:rsidR="00CC7A7C" w:rsidRPr="00AA193E">
              <w:rPr>
                <w:rtl/>
              </w:rPr>
              <w:t>" – מרחב מקוון המציע לעוסקים הפועלים על גביו הזדמנות לספק שירות</w:t>
            </w:r>
            <w:r w:rsidR="00CC7A7C">
              <w:rPr>
                <w:rFonts w:hint="cs"/>
                <w:rtl/>
              </w:rPr>
              <w:t>, ומנהל רישום על מתן השירות באמצעותה</w:t>
            </w:r>
            <w:r w:rsidR="00CC7A7C" w:rsidRPr="00AA193E">
              <w:rPr>
                <w:rtl/>
              </w:rPr>
              <w:t>;</w:t>
            </w:r>
          </w:p>
        </w:tc>
      </w:tr>
      <w:tr w:rsidR="00D96FB6" w:rsidRPr="001004EF" w14:paraId="62A248F9" w14:textId="77777777" w:rsidTr="00C43E90">
        <w:trPr>
          <w:cantSplit/>
        </w:trPr>
        <w:tc>
          <w:tcPr>
            <w:tcW w:w="1871" w:type="dxa"/>
          </w:tcPr>
          <w:p w14:paraId="4460EA25" w14:textId="30EECE68" w:rsidR="00D96FB6" w:rsidRPr="000B48D5" w:rsidRDefault="00D96FB6" w:rsidP="00D96FB6">
            <w:pPr>
              <w:pStyle w:val="TableSideHeading"/>
              <w:keepLines w:val="0"/>
              <w:rPr>
                <w:rtl/>
              </w:rPr>
            </w:pPr>
          </w:p>
        </w:tc>
        <w:tc>
          <w:tcPr>
            <w:tcW w:w="624" w:type="dxa"/>
          </w:tcPr>
          <w:p w14:paraId="55035512" w14:textId="77777777" w:rsidR="00D96FB6" w:rsidRDefault="00D96FB6" w:rsidP="00D96FB6">
            <w:pPr>
              <w:pStyle w:val="TableText"/>
              <w:rPr>
                <w:rtl/>
              </w:rPr>
            </w:pPr>
          </w:p>
        </w:tc>
        <w:tc>
          <w:tcPr>
            <w:tcW w:w="7143" w:type="dxa"/>
          </w:tcPr>
          <w:p w14:paraId="7BE38640" w14:textId="0893E792" w:rsidR="00D96FB6" w:rsidRPr="00D96FB6" w:rsidRDefault="00D96FB6" w:rsidP="00C43E90">
            <w:pPr>
              <w:pStyle w:val="TableBlockOutdent"/>
              <w:rPr>
                <w:rtl/>
              </w:rPr>
            </w:pPr>
            <w:r w:rsidRPr="00D96FB6">
              <w:rPr>
                <w:rtl/>
              </w:rPr>
              <w:t>"השירות" – השירות אותו מספק העוסק על גבי פלטפורמת השירותים הדיגיטלית</w:t>
            </w:r>
            <w:r w:rsidR="00C43E90">
              <w:rPr>
                <w:rFonts w:hint="cs"/>
                <w:rtl/>
              </w:rPr>
              <w:t xml:space="preserve"> בהתאם להתקשרות;</w:t>
            </w:r>
          </w:p>
        </w:tc>
      </w:tr>
      <w:tr w:rsidR="00D96FB6" w:rsidRPr="001004EF" w14:paraId="73BDA36A" w14:textId="77777777" w:rsidTr="00C43E90">
        <w:trPr>
          <w:cantSplit/>
        </w:trPr>
        <w:tc>
          <w:tcPr>
            <w:tcW w:w="1871" w:type="dxa"/>
          </w:tcPr>
          <w:p w14:paraId="0960EB46" w14:textId="77777777" w:rsidR="00D96FB6" w:rsidRPr="000B48D5" w:rsidRDefault="00D96FB6" w:rsidP="00D96FB6">
            <w:pPr>
              <w:pStyle w:val="TableSideHeading"/>
              <w:keepLines w:val="0"/>
              <w:rPr>
                <w:rtl/>
              </w:rPr>
            </w:pPr>
          </w:p>
        </w:tc>
        <w:tc>
          <w:tcPr>
            <w:tcW w:w="624" w:type="dxa"/>
          </w:tcPr>
          <w:p w14:paraId="662EA4E2" w14:textId="77777777" w:rsidR="00D96FB6" w:rsidRDefault="00D96FB6" w:rsidP="00D96FB6">
            <w:pPr>
              <w:pStyle w:val="TableText"/>
              <w:rPr>
                <w:rtl/>
              </w:rPr>
            </w:pPr>
          </w:p>
        </w:tc>
        <w:tc>
          <w:tcPr>
            <w:tcW w:w="7143" w:type="dxa"/>
          </w:tcPr>
          <w:p w14:paraId="267864BE" w14:textId="77777777" w:rsidR="00D96FB6" w:rsidRPr="002C555D" w:rsidRDefault="00D96FB6" w:rsidP="00C43E90">
            <w:pPr>
              <w:pStyle w:val="TableBlockOutdent"/>
              <w:rPr>
                <w:rtl/>
              </w:rPr>
            </w:pPr>
            <w:r w:rsidRPr="0001694A">
              <w:rPr>
                <w:rtl/>
              </w:rPr>
              <w:t>"תמורה</w:t>
            </w:r>
            <w:r w:rsidRPr="002C555D">
              <w:rPr>
                <w:rtl/>
              </w:rPr>
              <w:t>" – הסכום הכולל שמקבל העוסק מן המפעילה עבור השירות במהלך תקופת התשלום המוסכמת, למעט תשר;</w:t>
            </w:r>
          </w:p>
        </w:tc>
      </w:tr>
      <w:tr w:rsidR="00D96FB6" w:rsidRPr="001004EF" w14:paraId="3D85C126" w14:textId="77777777" w:rsidTr="00C43E90">
        <w:trPr>
          <w:cantSplit/>
        </w:trPr>
        <w:tc>
          <w:tcPr>
            <w:tcW w:w="1871" w:type="dxa"/>
          </w:tcPr>
          <w:p w14:paraId="4D3303E8" w14:textId="77777777" w:rsidR="00D96FB6" w:rsidRPr="000B48D5" w:rsidRDefault="00D96FB6" w:rsidP="00D96FB6">
            <w:pPr>
              <w:pStyle w:val="TableSideHeading"/>
              <w:keepLines w:val="0"/>
              <w:rPr>
                <w:rtl/>
              </w:rPr>
            </w:pPr>
          </w:p>
        </w:tc>
        <w:tc>
          <w:tcPr>
            <w:tcW w:w="624" w:type="dxa"/>
          </w:tcPr>
          <w:p w14:paraId="3929B26C" w14:textId="77777777" w:rsidR="00D96FB6" w:rsidRDefault="00D96FB6" w:rsidP="00D96FB6">
            <w:pPr>
              <w:pStyle w:val="TableText"/>
              <w:rPr>
                <w:rtl/>
              </w:rPr>
            </w:pPr>
          </w:p>
        </w:tc>
        <w:tc>
          <w:tcPr>
            <w:tcW w:w="7143" w:type="dxa"/>
          </w:tcPr>
          <w:p w14:paraId="0FAEBC98" w14:textId="77777777" w:rsidR="00D96FB6" w:rsidRPr="002C555D" w:rsidRDefault="00D96FB6" w:rsidP="00C43E90">
            <w:pPr>
              <w:pStyle w:val="TableBlockOutdent"/>
              <w:rPr>
                <w:rtl/>
              </w:rPr>
            </w:pPr>
            <w:r w:rsidRPr="002C555D">
              <w:t>"</w:t>
            </w:r>
            <w:r w:rsidRPr="0001694A">
              <w:rPr>
                <w:rtl/>
              </w:rPr>
              <w:t>תמורה שעתית</w:t>
            </w:r>
            <w:r w:rsidRPr="002C555D">
              <w:t xml:space="preserve"> </w:t>
            </w:r>
            <w:r w:rsidRPr="0001694A">
              <w:rPr>
                <w:rtl/>
              </w:rPr>
              <w:t>ממוצעת</w:t>
            </w:r>
            <w:r w:rsidRPr="002C555D">
              <w:rPr>
                <w:rtl/>
              </w:rPr>
              <w:t>" – הסכום המתקבל מחלוקת התמורה ששולמה לעוסק</w:t>
            </w:r>
            <w:r w:rsidRPr="002C555D">
              <w:rPr>
                <w:rFonts w:hint="cs"/>
                <w:rtl/>
              </w:rPr>
              <w:t>,</w:t>
            </w:r>
            <w:r w:rsidRPr="002C555D">
              <w:rPr>
                <w:rtl/>
              </w:rPr>
              <w:t xml:space="preserve"> ב</w:t>
            </w:r>
            <w:r>
              <w:rPr>
                <w:rFonts w:hint="cs"/>
                <w:rtl/>
              </w:rPr>
              <w:t xml:space="preserve">מספר השעות שבהן </w:t>
            </w:r>
            <w:r w:rsidRPr="002C555D">
              <w:rPr>
                <w:rtl/>
              </w:rPr>
              <w:t xml:space="preserve"> </w:t>
            </w:r>
            <w:r>
              <w:rPr>
                <w:rFonts w:hint="cs"/>
                <w:rtl/>
              </w:rPr>
              <w:t xml:space="preserve">ניתן </w:t>
            </w:r>
            <w:r w:rsidRPr="002C555D">
              <w:rPr>
                <w:rtl/>
              </w:rPr>
              <w:t>השירות באותה תקופ</w:t>
            </w:r>
            <w:r w:rsidRPr="002C555D">
              <w:rPr>
                <w:rFonts w:hint="cs"/>
                <w:rtl/>
              </w:rPr>
              <w:t>ת תשלום מוסכמת</w:t>
            </w:r>
            <w:r w:rsidRPr="002C555D">
              <w:rPr>
                <w:rtl/>
              </w:rPr>
              <w:t xml:space="preserve">; </w:t>
            </w:r>
          </w:p>
        </w:tc>
      </w:tr>
      <w:tr w:rsidR="00D96FB6" w:rsidRPr="001004EF" w14:paraId="223EE2B7" w14:textId="77777777" w:rsidTr="00C43E90">
        <w:trPr>
          <w:cantSplit/>
        </w:trPr>
        <w:tc>
          <w:tcPr>
            <w:tcW w:w="1871" w:type="dxa"/>
          </w:tcPr>
          <w:p w14:paraId="4F4FB5E8" w14:textId="77777777" w:rsidR="00D96FB6" w:rsidRPr="000B48D5" w:rsidRDefault="00D96FB6" w:rsidP="00D96FB6">
            <w:pPr>
              <w:pStyle w:val="TableSideHeading"/>
              <w:keepLines w:val="0"/>
              <w:rPr>
                <w:rtl/>
              </w:rPr>
            </w:pPr>
          </w:p>
        </w:tc>
        <w:tc>
          <w:tcPr>
            <w:tcW w:w="624" w:type="dxa"/>
          </w:tcPr>
          <w:p w14:paraId="40025CB9" w14:textId="77777777" w:rsidR="00D96FB6" w:rsidRDefault="00D96FB6" w:rsidP="00D96FB6">
            <w:pPr>
              <w:pStyle w:val="TableText"/>
              <w:rPr>
                <w:rtl/>
              </w:rPr>
            </w:pPr>
          </w:p>
        </w:tc>
        <w:tc>
          <w:tcPr>
            <w:tcW w:w="7143" w:type="dxa"/>
          </w:tcPr>
          <w:p w14:paraId="35ABFE13" w14:textId="25C184FA" w:rsidR="00D96FB6" w:rsidRPr="002C555D" w:rsidRDefault="00C43E90" w:rsidP="00C43E90">
            <w:pPr>
              <w:pStyle w:val="TableBlockOutdent"/>
              <w:ind w:left="0" w:firstLine="0"/>
            </w:pPr>
            <w:r>
              <w:rPr>
                <w:rFonts w:hint="cs"/>
                <w:rtl/>
              </w:rPr>
              <w:t>"</w:t>
            </w:r>
            <w:r w:rsidR="00D96FB6" w:rsidRPr="0001694A">
              <w:rPr>
                <w:rtl/>
              </w:rPr>
              <w:t>תקופת התשלום המוסכמת</w:t>
            </w:r>
            <w:r w:rsidR="00D96FB6" w:rsidRPr="00AA193E">
              <w:rPr>
                <w:rtl/>
              </w:rPr>
              <w:t>" – התקופה שב</w:t>
            </w:r>
            <w:r w:rsidR="00D96FB6" w:rsidRPr="00AA193E">
              <w:rPr>
                <w:rFonts w:hint="cs"/>
                <w:rtl/>
              </w:rPr>
              <w:t>עד</w:t>
            </w:r>
            <w:r w:rsidR="00D96FB6" w:rsidRPr="00AA193E">
              <w:rPr>
                <w:rtl/>
              </w:rPr>
              <w:t>ה משולמת התמורה לעוסק</w:t>
            </w:r>
            <w:r w:rsidR="00D96FB6" w:rsidRPr="00AA193E">
              <w:rPr>
                <w:rFonts w:hint="cs"/>
                <w:rtl/>
              </w:rPr>
              <w:t xml:space="preserve"> כפי שנקבעה בהתקשרות</w:t>
            </w:r>
            <w:r w:rsidR="00D96FB6" w:rsidRPr="00AA193E">
              <w:rPr>
                <w:rtl/>
              </w:rPr>
              <w:t>,</w:t>
            </w:r>
            <w:r w:rsidR="00D96FB6" w:rsidRPr="00AA193E">
              <w:t xml:space="preserve"> </w:t>
            </w:r>
            <w:r w:rsidR="00D96FB6" w:rsidRPr="00AA193E">
              <w:rPr>
                <w:rtl/>
              </w:rPr>
              <w:t>ו</w:t>
            </w:r>
            <w:r w:rsidR="00D96FB6" w:rsidRPr="00AA193E">
              <w:rPr>
                <w:rFonts w:hint="cs"/>
                <w:rtl/>
              </w:rPr>
              <w:t xml:space="preserve">אינה עולה על </w:t>
            </w:r>
            <w:r w:rsidR="00D96FB6" w:rsidRPr="00AA193E">
              <w:rPr>
                <w:rtl/>
              </w:rPr>
              <w:t xml:space="preserve">חודש קלנדרי;  </w:t>
            </w:r>
          </w:p>
        </w:tc>
      </w:tr>
      <w:tr w:rsidR="00D96FB6" w:rsidRPr="001004EF" w14:paraId="15DA7D55" w14:textId="77777777" w:rsidTr="00C43E90">
        <w:trPr>
          <w:cantSplit/>
        </w:trPr>
        <w:tc>
          <w:tcPr>
            <w:tcW w:w="1871" w:type="dxa"/>
          </w:tcPr>
          <w:p w14:paraId="618C48B7" w14:textId="77777777" w:rsidR="00D96FB6" w:rsidRPr="000B48D5" w:rsidRDefault="00D96FB6" w:rsidP="00D96FB6">
            <w:pPr>
              <w:pStyle w:val="TableSideHeading"/>
              <w:keepLines w:val="0"/>
              <w:rPr>
                <w:rtl/>
              </w:rPr>
            </w:pPr>
          </w:p>
        </w:tc>
        <w:tc>
          <w:tcPr>
            <w:tcW w:w="624" w:type="dxa"/>
          </w:tcPr>
          <w:p w14:paraId="5DCE8432" w14:textId="77777777" w:rsidR="00D96FB6" w:rsidRDefault="00D96FB6" w:rsidP="00D96FB6">
            <w:pPr>
              <w:pStyle w:val="TableText"/>
              <w:rPr>
                <w:rtl/>
              </w:rPr>
            </w:pPr>
          </w:p>
        </w:tc>
        <w:tc>
          <w:tcPr>
            <w:tcW w:w="7143" w:type="dxa"/>
          </w:tcPr>
          <w:p w14:paraId="56B26BB2" w14:textId="06C21AB8" w:rsidR="00D96FB6" w:rsidRPr="002C555D" w:rsidRDefault="00D96FB6" w:rsidP="00C43E90">
            <w:pPr>
              <w:pStyle w:val="TableBlockOutdent"/>
              <w:rPr>
                <w:rtl/>
              </w:rPr>
            </w:pPr>
            <w:r w:rsidRPr="0001694A">
              <w:rPr>
                <w:rtl/>
              </w:rPr>
              <w:t>"תשר</w:t>
            </w:r>
            <w:r w:rsidRPr="002C555D">
              <w:rPr>
                <w:rtl/>
              </w:rPr>
              <w:t>" – כל תמורה שמקבל העוסק בקשר לביצוע השירות, שלא מידי המפעילה, והיא מעב</w:t>
            </w:r>
            <w:r>
              <w:rPr>
                <w:rtl/>
              </w:rPr>
              <w:t>ר לתמורה המוגדרת על ידי המפעילה</w:t>
            </w:r>
            <w:r w:rsidR="00C43E90">
              <w:rPr>
                <w:rFonts w:hint="cs"/>
                <w:rtl/>
              </w:rPr>
              <w:t>.</w:t>
            </w:r>
          </w:p>
        </w:tc>
      </w:tr>
      <w:tr w:rsidR="00D96FB6" w:rsidRPr="001004EF" w14:paraId="6D4F0089" w14:textId="77777777" w:rsidTr="00C43E90">
        <w:trPr>
          <w:cantSplit/>
        </w:trPr>
        <w:tc>
          <w:tcPr>
            <w:tcW w:w="1871" w:type="dxa"/>
          </w:tcPr>
          <w:p w14:paraId="17150F71" w14:textId="77777777" w:rsidR="00D96FB6" w:rsidRDefault="00D96FB6" w:rsidP="00D96FB6">
            <w:pPr>
              <w:pStyle w:val="TableSideHeading"/>
              <w:keepLines w:val="0"/>
              <w:rPr>
                <w:rtl/>
              </w:rPr>
            </w:pPr>
            <w:r w:rsidRPr="000B48D5">
              <w:rPr>
                <w:rtl/>
              </w:rPr>
              <w:t>תחולה</w:t>
            </w:r>
          </w:p>
        </w:tc>
        <w:tc>
          <w:tcPr>
            <w:tcW w:w="624" w:type="dxa"/>
          </w:tcPr>
          <w:p w14:paraId="1DFE2D0E" w14:textId="77777777" w:rsidR="00D96FB6" w:rsidRDefault="00D96FB6" w:rsidP="00D96FB6">
            <w:pPr>
              <w:pStyle w:val="TableText"/>
            </w:pPr>
            <w:r>
              <w:rPr>
                <w:rFonts w:hint="cs"/>
                <w:rtl/>
              </w:rPr>
              <w:t>2.</w:t>
            </w:r>
          </w:p>
        </w:tc>
        <w:tc>
          <w:tcPr>
            <w:tcW w:w="7143" w:type="dxa"/>
          </w:tcPr>
          <w:p w14:paraId="3B13451B" w14:textId="77777777" w:rsidR="00D96FB6" w:rsidRPr="001004EF" w:rsidRDefault="00D96FB6" w:rsidP="00C43E90">
            <w:pPr>
              <w:pStyle w:val="TableBlock"/>
              <w:rPr>
                <w:rtl/>
              </w:rPr>
            </w:pPr>
            <w:r w:rsidRPr="001004EF">
              <w:rPr>
                <w:rtl/>
              </w:rPr>
              <w:t>הוראות חוק זה יחולו רק על עוסק שלגבי</w:t>
            </w:r>
            <w:r>
              <w:rPr>
                <w:rFonts w:hint="cs"/>
                <w:rtl/>
              </w:rPr>
              <w:t xml:space="preserve"> ההתקשרות שבינו ובין המפעילה</w:t>
            </w:r>
            <w:r w:rsidRPr="001004EF">
              <w:rPr>
                <w:rtl/>
              </w:rPr>
              <w:t xml:space="preserve"> מתקיימים </w:t>
            </w:r>
            <w:r>
              <w:rPr>
                <w:rFonts w:hint="cs"/>
                <w:rtl/>
              </w:rPr>
              <w:t xml:space="preserve">כל </w:t>
            </w:r>
            <w:r w:rsidRPr="001004EF">
              <w:rPr>
                <w:rtl/>
              </w:rPr>
              <w:t xml:space="preserve">התנאים </w:t>
            </w:r>
            <w:r>
              <w:rPr>
                <w:rFonts w:hint="cs"/>
                <w:rtl/>
              </w:rPr>
              <w:t xml:space="preserve"> האלה</w:t>
            </w:r>
            <w:r w:rsidRPr="001004EF">
              <w:rPr>
                <w:rtl/>
              </w:rPr>
              <w:t>:</w:t>
            </w:r>
          </w:p>
        </w:tc>
      </w:tr>
      <w:tr w:rsidR="00D96FB6" w14:paraId="224456B6" w14:textId="77777777" w:rsidTr="00C43E90">
        <w:trPr>
          <w:cantSplit/>
        </w:trPr>
        <w:tc>
          <w:tcPr>
            <w:tcW w:w="1871" w:type="dxa"/>
          </w:tcPr>
          <w:p w14:paraId="0AD47EE9" w14:textId="77777777" w:rsidR="00D96FB6" w:rsidRDefault="00D96FB6" w:rsidP="00D96FB6">
            <w:pPr>
              <w:pStyle w:val="TableSideHeading"/>
              <w:keepLines w:val="0"/>
              <w:rPr>
                <w:rtl/>
              </w:rPr>
            </w:pPr>
          </w:p>
        </w:tc>
        <w:tc>
          <w:tcPr>
            <w:tcW w:w="624" w:type="dxa"/>
          </w:tcPr>
          <w:p w14:paraId="15155CEE" w14:textId="77777777" w:rsidR="00D96FB6" w:rsidRDefault="00D96FB6" w:rsidP="00D96FB6">
            <w:pPr>
              <w:pStyle w:val="TableText"/>
            </w:pPr>
          </w:p>
        </w:tc>
        <w:tc>
          <w:tcPr>
            <w:tcW w:w="7143" w:type="dxa"/>
          </w:tcPr>
          <w:p w14:paraId="6F9AD759" w14:textId="77777777" w:rsidR="00D96FB6" w:rsidRPr="0001694A" w:rsidRDefault="00D96FB6" w:rsidP="00C43E90">
            <w:pPr>
              <w:pStyle w:val="TableBlock"/>
              <w:rPr>
                <w:rtl/>
              </w:rPr>
            </w:pPr>
            <w:r>
              <w:rPr>
                <w:rFonts w:hint="cs"/>
                <w:rtl/>
              </w:rPr>
              <w:t>(1)</w:t>
            </w:r>
            <w:r>
              <w:rPr>
                <w:rtl/>
              </w:rPr>
              <w:tab/>
            </w:r>
            <w:r>
              <w:rPr>
                <w:rFonts w:hint="cs"/>
                <w:rtl/>
              </w:rPr>
              <w:t>ה</w:t>
            </w:r>
            <w:r w:rsidRPr="0001694A">
              <w:rPr>
                <w:rtl/>
              </w:rPr>
              <w:t xml:space="preserve">עוסק אינו מחויב לקבל על עצמו לבצע שירות במועדים או בהיקפים </w:t>
            </w:r>
            <w:r>
              <w:rPr>
                <w:rFonts w:hint="cs"/>
                <w:rtl/>
              </w:rPr>
              <w:t>מסוימים</w:t>
            </w:r>
            <w:r w:rsidRPr="0001694A">
              <w:rPr>
                <w:rtl/>
              </w:rPr>
              <w:t xml:space="preserve"> על גבי פלטפורמת השירותים הדיגיטלית של המפעילה;</w:t>
            </w:r>
          </w:p>
        </w:tc>
      </w:tr>
      <w:tr w:rsidR="00D96FB6" w14:paraId="2FE240B9" w14:textId="77777777" w:rsidTr="00C43E90">
        <w:trPr>
          <w:cantSplit/>
        </w:trPr>
        <w:tc>
          <w:tcPr>
            <w:tcW w:w="1871" w:type="dxa"/>
          </w:tcPr>
          <w:p w14:paraId="32BF54D1" w14:textId="77777777" w:rsidR="00D96FB6" w:rsidRDefault="00D96FB6" w:rsidP="00D96FB6">
            <w:pPr>
              <w:pStyle w:val="TableSideHeading"/>
              <w:keepLines w:val="0"/>
              <w:rPr>
                <w:rtl/>
              </w:rPr>
            </w:pPr>
          </w:p>
        </w:tc>
        <w:tc>
          <w:tcPr>
            <w:tcW w:w="624" w:type="dxa"/>
          </w:tcPr>
          <w:p w14:paraId="7125A173" w14:textId="77777777" w:rsidR="00D96FB6" w:rsidRDefault="00D96FB6" w:rsidP="00D96FB6">
            <w:pPr>
              <w:pStyle w:val="TableText"/>
            </w:pPr>
          </w:p>
        </w:tc>
        <w:tc>
          <w:tcPr>
            <w:tcW w:w="7143" w:type="dxa"/>
          </w:tcPr>
          <w:p w14:paraId="4BAFBC93" w14:textId="77777777" w:rsidR="00D96FB6" w:rsidRPr="0001694A" w:rsidRDefault="00D96FB6" w:rsidP="00C43E90">
            <w:pPr>
              <w:pStyle w:val="TableBlock"/>
              <w:rPr>
                <w:rtl/>
              </w:rPr>
            </w:pPr>
            <w:r>
              <w:rPr>
                <w:rFonts w:hint="cs"/>
                <w:rtl/>
              </w:rPr>
              <w:t>(2)</w:t>
            </w:r>
            <w:r>
              <w:rPr>
                <w:rtl/>
              </w:rPr>
              <w:tab/>
            </w:r>
            <w:r>
              <w:rPr>
                <w:rFonts w:hint="cs"/>
                <w:rtl/>
              </w:rPr>
              <w:t>ה</w:t>
            </w:r>
            <w:r w:rsidRPr="006C11A7">
              <w:rPr>
                <w:rtl/>
              </w:rPr>
              <w:t>עוסק רשאי להתקשר עם גופים אחרים</w:t>
            </w:r>
            <w:r>
              <w:rPr>
                <w:rFonts w:hint="cs"/>
                <w:rtl/>
              </w:rPr>
              <w:t xml:space="preserve"> שאינם המפעילה למתן השירות</w:t>
            </w:r>
            <w:r w:rsidRPr="006C11A7">
              <w:rPr>
                <w:rtl/>
              </w:rPr>
              <w:t>;</w:t>
            </w:r>
          </w:p>
        </w:tc>
      </w:tr>
      <w:tr w:rsidR="00D96FB6" w14:paraId="0A49EC42" w14:textId="77777777" w:rsidTr="00C43E90">
        <w:trPr>
          <w:cantSplit/>
        </w:trPr>
        <w:tc>
          <w:tcPr>
            <w:tcW w:w="1871" w:type="dxa"/>
          </w:tcPr>
          <w:p w14:paraId="15D9D393" w14:textId="77777777" w:rsidR="00D96FB6" w:rsidRDefault="00D96FB6" w:rsidP="00D96FB6">
            <w:pPr>
              <w:pStyle w:val="TableSideHeading"/>
              <w:keepLines w:val="0"/>
              <w:rPr>
                <w:rtl/>
              </w:rPr>
            </w:pPr>
          </w:p>
        </w:tc>
        <w:tc>
          <w:tcPr>
            <w:tcW w:w="624" w:type="dxa"/>
          </w:tcPr>
          <w:p w14:paraId="60966420" w14:textId="77777777" w:rsidR="00D96FB6" w:rsidRDefault="00D96FB6" w:rsidP="00D96FB6">
            <w:pPr>
              <w:pStyle w:val="TableText"/>
            </w:pPr>
          </w:p>
        </w:tc>
        <w:tc>
          <w:tcPr>
            <w:tcW w:w="7143" w:type="dxa"/>
          </w:tcPr>
          <w:p w14:paraId="048C0289" w14:textId="77777777" w:rsidR="00D96FB6" w:rsidRDefault="00D96FB6" w:rsidP="00C43E90">
            <w:pPr>
              <w:pStyle w:val="TableBlock"/>
              <w:rPr>
                <w:rtl/>
              </w:rPr>
            </w:pPr>
            <w:r>
              <w:rPr>
                <w:rFonts w:hint="cs"/>
                <w:rtl/>
              </w:rPr>
              <w:t>(3)</w:t>
            </w:r>
            <w:r>
              <w:rPr>
                <w:rtl/>
              </w:rPr>
              <w:tab/>
            </w:r>
            <w:r>
              <w:rPr>
                <w:rFonts w:hint="cs"/>
                <w:rtl/>
              </w:rPr>
              <w:t>ה</w:t>
            </w:r>
            <w:r w:rsidRPr="006C11A7">
              <w:rPr>
                <w:rtl/>
              </w:rPr>
              <w:t xml:space="preserve">עוסק אינו מחויב לקבל על עצמו הצעה </w:t>
            </w:r>
            <w:r>
              <w:rPr>
                <w:rFonts w:hint="cs"/>
                <w:rtl/>
              </w:rPr>
              <w:t>מסוימת</w:t>
            </w:r>
            <w:r w:rsidRPr="006C11A7">
              <w:rPr>
                <w:rtl/>
              </w:rPr>
              <w:t xml:space="preserve"> למתן שירות על גבי פלטפורמת השירותים הדיגיטלית של המפעילה כתנאי להמשך מתן הרשאה לספק שירות על גבי הפלטפורמה</w:t>
            </w:r>
            <w:r>
              <w:rPr>
                <w:rFonts w:hint="cs"/>
                <w:rtl/>
              </w:rPr>
              <w:t>.</w:t>
            </w:r>
          </w:p>
        </w:tc>
      </w:tr>
      <w:tr w:rsidR="00D96FB6" w14:paraId="5C5CEBDA" w14:textId="77777777" w:rsidTr="00C43E90">
        <w:trPr>
          <w:cantSplit/>
        </w:trPr>
        <w:tc>
          <w:tcPr>
            <w:tcW w:w="1871" w:type="dxa"/>
          </w:tcPr>
          <w:p w14:paraId="50F95314" w14:textId="77777777" w:rsidR="00D96FB6" w:rsidRDefault="00D96FB6" w:rsidP="00D96FB6">
            <w:pPr>
              <w:pStyle w:val="TableSideHeading"/>
              <w:keepLines w:val="0"/>
              <w:rPr>
                <w:rtl/>
              </w:rPr>
            </w:pPr>
            <w:r w:rsidRPr="00966A59">
              <w:rPr>
                <w:rtl/>
              </w:rPr>
              <w:t>העדר יחסי עבודה</w:t>
            </w:r>
          </w:p>
        </w:tc>
        <w:tc>
          <w:tcPr>
            <w:tcW w:w="624" w:type="dxa"/>
          </w:tcPr>
          <w:p w14:paraId="07F4FB76" w14:textId="77777777" w:rsidR="00D96FB6" w:rsidRDefault="00D96FB6" w:rsidP="00D96FB6">
            <w:pPr>
              <w:pStyle w:val="TableText"/>
            </w:pPr>
            <w:r>
              <w:rPr>
                <w:rFonts w:hint="cs"/>
                <w:rtl/>
              </w:rPr>
              <w:t>3.</w:t>
            </w:r>
          </w:p>
        </w:tc>
        <w:tc>
          <w:tcPr>
            <w:tcW w:w="7143" w:type="dxa"/>
          </w:tcPr>
          <w:p w14:paraId="5C5FA57F" w14:textId="77777777" w:rsidR="00D96FB6" w:rsidRDefault="00D96FB6" w:rsidP="00C43E90">
            <w:pPr>
              <w:pStyle w:val="TableBlock"/>
              <w:rPr>
                <w:rtl/>
              </w:rPr>
            </w:pPr>
            <w:r>
              <w:rPr>
                <w:rFonts w:hint="cs"/>
                <w:rtl/>
              </w:rPr>
              <w:t>אין</w:t>
            </w:r>
            <w:r w:rsidRPr="00966A59">
              <w:rPr>
                <w:rtl/>
              </w:rPr>
              <w:t xml:space="preserve"> בהתקשרות של העוסק עם המפעילה לצורך קבלת הרשאה לקבל הצעות לספק שירות על גבי פלטפורמת השירותים הדיגיטלית שאותה היא מפעילה, כדי להקים יחסי </w:t>
            </w:r>
            <w:r>
              <w:rPr>
                <w:rFonts w:hint="cs"/>
                <w:rtl/>
              </w:rPr>
              <w:t>עבודה</w:t>
            </w:r>
            <w:r w:rsidRPr="00966A59">
              <w:rPr>
                <w:rtl/>
              </w:rPr>
              <w:t xml:space="preserve"> בין הצדדים להתקשרות, לכל דבר ועניין, והצדדים לא יחויבו בכל חובה אשר היו חבים זה לזה, מתוקף כל דין, לו היו ביניהם יחסי </w:t>
            </w:r>
            <w:r>
              <w:rPr>
                <w:rFonts w:hint="cs"/>
                <w:rtl/>
              </w:rPr>
              <w:t>עבודה.</w:t>
            </w:r>
          </w:p>
        </w:tc>
      </w:tr>
      <w:tr w:rsidR="00D96FB6" w:rsidRPr="00966A59" w14:paraId="45D9512D" w14:textId="77777777" w:rsidTr="00C43E90">
        <w:trPr>
          <w:cantSplit/>
        </w:trPr>
        <w:tc>
          <w:tcPr>
            <w:tcW w:w="1871" w:type="dxa"/>
          </w:tcPr>
          <w:p w14:paraId="73D0E78E" w14:textId="77777777" w:rsidR="00D96FB6" w:rsidRDefault="00D96FB6" w:rsidP="00D96FB6">
            <w:pPr>
              <w:pStyle w:val="TableSideHeading"/>
              <w:keepLines w:val="0"/>
              <w:rPr>
                <w:rtl/>
              </w:rPr>
            </w:pPr>
            <w:r w:rsidRPr="00966A59">
              <w:rPr>
                <w:rtl/>
              </w:rPr>
              <w:t>תמורה מינימאלית</w:t>
            </w:r>
          </w:p>
        </w:tc>
        <w:tc>
          <w:tcPr>
            <w:tcW w:w="624" w:type="dxa"/>
          </w:tcPr>
          <w:p w14:paraId="305018DD" w14:textId="77777777" w:rsidR="00D96FB6" w:rsidRDefault="00D96FB6" w:rsidP="00D96FB6">
            <w:pPr>
              <w:pStyle w:val="TableText"/>
              <w:rPr>
                <w:rtl/>
              </w:rPr>
            </w:pPr>
            <w:r>
              <w:rPr>
                <w:rFonts w:hint="cs"/>
                <w:rtl/>
              </w:rPr>
              <w:t>4.</w:t>
            </w:r>
          </w:p>
        </w:tc>
        <w:tc>
          <w:tcPr>
            <w:tcW w:w="7143" w:type="dxa"/>
          </w:tcPr>
          <w:p w14:paraId="0BD6ADE1" w14:textId="3CC7168A" w:rsidR="00D96FB6" w:rsidRPr="00966A59" w:rsidRDefault="00D96FB6" w:rsidP="00C43E90">
            <w:pPr>
              <w:pStyle w:val="TableBlock"/>
              <w:rPr>
                <w:rtl/>
              </w:rPr>
            </w:pPr>
            <w:r>
              <w:rPr>
                <w:rFonts w:hint="cs"/>
                <w:rtl/>
              </w:rPr>
              <w:t xml:space="preserve">על אף האמור בכל הסכם בין העוסק למפעילה, </w:t>
            </w:r>
            <w:r w:rsidRPr="00966A59">
              <w:rPr>
                <w:rtl/>
              </w:rPr>
              <w:t xml:space="preserve">התמורה השעתית הממוצעת </w:t>
            </w:r>
            <w:r>
              <w:rPr>
                <w:rFonts w:hint="cs"/>
                <w:rtl/>
              </w:rPr>
              <w:t>ש</w:t>
            </w:r>
            <w:r w:rsidRPr="00966A59">
              <w:rPr>
                <w:rtl/>
              </w:rPr>
              <w:t xml:space="preserve">עוסק </w:t>
            </w:r>
            <w:r>
              <w:rPr>
                <w:rFonts w:hint="cs"/>
                <w:rtl/>
              </w:rPr>
              <w:t>זכאי לה מ</w:t>
            </w:r>
            <w:r w:rsidRPr="00966A59">
              <w:rPr>
                <w:rtl/>
              </w:rPr>
              <w:t xml:space="preserve">המפעילה, לא תפחת מסך השווה לשכר המינימום </w:t>
            </w:r>
            <w:r>
              <w:rPr>
                <w:rFonts w:hint="cs"/>
                <w:rtl/>
              </w:rPr>
              <w:t>לשעה</w:t>
            </w:r>
            <w:r w:rsidRPr="00966A59">
              <w:rPr>
                <w:rtl/>
              </w:rPr>
              <w:t>, כהגדרתו בחוק שכר מינימום, הת</w:t>
            </w:r>
            <w:r>
              <w:rPr>
                <w:rFonts w:hint="cs"/>
                <w:rtl/>
              </w:rPr>
              <w:t>שמ</w:t>
            </w:r>
            <w:r w:rsidRPr="00966A59">
              <w:rPr>
                <w:rtl/>
              </w:rPr>
              <w:t>"ז</w:t>
            </w:r>
            <w:r>
              <w:rPr>
                <w:rFonts w:hint="cs"/>
                <w:rtl/>
              </w:rPr>
              <w:t>–</w:t>
            </w:r>
            <w:r w:rsidRPr="00966A59">
              <w:rPr>
                <w:rtl/>
              </w:rPr>
              <w:t>1987</w:t>
            </w:r>
            <w:r w:rsidR="00C43E90">
              <w:rPr>
                <w:rStyle w:val="a5"/>
                <w:rtl/>
              </w:rPr>
              <w:footnoteReference w:id="4"/>
            </w:r>
            <w:r>
              <w:rPr>
                <w:rFonts w:hint="cs"/>
                <w:rtl/>
              </w:rPr>
              <w:t>.</w:t>
            </w:r>
          </w:p>
        </w:tc>
      </w:tr>
      <w:tr w:rsidR="00D96FB6" w14:paraId="5638AB6F" w14:textId="77777777" w:rsidTr="00C43E90">
        <w:trPr>
          <w:cantSplit/>
        </w:trPr>
        <w:tc>
          <w:tcPr>
            <w:tcW w:w="1871" w:type="dxa"/>
          </w:tcPr>
          <w:p w14:paraId="3D0C0D48" w14:textId="77777777" w:rsidR="00D96FB6" w:rsidRDefault="00D96FB6" w:rsidP="00D96FB6">
            <w:pPr>
              <w:pStyle w:val="TableSideHeading"/>
              <w:keepLines w:val="0"/>
              <w:rPr>
                <w:rtl/>
              </w:rPr>
            </w:pPr>
            <w:r w:rsidRPr="00966A59">
              <w:rPr>
                <w:rtl/>
              </w:rPr>
              <w:lastRenderedPageBreak/>
              <w:t>החלת חקיקה</w:t>
            </w:r>
          </w:p>
        </w:tc>
        <w:tc>
          <w:tcPr>
            <w:tcW w:w="624" w:type="dxa"/>
          </w:tcPr>
          <w:p w14:paraId="12664625" w14:textId="77777777" w:rsidR="00D96FB6" w:rsidRDefault="00D96FB6" w:rsidP="00D96FB6">
            <w:pPr>
              <w:pStyle w:val="TableText"/>
              <w:rPr>
                <w:rtl/>
              </w:rPr>
            </w:pPr>
            <w:r>
              <w:rPr>
                <w:rFonts w:hint="cs"/>
                <w:rtl/>
              </w:rPr>
              <w:t>5.</w:t>
            </w:r>
          </w:p>
        </w:tc>
        <w:tc>
          <w:tcPr>
            <w:tcW w:w="7143" w:type="dxa"/>
          </w:tcPr>
          <w:p w14:paraId="789DBBC0" w14:textId="62313807" w:rsidR="00D96FB6" w:rsidRDefault="00D96FB6" w:rsidP="00C43E90">
            <w:pPr>
              <w:pStyle w:val="TableBlock"/>
              <w:rPr>
                <w:rtl/>
              </w:rPr>
            </w:pPr>
            <w:r>
              <w:rPr>
                <w:rFonts w:hint="cs"/>
                <w:rtl/>
              </w:rPr>
              <w:t xml:space="preserve">הוראות </w:t>
            </w:r>
            <w:r w:rsidRPr="00966A59">
              <w:rPr>
                <w:rtl/>
              </w:rPr>
              <w:t>החוק למניעת הטרדה מינית, התשנ"ח</w:t>
            </w:r>
            <w:r>
              <w:rPr>
                <w:rFonts w:hint="cs"/>
                <w:rtl/>
              </w:rPr>
              <w:t>–</w:t>
            </w:r>
            <w:r w:rsidRPr="00966A59">
              <w:rPr>
                <w:rtl/>
              </w:rPr>
              <w:t>1998</w:t>
            </w:r>
            <w:r w:rsidR="00C43E90">
              <w:rPr>
                <w:rStyle w:val="a5"/>
                <w:rtl/>
              </w:rPr>
              <w:footnoteReference w:id="5"/>
            </w:r>
            <w:r>
              <w:rPr>
                <w:rFonts w:hint="cs"/>
                <w:rtl/>
              </w:rPr>
              <w:t>, הוראות סעיף 8 ל</w:t>
            </w:r>
            <w:r w:rsidRPr="00966A59">
              <w:rPr>
                <w:rtl/>
              </w:rPr>
              <w:t>חוק שוויון זכויות לאנשים עם מוגבלות</w:t>
            </w:r>
            <w:r>
              <w:rPr>
                <w:rFonts w:hint="cs"/>
                <w:rtl/>
              </w:rPr>
              <w:t>,</w:t>
            </w:r>
            <w:r w:rsidRPr="00966A59">
              <w:rPr>
                <w:rtl/>
              </w:rPr>
              <w:t xml:space="preserve"> התשנ"ח</w:t>
            </w:r>
            <w:r>
              <w:rPr>
                <w:rFonts w:hint="cs"/>
                <w:rtl/>
              </w:rPr>
              <w:t>–</w:t>
            </w:r>
            <w:r w:rsidR="00C43E90">
              <w:rPr>
                <w:rtl/>
              </w:rPr>
              <w:t>1998</w:t>
            </w:r>
            <w:r w:rsidR="00C43E90">
              <w:rPr>
                <w:rStyle w:val="a5"/>
                <w:rtl/>
              </w:rPr>
              <w:footnoteReference w:id="6"/>
            </w:r>
            <w:r w:rsidR="00C43E90">
              <w:rPr>
                <w:rFonts w:hint="cs"/>
                <w:rtl/>
              </w:rPr>
              <w:t xml:space="preserve">, </w:t>
            </w:r>
            <w:r w:rsidRPr="00966A59">
              <w:rPr>
                <w:rtl/>
              </w:rPr>
              <w:t>ו</w:t>
            </w:r>
            <w:r>
              <w:rPr>
                <w:rFonts w:hint="cs"/>
                <w:rtl/>
              </w:rPr>
              <w:t>הוראות סעיף 2 ל</w:t>
            </w:r>
            <w:r w:rsidRPr="00966A59">
              <w:rPr>
                <w:rtl/>
              </w:rPr>
              <w:t>חוק שוויון ההזדמנויות בעבודה, התשמ"ח</w:t>
            </w:r>
            <w:r>
              <w:rPr>
                <w:rFonts w:hint="cs"/>
                <w:rtl/>
              </w:rPr>
              <w:t>–</w:t>
            </w:r>
            <w:r>
              <w:rPr>
                <w:rtl/>
              </w:rPr>
              <w:t>1988</w:t>
            </w:r>
            <w:r w:rsidR="00C43E90">
              <w:rPr>
                <w:rStyle w:val="a5"/>
                <w:rtl/>
              </w:rPr>
              <w:footnoteReference w:id="7"/>
            </w:r>
            <w:r>
              <w:rPr>
                <w:rtl/>
              </w:rPr>
              <w:t>,</w:t>
            </w:r>
            <w:r w:rsidRPr="00966A59">
              <w:rPr>
                <w:rtl/>
              </w:rPr>
              <w:t xml:space="preserve"> </w:t>
            </w:r>
            <w:r>
              <w:rPr>
                <w:rFonts w:hint="cs"/>
                <w:rtl/>
              </w:rPr>
              <w:t xml:space="preserve">החלות לעניין מעסיק כלפי עובדו או דורש עבודה, </w:t>
            </w:r>
            <w:r w:rsidRPr="00966A59">
              <w:rPr>
                <w:rtl/>
              </w:rPr>
              <w:t xml:space="preserve">יחולו על המפעילה </w:t>
            </w:r>
            <w:r>
              <w:rPr>
                <w:rFonts w:hint="cs"/>
                <w:rtl/>
              </w:rPr>
              <w:t>כלפי ה</w:t>
            </w:r>
            <w:r w:rsidRPr="00966A59">
              <w:rPr>
                <w:rtl/>
              </w:rPr>
              <w:t>עוסק, בשינויים המחויבים.</w:t>
            </w:r>
            <w:r>
              <w:rPr>
                <w:rFonts w:hint="cs"/>
                <w:rtl/>
              </w:rPr>
              <w:t xml:space="preserve"> </w:t>
            </w:r>
          </w:p>
        </w:tc>
      </w:tr>
      <w:tr w:rsidR="00D96FB6" w14:paraId="04235E1E" w14:textId="77777777" w:rsidTr="00C43E90">
        <w:trPr>
          <w:cantSplit/>
        </w:trPr>
        <w:tc>
          <w:tcPr>
            <w:tcW w:w="1871" w:type="dxa"/>
          </w:tcPr>
          <w:p w14:paraId="5715B6BC" w14:textId="77777777" w:rsidR="00D96FB6" w:rsidRDefault="00D96FB6" w:rsidP="00D96FB6">
            <w:pPr>
              <w:pStyle w:val="TableSideHeading"/>
              <w:keepLines w:val="0"/>
              <w:rPr>
                <w:rtl/>
              </w:rPr>
            </w:pPr>
            <w:r w:rsidRPr="00966A59">
              <w:rPr>
                <w:rtl/>
              </w:rPr>
              <w:t>הכשרת בטיחות</w:t>
            </w:r>
          </w:p>
        </w:tc>
        <w:tc>
          <w:tcPr>
            <w:tcW w:w="624" w:type="dxa"/>
          </w:tcPr>
          <w:p w14:paraId="77103C56" w14:textId="77777777" w:rsidR="00D96FB6" w:rsidRDefault="00D96FB6" w:rsidP="00D96FB6">
            <w:pPr>
              <w:pStyle w:val="TableText"/>
              <w:rPr>
                <w:rtl/>
              </w:rPr>
            </w:pPr>
            <w:r>
              <w:rPr>
                <w:rFonts w:hint="cs"/>
                <w:rtl/>
              </w:rPr>
              <w:t>6.</w:t>
            </w:r>
          </w:p>
        </w:tc>
        <w:tc>
          <w:tcPr>
            <w:tcW w:w="7143" w:type="dxa"/>
          </w:tcPr>
          <w:p w14:paraId="44E79A9D" w14:textId="77777777" w:rsidR="00D96FB6" w:rsidRDefault="00D96FB6" w:rsidP="00C43E90">
            <w:pPr>
              <w:pStyle w:val="TableBlock"/>
              <w:rPr>
                <w:rtl/>
              </w:rPr>
            </w:pPr>
            <w:r w:rsidRPr="00966A59">
              <w:rPr>
                <w:rtl/>
              </w:rPr>
              <w:t xml:space="preserve">סמוך לאחר תחילת ההתקשרות בין המפעילה לבין העוסק, העוסק יעבור הדרכה </w:t>
            </w:r>
            <w:r>
              <w:rPr>
                <w:rFonts w:hint="cs"/>
                <w:rtl/>
              </w:rPr>
              <w:t xml:space="preserve">מטעם </w:t>
            </w:r>
            <w:r w:rsidRPr="00966A59">
              <w:rPr>
                <w:rtl/>
              </w:rPr>
              <w:t>המפעילה בדבר מניעת סיכונים הכרוכים במתן השירות והגנה מפניהם</w:t>
            </w:r>
            <w:r>
              <w:rPr>
                <w:rFonts w:hint="cs"/>
                <w:rtl/>
              </w:rPr>
              <w:t>; העוסק יעבור הדרכה חוזרת כאמור אחת לשנה לפחות.</w:t>
            </w:r>
            <w:r w:rsidRPr="00966A59">
              <w:rPr>
                <w:rtl/>
              </w:rPr>
              <w:t xml:space="preserve"> </w:t>
            </w:r>
            <w:r>
              <w:rPr>
                <w:rFonts w:hint="cs"/>
                <w:rtl/>
              </w:rPr>
              <w:t>ההדרכ</w:t>
            </w:r>
            <w:r w:rsidRPr="00966A59">
              <w:rPr>
                <w:rtl/>
              </w:rPr>
              <w:t>ה יכולה להתבצע באופן מקוון או פיזי, בהתאם להחלטת המפעילה.</w:t>
            </w:r>
          </w:p>
        </w:tc>
      </w:tr>
      <w:tr w:rsidR="00D96FB6" w14:paraId="65C14912" w14:textId="77777777" w:rsidTr="00C43E90">
        <w:trPr>
          <w:cantSplit/>
        </w:trPr>
        <w:tc>
          <w:tcPr>
            <w:tcW w:w="1871" w:type="dxa"/>
          </w:tcPr>
          <w:p w14:paraId="5BDE59A6" w14:textId="77777777" w:rsidR="00D96FB6" w:rsidRDefault="00D96FB6" w:rsidP="00D96FB6">
            <w:pPr>
              <w:pStyle w:val="TableSideHeading"/>
              <w:keepLines w:val="0"/>
              <w:rPr>
                <w:rtl/>
              </w:rPr>
            </w:pPr>
            <w:r w:rsidRPr="00966A59">
              <w:rPr>
                <w:rtl/>
              </w:rPr>
              <w:t>הגבלת זמן מתן השירותים</w:t>
            </w:r>
          </w:p>
        </w:tc>
        <w:tc>
          <w:tcPr>
            <w:tcW w:w="624" w:type="dxa"/>
          </w:tcPr>
          <w:p w14:paraId="7C220A58" w14:textId="77777777" w:rsidR="00D96FB6" w:rsidRDefault="00D96FB6" w:rsidP="00D96FB6">
            <w:pPr>
              <w:pStyle w:val="TableText"/>
              <w:rPr>
                <w:rtl/>
              </w:rPr>
            </w:pPr>
            <w:r>
              <w:rPr>
                <w:rFonts w:hint="cs"/>
                <w:rtl/>
              </w:rPr>
              <w:t>7.</w:t>
            </w:r>
          </w:p>
        </w:tc>
        <w:tc>
          <w:tcPr>
            <w:tcW w:w="7143" w:type="dxa"/>
          </w:tcPr>
          <w:p w14:paraId="40F3D864" w14:textId="77777777" w:rsidR="00D96FB6" w:rsidRDefault="00D96FB6" w:rsidP="00C43E90">
            <w:pPr>
              <w:pStyle w:val="TableBlock"/>
              <w:rPr>
                <w:rtl/>
              </w:rPr>
            </w:pPr>
            <w:r w:rsidRPr="00966A59">
              <w:rPr>
                <w:rtl/>
              </w:rPr>
              <w:t>המפעילה לא תציע לעוסק לספק שירות כאשר זמן מתן השירות על ידי העוסק באותה יממה עלה על 12 שעות.</w:t>
            </w:r>
          </w:p>
        </w:tc>
      </w:tr>
      <w:tr w:rsidR="00D96FB6" w14:paraId="19BF37B7" w14:textId="77777777" w:rsidTr="00C43E90">
        <w:trPr>
          <w:cantSplit/>
        </w:trPr>
        <w:tc>
          <w:tcPr>
            <w:tcW w:w="1871" w:type="dxa"/>
          </w:tcPr>
          <w:p w14:paraId="431D2216" w14:textId="77777777" w:rsidR="00D96FB6" w:rsidRDefault="00D96FB6" w:rsidP="00D96FB6">
            <w:pPr>
              <w:pStyle w:val="TableSideHeading"/>
              <w:keepLines w:val="0"/>
              <w:rPr>
                <w:rtl/>
              </w:rPr>
            </w:pPr>
            <w:r w:rsidRPr="00966A59">
              <w:rPr>
                <w:rtl/>
              </w:rPr>
              <w:t>הודעה על סיום התקשרות</w:t>
            </w:r>
          </w:p>
        </w:tc>
        <w:tc>
          <w:tcPr>
            <w:tcW w:w="624" w:type="dxa"/>
          </w:tcPr>
          <w:p w14:paraId="4FB18B12" w14:textId="77777777" w:rsidR="00D96FB6" w:rsidRDefault="00D96FB6" w:rsidP="00D96FB6">
            <w:pPr>
              <w:pStyle w:val="TableText"/>
              <w:rPr>
                <w:rtl/>
              </w:rPr>
            </w:pPr>
            <w:r>
              <w:rPr>
                <w:rFonts w:hint="cs"/>
                <w:rtl/>
              </w:rPr>
              <w:t>8.</w:t>
            </w:r>
          </w:p>
        </w:tc>
        <w:tc>
          <w:tcPr>
            <w:tcW w:w="7143" w:type="dxa"/>
          </w:tcPr>
          <w:p w14:paraId="69310CA6" w14:textId="77777777" w:rsidR="00D96FB6" w:rsidRDefault="00D96FB6" w:rsidP="00C43E90">
            <w:pPr>
              <w:pStyle w:val="TableBlock"/>
              <w:rPr>
                <w:rtl/>
              </w:rPr>
            </w:pPr>
            <w:r w:rsidRPr="00966A59">
              <w:rPr>
                <w:rtl/>
              </w:rPr>
              <w:t>מפעילה המבקשת להפסיק התקשרותה עם עוסק תיתן לו הודעה מראש בת שבעה ימים טרם הפסקת ההתקשרות</w:t>
            </w:r>
            <w:r>
              <w:rPr>
                <w:rFonts w:hint="cs"/>
                <w:rtl/>
              </w:rPr>
              <w:t>, וזאת לאחר שתינתן לו הזדמנות הוגנת להשמיע את טענותיו בהתאם לנוהל שתכין המפעילה;</w:t>
            </w:r>
            <w:r w:rsidRPr="00966A59">
              <w:rPr>
                <w:rtl/>
              </w:rPr>
              <w:t xml:space="preserve"> סעיף זה לא יחול במקרים בהם ישנן נסיבות מיוחדות המצדיקות את סיום פעילות העוסק לאלתר.</w:t>
            </w:r>
          </w:p>
        </w:tc>
      </w:tr>
      <w:tr w:rsidR="00D96FB6" w14:paraId="6FD72B36" w14:textId="77777777" w:rsidTr="00C43E90">
        <w:trPr>
          <w:cantSplit/>
        </w:trPr>
        <w:tc>
          <w:tcPr>
            <w:tcW w:w="1871" w:type="dxa"/>
          </w:tcPr>
          <w:p w14:paraId="57C9212D" w14:textId="77777777" w:rsidR="00D96FB6" w:rsidRDefault="00D96FB6" w:rsidP="00D96FB6">
            <w:pPr>
              <w:pStyle w:val="TableSideHeading"/>
              <w:keepLines w:val="0"/>
              <w:rPr>
                <w:rtl/>
              </w:rPr>
            </w:pPr>
            <w:r w:rsidRPr="006E6B0D">
              <w:rPr>
                <w:rtl/>
              </w:rPr>
              <w:t>מועד לתשלום התמורה</w:t>
            </w:r>
          </w:p>
        </w:tc>
        <w:tc>
          <w:tcPr>
            <w:tcW w:w="624" w:type="dxa"/>
          </w:tcPr>
          <w:p w14:paraId="5A0A8FF1" w14:textId="780987AE" w:rsidR="00D96FB6" w:rsidRDefault="00D96FB6" w:rsidP="00D96FB6">
            <w:pPr>
              <w:pStyle w:val="TableText"/>
              <w:rPr>
                <w:rtl/>
              </w:rPr>
            </w:pPr>
            <w:r>
              <w:rPr>
                <w:rFonts w:hint="cs"/>
                <w:rtl/>
              </w:rPr>
              <w:t>9.</w:t>
            </w:r>
          </w:p>
        </w:tc>
        <w:tc>
          <w:tcPr>
            <w:tcW w:w="7143" w:type="dxa"/>
          </w:tcPr>
          <w:p w14:paraId="6240ED29" w14:textId="77777777" w:rsidR="00D96FB6" w:rsidRDefault="00D96FB6" w:rsidP="00C43E90">
            <w:pPr>
              <w:pStyle w:val="TableBlock"/>
              <w:rPr>
                <w:rtl/>
              </w:rPr>
            </w:pPr>
            <w:r w:rsidRPr="006E6B0D">
              <w:rPr>
                <w:rtl/>
              </w:rPr>
              <w:t>התמורה תשולם לעוסק על ידי המפעילה בתוך שבעה ימים מתום תקופת התשלום המוסכמת, אלא אם</w:t>
            </w:r>
            <w:r>
              <w:rPr>
                <w:rFonts w:hint="cs"/>
                <w:rtl/>
              </w:rPr>
              <w:t xml:space="preserve"> כן הוסכם </w:t>
            </w:r>
            <w:r w:rsidRPr="006E6B0D">
              <w:rPr>
                <w:rtl/>
              </w:rPr>
              <w:t>בין הצדדים אחרת בכתב</w:t>
            </w:r>
            <w:r>
              <w:rPr>
                <w:rFonts w:hint="cs"/>
                <w:rtl/>
              </w:rPr>
              <w:t xml:space="preserve"> במסגרת ההתקשרות</w:t>
            </w:r>
            <w:r w:rsidRPr="006E6B0D">
              <w:rPr>
                <w:rtl/>
              </w:rPr>
              <w:t>.</w:t>
            </w:r>
          </w:p>
        </w:tc>
      </w:tr>
      <w:tr w:rsidR="00D96FB6" w14:paraId="06E2E2E8" w14:textId="77777777" w:rsidTr="00C43E90">
        <w:trPr>
          <w:cantSplit/>
        </w:trPr>
        <w:tc>
          <w:tcPr>
            <w:tcW w:w="1871" w:type="dxa"/>
          </w:tcPr>
          <w:p w14:paraId="2CA1B758" w14:textId="77777777" w:rsidR="00D96FB6" w:rsidRDefault="00D96FB6" w:rsidP="00D96FB6">
            <w:pPr>
              <w:pStyle w:val="TableSideHeading"/>
              <w:keepLines w:val="0"/>
              <w:rPr>
                <w:rtl/>
              </w:rPr>
            </w:pPr>
            <w:r w:rsidRPr="006E6B0D">
              <w:rPr>
                <w:rtl/>
              </w:rPr>
              <w:t xml:space="preserve">ביצוע </w:t>
            </w:r>
          </w:p>
        </w:tc>
        <w:tc>
          <w:tcPr>
            <w:tcW w:w="624" w:type="dxa"/>
          </w:tcPr>
          <w:p w14:paraId="53038734" w14:textId="0F2C5C48" w:rsidR="00D96FB6" w:rsidRDefault="00D96FB6" w:rsidP="00D96FB6">
            <w:pPr>
              <w:pStyle w:val="TableText"/>
              <w:rPr>
                <w:rtl/>
              </w:rPr>
            </w:pPr>
            <w:r>
              <w:rPr>
                <w:rFonts w:hint="cs"/>
                <w:rtl/>
              </w:rPr>
              <w:t>10.</w:t>
            </w:r>
          </w:p>
        </w:tc>
        <w:tc>
          <w:tcPr>
            <w:tcW w:w="7143" w:type="dxa"/>
          </w:tcPr>
          <w:p w14:paraId="4966C6BB" w14:textId="77777777" w:rsidR="00D96FB6" w:rsidRDefault="00D96FB6" w:rsidP="00C43E90">
            <w:pPr>
              <w:pStyle w:val="TableBlock"/>
              <w:rPr>
                <w:rtl/>
              </w:rPr>
            </w:pPr>
            <w:r w:rsidRPr="006E6B0D">
              <w:rPr>
                <w:rtl/>
              </w:rPr>
              <w:t>שר העבודה ממונה על ביצוע חוק זה</w:t>
            </w:r>
            <w:r w:rsidRPr="006E6B0D">
              <w:t>.</w:t>
            </w:r>
          </w:p>
        </w:tc>
      </w:tr>
      <w:tr w:rsidR="00D96FB6" w14:paraId="79363566" w14:textId="77777777" w:rsidTr="00C43E90">
        <w:trPr>
          <w:cantSplit/>
        </w:trPr>
        <w:tc>
          <w:tcPr>
            <w:tcW w:w="1871" w:type="dxa"/>
          </w:tcPr>
          <w:p w14:paraId="49279222" w14:textId="77777777" w:rsidR="00D96FB6" w:rsidRDefault="00D96FB6" w:rsidP="00D96FB6">
            <w:pPr>
              <w:pStyle w:val="TableSideHeading"/>
              <w:keepLines w:val="0"/>
              <w:rPr>
                <w:rtl/>
              </w:rPr>
            </w:pPr>
            <w:r w:rsidRPr="006E6B0D">
              <w:rPr>
                <w:rtl/>
              </w:rPr>
              <w:t>תחילה</w:t>
            </w:r>
          </w:p>
        </w:tc>
        <w:tc>
          <w:tcPr>
            <w:tcW w:w="624" w:type="dxa"/>
          </w:tcPr>
          <w:p w14:paraId="0E1DF081" w14:textId="0F8223AD" w:rsidR="00D96FB6" w:rsidRDefault="00D96FB6" w:rsidP="00D96FB6">
            <w:pPr>
              <w:pStyle w:val="TableText"/>
              <w:rPr>
                <w:rtl/>
              </w:rPr>
            </w:pPr>
            <w:r>
              <w:rPr>
                <w:rFonts w:hint="cs"/>
                <w:rtl/>
              </w:rPr>
              <w:t>11.</w:t>
            </w:r>
          </w:p>
        </w:tc>
        <w:tc>
          <w:tcPr>
            <w:tcW w:w="7143" w:type="dxa"/>
          </w:tcPr>
          <w:p w14:paraId="2DA049A6" w14:textId="676E6975" w:rsidR="00D96FB6" w:rsidRDefault="00D96FB6" w:rsidP="00C43E90">
            <w:pPr>
              <w:pStyle w:val="TableBlock"/>
            </w:pPr>
            <w:r>
              <w:rPr>
                <w:rtl/>
              </w:rPr>
              <w:t xml:space="preserve">תחילתו של חוק זה </w:t>
            </w:r>
            <w:r w:rsidR="00C43E90">
              <w:rPr>
                <w:rFonts w:hint="cs"/>
                <w:rtl/>
              </w:rPr>
              <w:t>ב</w:t>
            </w:r>
            <w:r>
              <w:rPr>
                <w:rFonts w:hint="cs"/>
                <w:rtl/>
              </w:rPr>
              <w:t>יום ......</w:t>
            </w:r>
            <w:r w:rsidRPr="00C43E90">
              <w:rPr>
                <w:rStyle w:val="a5"/>
                <w:rFonts w:ascii="David" w:hAnsi="David"/>
                <w:sz w:val="26"/>
                <w:rtl/>
              </w:rPr>
              <w:footnoteReference w:customMarkFollows="1" w:id="8"/>
              <w:t>*</w:t>
            </w:r>
          </w:p>
        </w:tc>
      </w:tr>
    </w:tbl>
    <w:p w14:paraId="2FAB90ED" w14:textId="77777777" w:rsidR="00CC7A7C" w:rsidRDefault="00CC7A7C" w:rsidP="00CC7A7C"/>
    <w:p w14:paraId="63E3AC23" w14:textId="77777777" w:rsidR="00CC7A7C" w:rsidRPr="00D54351" w:rsidRDefault="00CC7A7C" w:rsidP="00CC7A7C">
      <w:pPr>
        <w:pStyle w:val="HeadDivreiHesber"/>
        <w:rPr>
          <w:rtl/>
        </w:rPr>
      </w:pPr>
      <w:r w:rsidRPr="00D54351">
        <w:rPr>
          <w:rFonts w:hint="cs"/>
          <w:rtl/>
        </w:rPr>
        <w:t>דברי הסבר</w:t>
      </w:r>
    </w:p>
    <w:p w14:paraId="304FA4F7" w14:textId="77777777" w:rsidR="00CC7A7C" w:rsidRDefault="00CC7A7C" w:rsidP="00D96FB6">
      <w:pPr>
        <w:pStyle w:val="Hesber"/>
        <w:spacing w:line="240" w:lineRule="auto"/>
        <w:rPr>
          <w:rtl/>
        </w:rPr>
      </w:pPr>
      <w:r w:rsidRPr="00D54351">
        <w:rPr>
          <w:rtl/>
        </w:rPr>
        <w:t>בשנים האחרונות התפתח בעולם בכלל ובישראל בפרט, מודל כלכלי חדש המתבסס על שימוש בפלטפורמות מקוונות המחברות בין צדדים המבקשים לספק שירות או מוצר למי שמבקשים לצרוך אותם. מודל זה, המכונה "כלכלת הפלטפורמה", צבר תאוצה והפך לתופעה חברתית ניכרת, העומדת לפתחם של מקבלי ההחלטות בזירה הציבורית והמשפטית כאחד</w:t>
      </w:r>
      <w:r w:rsidRPr="00D54351">
        <w:rPr>
          <w:rFonts w:hint="cs"/>
          <w:rtl/>
        </w:rPr>
        <w:t xml:space="preserve">. </w:t>
      </w:r>
    </w:p>
    <w:p w14:paraId="7A7860EF" w14:textId="77777777" w:rsidR="00CC7A7C" w:rsidRDefault="00CC7A7C" w:rsidP="00D96FB6">
      <w:pPr>
        <w:pStyle w:val="Hesber"/>
        <w:spacing w:line="240" w:lineRule="auto"/>
        <w:rPr>
          <w:rtl/>
        </w:rPr>
      </w:pPr>
      <w:r w:rsidRPr="00D54351">
        <w:rPr>
          <w:rtl/>
        </w:rPr>
        <w:t xml:space="preserve">כלכלת הפלטפורמה הגדילה באופן משמעותי את היעילות והפריון במקומות בהם היא מתקיימת, הביאה לשיפור רמת השירות וכן להנגשת שורה ארוכה של שירותים ומוצרים לכלל הציבור. לכלכלת הפלטפורמה יש גם השפעות רחבות על שוק התעסוקה, </w:t>
      </w:r>
      <w:r w:rsidRPr="00D54351">
        <w:rPr>
          <w:rFonts w:hint="cs"/>
          <w:rtl/>
        </w:rPr>
        <w:t xml:space="preserve">והיא </w:t>
      </w:r>
      <w:r w:rsidRPr="00D54351">
        <w:rPr>
          <w:rtl/>
        </w:rPr>
        <w:t>תורמת לגיוון, לגמישות וליכולת העמידה של שוק התעסוקה בעולם. בצד היתרונות הגדולים למקבלי השירות בכלכלת הפלטפורמה, ישנם יתרונות משמעותיים</w:t>
      </w:r>
      <w:r w:rsidRPr="00D54351">
        <w:rPr>
          <w:rFonts w:hint="cs"/>
          <w:rtl/>
        </w:rPr>
        <w:t xml:space="preserve"> גם </w:t>
      </w:r>
      <w:r w:rsidRPr="00D54351">
        <w:rPr>
          <w:rtl/>
        </w:rPr>
        <w:t xml:space="preserve">לעוסקים בכלכלת הפלטפורמה: מודל זה מאפשר לעוסקים בו גמישות חסרת תקדים. </w:t>
      </w:r>
    </w:p>
    <w:p w14:paraId="772B9C6B" w14:textId="77777777" w:rsidR="00CC7A7C" w:rsidRDefault="00CC7A7C" w:rsidP="00D96FB6">
      <w:pPr>
        <w:pStyle w:val="Hesber"/>
        <w:spacing w:line="240" w:lineRule="auto"/>
        <w:rPr>
          <w:rtl/>
        </w:rPr>
      </w:pPr>
      <w:r w:rsidRPr="00D54351">
        <w:rPr>
          <w:rtl/>
        </w:rPr>
        <w:lastRenderedPageBreak/>
        <w:t>יכולת הבחירה והגמישות בהגדרת הזמינות לעבודה, היקף העבודה, תיזמון העבודה, ויכולת השהיית העבודה באופן אוטונומי לחלוטין, הפכו מודל פעילות זה למודל שהביקוש אליו עולה וש</w:t>
      </w:r>
      <w:r w:rsidRPr="00D54351">
        <w:rPr>
          <w:rFonts w:hint="cs"/>
          <w:rtl/>
        </w:rPr>
        <w:t>הוא</w:t>
      </w:r>
      <w:r w:rsidRPr="00D54351">
        <w:rPr>
          <w:rtl/>
        </w:rPr>
        <w:t xml:space="preserve"> אטרקטיבי בעבור אוכלוסיות רבות ומגוונות. שינויים אלו ומגמה זו יצרו בשטח מציאות חדשה ובה הקטגוריות הישנות של "עצמאי" ו"שכיר" אינן נותנות מסגרת הולמת אשר מבטיחה מחד את שימור יתרונות המודל הכלכלי ומאידך מסדירה רשת ביטחון ראויה לעוסקים בכלכלת הפלטפורמה. </w:t>
      </w:r>
    </w:p>
    <w:p w14:paraId="5F1CAEC7" w14:textId="77777777" w:rsidR="00CC7A7C" w:rsidRDefault="00CC7A7C" w:rsidP="00D96FB6">
      <w:pPr>
        <w:pStyle w:val="Hesber"/>
        <w:spacing w:line="240" w:lineRule="auto"/>
        <w:rPr>
          <w:rtl/>
        </w:rPr>
      </w:pPr>
      <w:r w:rsidRPr="00D54351">
        <w:rPr>
          <w:rtl/>
        </w:rPr>
        <w:t>לאורך השנים, בהעדר הסדרה בחקיקה, פותחו בפסיקה המבחנים לקיומם של יחסי עבודה, תוך הבחנה בין קיום יחסי עבודה לבין מתכונות אחרות של התקשרות. לאורך השנים נמתחה ביקורת על המבחנים אשר פותחו בפסיקה, ביקורת אשר התעצמה בשנים האחרונות, וזאת לאור התמורות המשמעותיות, כולל טכנול</w:t>
      </w:r>
      <w:r w:rsidRPr="00D54351">
        <w:rPr>
          <w:rFonts w:hint="cs"/>
          <w:rtl/>
        </w:rPr>
        <w:t>ו</w:t>
      </w:r>
      <w:r w:rsidRPr="00D54351">
        <w:rPr>
          <w:rtl/>
        </w:rPr>
        <w:t xml:space="preserve">גיה וחדשנות, המתרחשות בעולם התעסוקה. כך, נסיקתה של כלכלת הפלטפורמות בשנים האחרונות לימדה כי ההבחנות המסורתיות בין עובד שכיר לבין קבלן עצמאי, אשר פותחו בעיקרן על ידי בתי הדין לעבודה, ונבחנות בכל מקרה ומקרה לפי נסיבותיו, אינן נותנות מענה הולם לעוסקים בכלכלת הפלטפורמות ולחברות המפעילות את הפלטפורמה. </w:t>
      </w:r>
    </w:p>
    <w:p w14:paraId="6A69F683" w14:textId="77777777" w:rsidR="00CC7A7C" w:rsidRDefault="00CC7A7C" w:rsidP="00D96FB6">
      <w:pPr>
        <w:pStyle w:val="Hesber"/>
        <w:spacing w:line="240" w:lineRule="auto"/>
        <w:rPr>
          <w:rtl/>
        </w:rPr>
      </w:pPr>
      <w:r w:rsidRPr="00D54351">
        <w:rPr>
          <w:rtl/>
        </w:rPr>
        <w:t xml:space="preserve">בהתאם, המצב המשפטי הנוהג עלול להוביל לסיווג שגוי, אשר </w:t>
      </w:r>
      <w:r w:rsidRPr="00D54351">
        <w:rPr>
          <w:rFonts w:hint="cs"/>
          <w:rtl/>
        </w:rPr>
        <w:t>י</w:t>
      </w:r>
      <w:r w:rsidRPr="00D54351">
        <w:rPr>
          <w:rtl/>
        </w:rPr>
        <w:t xml:space="preserve">פגע קודם כל ברצון </w:t>
      </w:r>
      <w:r w:rsidRPr="00D54351">
        <w:rPr>
          <w:rFonts w:hint="cs"/>
          <w:rtl/>
        </w:rPr>
        <w:t xml:space="preserve">העוסקים </w:t>
      </w:r>
      <w:r w:rsidRPr="00D54351">
        <w:rPr>
          <w:rtl/>
        </w:rPr>
        <w:t>העצמאיים וביכולות הגמישות והניהול העצמית שלהם לפרנסה ראויה. לצד זאת תיפגע גם היכולת של מפעילת הפלטפורמה לפעול לתווך באופן גמיש ויעיל בין הצרכן לעוסק</w:t>
      </w:r>
      <w:r w:rsidRPr="00D54351">
        <w:rPr>
          <w:rFonts w:hint="cs"/>
          <w:rtl/>
        </w:rPr>
        <w:t>,</w:t>
      </w:r>
      <w:r w:rsidRPr="00D54351">
        <w:rPr>
          <w:rtl/>
        </w:rPr>
        <w:t xml:space="preserve"> על שלל היתרונות המאקרו כלכליים למשק שנושאת עימה פעילות זו. </w:t>
      </w:r>
    </w:p>
    <w:p w14:paraId="7E22E0D8" w14:textId="6771903E" w:rsidR="00CC7A7C" w:rsidRDefault="00CC7A7C" w:rsidP="00D96FB6">
      <w:pPr>
        <w:pStyle w:val="Hesber"/>
        <w:spacing w:line="240" w:lineRule="auto"/>
        <w:rPr>
          <w:rtl/>
        </w:rPr>
      </w:pPr>
      <w:r w:rsidRPr="00D54351">
        <w:rPr>
          <w:rtl/>
        </w:rPr>
        <w:t>לפיכך, על מנת למצות את כלל היתרונות של כלכלת הפלטפורמה בישראל ובראשן התמיכה בעסקים קטנים ובינוניים, גיוון שוק התעסוקה ושמירה על עצמאות והרצון של העוסקים בכלכלת הפלטפורמה מוצע לקבוע כי לעוסקים יוענקו הגנות שונות, תובטח להם תמורה מינימאלית</w:t>
      </w:r>
      <w:r w:rsidRPr="00D54351">
        <w:rPr>
          <w:rFonts w:hint="cs"/>
          <w:rtl/>
        </w:rPr>
        <w:t xml:space="preserve">, תהיה הגנה על שעות מתן השירות, תידרש הדרכה בעניין בטיחות וכן תינתן הודעה מוקדמת ויבוצע שימוע לפני הפסקת ההתקשרות ותינתן הגנה מפני הטרדה מינית ואפליה ובצד זה ייקבע כי לא יתקיימו יחסי עבודה. כמו כן תימנע פגיעה בעצמאותם של העוסקים להחליט על היקף פעולתם במסגרת הפלטפורמה ובאפשרותם לתת את השירות גם במסגרות אחרות, </w:t>
      </w:r>
      <w:r w:rsidRPr="00D54351">
        <w:rPr>
          <w:rtl/>
        </w:rPr>
        <w:t xml:space="preserve">בין מפעילות </w:t>
      </w:r>
      <w:r w:rsidRPr="00D54351">
        <w:rPr>
          <w:rFonts w:hint="cs"/>
          <w:rtl/>
        </w:rPr>
        <w:t xml:space="preserve">הפלטפורמה </w:t>
      </w:r>
      <w:r w:rsidRPr="00D54351">
        <w:rPr>
          <w:rtl/>
        </w:rPr>
        <w:t>לבין העוסקים</w:t>
      </w:r>
      <w:r w:rsidRPr="00D54351">
        <w:rPr>
          <w:rFonts w:hint="cs"/>
          <w:rtl/>
        </w:rPr>
        <w:t xml:space="preserve">. </w:t>
      </w:r>
      <w:r w:rsidRPr="00D54351">
        <w:rPr>
          <w:rtl/>
        </w:rPr>
        <w:t xml:space="preserve">כל </w:t>
      </w:r>
      <w:r w:rsidRPr="00D54351">
        <w:rPr>
          <w:rFonts w:hint="cs"/>
          <w:rtl/>
        </w:rPr>
        <w:t xml:space="preserve">זאת </w:t>
      </w:r>
      <w:r w:rsidRPr="00D54351">
        <w:rPr>
          <w:rtl/>
        </w:rPr>
        <w:t>לצד שמירה על עקרונות היסוד של פעילות המפעילות, לרבות גמישות, אוטונומיה וניהול עצמי, מהם נהנים המשתמשים בפלטפורמה.</w:t>
      </w:r>
    </w:p>
    <w:p w14:paraId="0AB77E1B" w14:textId="0DBF036D" w:rsidR="00CC7A7C" w:rsidRPr="00D54351" w:rsidRDefault="00CC7A7C" w:rsidP="00C43E90">
      <w:pPr>
        <w:pStyle w:val="Hesber"/>
        <w:spacing w:line="240" w:lineRule="auto"/>
        <w:rPr>
          <w:rtl/>
        </w:rPr>
      </w:pPr>
      <w:r>
        <w:rPr>
          <w:rFonts w:hint="cs"/>
          <w:rtl/>
        </w:rPr>
        <w:t>הצעת חוק זהה הונחה על שולחן הכנסת העשרים וחמש על ידי חבר</w:t>
      </w:r>
      <w:r w:rsidR="00C43E90">
        <w:rPr>
          <w:rFonts w:hint="cs"/>
          <w:rtl/>
        </w:rPr>
        <w:t>י</w:t>
      </w:r>
      <w:r>
        <w:rPr>
          <w:rFonts w:hint="cs"/>
          <w:rtl/>
        </w:rPr>
        <w:t xml:space="preserve"> הכנסת משה פסל</w:t>
      </w:r>
      <w:r w:rsidR="00A97033">
        <w:rPr>
          <w:rFonts w:hint="cs"/>
          <w:rtl/>
        </w:rPr>
        <w:t xml:space="preserve"> </w:t>
      </w:r>
      <w:r w:rsidR="00C43E90">
        <w:rPr>
          <w:rFonts w:hint="cs"/>
          <w:rtl/>
        </w:rPr>
        <w:t xml:space="preserve">ודן אילוז </w:t>
      </w:r>
      <w:r w:rsidR="00A97033">
        <w:rPr>
          <w:rFonts w:hint="cs"/>
          <w:rtl/>
        </w:rPr>
        <w:t>(פ/5007/25).</w:t>
      </w:r>
    </w:p>
    <w:p w14:paraId="7F6961CB" w14:textId="2FDB61FF" w:rsidR="00E13C27" w:rsidRPr="00C70B18" w:rsidRDefault="00E13C27" w:rsidP="00D96FB6">
      <w:pPr>
        <w:pStyle w:val="HeadDivreiHesber"/>
        <w:spacing w:before="0" w:after="0" w:line="240" w:lineRule="auto"/>
        <w:rPr>
          <w:rtl/>
        </w:rPr>
      </w:pPr>
    </w:p>
    <w:p w14:paraId="57E38345" w14:textId="77777777" w:rsidR="008F5077" w:rsidRDefault="00AE76C2" w:rsidP="00D96FB6">
      <w:pPr>
        <w:spacing w:line="240" w:lineRule="auto"/>
        <w:jc w:val="left"/>
      </w:pPr>
      <w:bookmarkStart w:id="8" w:name="selectedDocDateB"/>
      <w:bookmarkEnd w:id="8"/>
      <w:r>
        <w:rPr>
          <w:rFonts w:eastAsia="David" w:hint="cs"/>
          <w:sz w:val="26"/>
          <w:szCs w:val="26"/>
          <w:rtl/>
        </w:rPr>
        <w:t>--------------------------------</w:t>
      </w:r>
    </w:p>
    <w:p w14:paraId="4E2FD89D" w14:textId="77777777" w:rsidR="008F5077" w:rsidRDefault="00AE76C2" w:rsidP="00D96FB6">
      <w:pPr>
        <w:spacing w:line="240" w:lineRule="auto"/>
        <w:jc w:val="left"/>
      </w:pPr>
      <w:r>
        <w:rPr>
          <w:rFonts w:eastAsia="David" w:hint="cs"/>
          <w:sz w:val="26"/>
          <w:szCs w:val="26"/>
          <w:rtl/>
        </w:rPr>
        <w:t>הוגשה ליו"ר הכנסת והסגנים</w:t>
      </w:r>
    </w:p>
    <w:p w14:paraId="1C95E41E" w14:textId="77777777" w:rsidR="008F5077" w:rsidRDefault="00AE76C2" w:rsidP="00D96FB6">
      <w:pPr>
        <w:spacing w:line="240" w:lineRule="auto"/>
        <w:jc w:val="left"/>
      </w:pPr>
      <w:r>
        <w:rPr>
          <w:rFonts w:eastAsia="David" w:hint="cs"/>
          <w:sz w:val="26"/>
          <w:szCs w:val="26"/>
          <w:rtl/>
        </w:rPr>
        <w:t>והונחה על שולחן הכנסת ביום</w:t>
      </w:r>
    </w:p>
    <w:p w14:paraId="3D5D07A6" w14:textId="77777777" w:rsidR="008F5077" w:rsidRDefault="00AE76C2" w:rsidP="00D96FB6">
      <w:pPr>
        <w:spacing w:line="240" w:lineRule="auto"/>
        <w:jc w:val="left"/>
      </w:pPr>
      <w:r>
        <w:rPr>
          <w:rFonts w:eastAsia="David" w:hint="cs"/>
          <w:sz w:val="26"/>
          <w:szCs w:val="26"/>
          <w:rtl/>
        </w:rPr>
        <w:t xml:space="preserve">י' בחשוון התשפ"ה (11.11.2024) </w:t>
      </w:r>
    </w:p>
    <w:p w14:paraId="37C69233" w14:textId="77777777" w:rsidR="008F5077" w:rsidRDefault="008F5077" w:rsidP="00D96FB6">
      <w:pPr>
        <w:spacing w:line="240" w:lineRule="auto"/>
        <w:jc w:val="left"/>
      </w:pPr>
    </w:p>
    <w:sectPr w:rsidR="008F5077" w:rsidSect="00C43E90">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6CAB8692"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B23265">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C43E90">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B18B5D5" w14:textId="729265FF" w:rsidR="00CC7A7C" w:rsidRDefault="00CC7A7C" w:rsidP="00CC7A7C">
      <w:pPr>
        <w:pStyle w:val="a4"/>
      </w:pPr>
      <w:r>
        <w:rPr>
          <w:rStyle w:val="a5"/>
        </w:rPr>
        <w:footnoteRef/>
      </w:r>
      <w:r>
        <w:rPr>
          <w:rtl/>
        </w:rPr>
        <w:t xml:space="preserve"> </w:t>
      </w:r>
      <w:r>
        <w:rPr>
          <w:rFonts w:ascii="David" w:eastAsia="David" w:hAnsi="David"/>
          <w:sz w:val="20"/>
          <w:rtl/>
        </w:rPr>
        <w:t xml:space="preserve">ס"ח </w:t>
      </w:r>
      <w:r>
        <w:rPr>
          <w:rFonts w:ascii="David" w:eastAsia="David" w:hAnsi="David" w:hint="cs"/>
          <w:sz w:val="20"/>
          <w:rtl/>
        </w:rPr>
        <w:t>ה</w:t>
      </w:r>
      <w:r>
        <w:rPr>
          <w:rFonts w:ascii="David" w:eastAsia="David" w:hAnsi="David"/>
          <w:sz w:val="20"/>
          <w:rtl/>
        </w:rPr>
        <w:t>תשנ"ט</w:t>
      </w:r>
      <w:r>
        <w:rPr>
          <w:rFonts w:ascii="David" w:eastAsia="David" w:hAnsi="David" w:hint="cs"/>
          <w:sz w:val="20"/>
          <w:rtl/>
        </w:rPr>
        <w:t>,</w:t>
      </w:r>
      <w:r w:rsidR="00C43E90">
        <w:rPr>
          <w:rFonts w:ascii="David" w:eastAsia="David" w:hAnsi="David"/>
          <w:sz w:val="20"/>
          <w:rtl/>
        </w:rPr>
        <w:t xml:space="preserve"> </w:t>
      </w:r>
      <w:r>
        <w:rPr>
          <w:rFonts w:ascii="David" w:eastAsia="David" w:hAnsi="David"/>
          <w:sz w:val="20"/>
          <w:rtl/>
        </w:rPr>
        <w:t>עמ' 189</w:t>
      </w:r>
      <w:r>
        <w:rPr>
          <w:rFonts w:ascii="David" w:eastAsia="David" w:hAnsi="David" w:hint="cs"/>
          <w:sz w:val="20"/>
          <w:rtl/>
        </w:rPr>
        <w:t>.</w:t>
      </w:r>
    </w:p>
  </w:footnote>
  <w:footnote w:id="3">
    <w:p w14:paraId="1E046D7E" w14:textId="755FDD7F" w:rsidR="00CC7A7C" w:rsidRDefault="00CC7A7C" w:rsidP="00CC7A7C">
      <w:pPr>
        <w:pStyle w:val="a4"/>
        <w:rPr>
          <w:rtl/>
        </w:rPr>
      </w:pPr>
      <w:r>
        <w:rPr>
          <w:rStyle w:val="a5"/>
        </w:rPr>
        <w:footnoteRef/>
      </w:r>
      <w:r>
        <w:rPr>
          <w:rtl/>
        </w:rPr>
        <w:t xml:space="preserve"> </w:t>
      </w:r>
      <w:r>
        <w:rPr>
          <w:rFonts w:ascii="David" w:eastAsia="David" w:hAnsi="David"/>
          <w:sz w:val="20"/>
          <w:rtl/>
        </w:rPr>
        <w:t xml:space="preserve">ס"ח </w:t>
      </w:r>
      <w:r>
        <w:rPr>
          <w:rFonts w:ascii="David" w:eastAsia="David" w:hAnsi="David" w:hint="cs"/>
          <w:sz w:val="20"/>
          <w:rtl/>
        </w:rPr>
        <w:t>ה</w:t>
      </w:r>
      <w:r>
        <w:rPr>
          <w:rFonts w:ascii="David" w:eastAsia="David" w:hAnsi="David"/>
          <w:sz w:val="20"/>
          <w:rtl/>
        </w:rPr>
        <w:t>תשל"ו</w:t>
      </w:r>
      <w:r>
        <w:rPr>
          <w:rFonts w:ascii="David" w:eastAsia="David" w:hAnsi="David" w:hint="cs"/>
          <w:sz w:val="20"/>
          <w:rtl/>
        </w:rPr>
        <w:t xml:space="preserve">, </w:t>
      </w:r>
      <w:r>
        <w:rPr>
          <w:rFonts w:ascii="David" w:eastAsia="David" w:hAnsi="David"/>
          <w:sz w:val="20"/>
          <w:rtl/>
        </w:rPr>
        <w:t>עמ' 52</w:t>
      </w:r>
      <w:r>
        <w:rPr>
          <w:rFonts w:ascii="David" w:eastAsia="David" w:hAnsi="David" w:hint="cs"/>
          <w:sz w:val="20"/>
          <w:rtl/>
        </w:rPr>
        <w:t>.</w:t>
      </w:r>
    </w:p>
  </w:footnote>
  <w:footnote w:id="4">
    <w:p w14:paraId="3CB88320" w14:textId="69DC4E3D" w:rsidR="00C43E90" w:rsidRDefault="00C43E90">
      <w:pPr>
        <w:pStyle w:val="a4"/>
      </w:pPr>
      <w:r>
        <w:rPr>
          <w:rStyle w:val="a5"/>
        </w:rPr>
        <w:footnoteRef/>
      </w:r>
      <w:r>
        <w:rPr>
          <w:rtl/>
        </w:rPr>
        <w:t xml:space="preserve"> </w:t>
      </w:r>
      <w:r>
        <w:rPr>
          <w:rFonts w:hint="cs"/>
          <w:rtl/>
        </w:rPr>
        <w:t>ס"ח התשמ"ז, עמ' 68.</w:t>
      </w:r>
    </w:p>
  </w:footnote>
  <w:footnote w:id="5">
    <w:p w14:paraId="311B72D0" w14:textId="5FADADE6" w:rsidR="00C43E90" w:rsidRDefault="00C43E90">
      <w:pPr>
        <w:pStyle w:val="a4"/>
      </w:pPr>
      <w:r>
        <w:rPr>
          <w:rStyle w:val="a5"/>
        </w:rPr>
        <w:footnoteRef/>
      </w:r>
      <w:r>
        <w:rPr>
          <w:rtl/>
        </w:rPr>
        <w:t xml:space="preserve"> </w:t>
      </w:r>
      <w:r>
        <w:rPr>
          <w:rFonts w:hint="cs"/>
          <w:rtl/>
        </w:rPr>
        <w:t>ס"ח התשנ"ח, עמ' 166.</w:t>
      </w:r>
    </w:p>
  </w:footnote>
  <w:footnote w:id="6">
    <w:p w14:paraId="001E8936" w14:textId="7050AE07" w:rsidR="00C43E90" w:rsidRDefault="00C43E90" w:rsidP="00C43E90">
      <w:pPr>
        <w:pStyle w:val="a4"/>
      </w:pPr>
      <w:r>
        <w:rPr>
          <w:rStyle w:val="a5"/>
        </w:rPr>
        <w:footnoteRef/>
      </w:r>
      <w:r>
        <w:rPr>
          <w:rtl/>
        </w:rPr>
        <w:t xml:space="preserve"> </w:t>
      </w:r>
      <w:r>
        <w:rPr>
          <w:rFonts w:hint="cs"/>
          <w:rtl/>
        </w:rPr>
        <w:t>ס"ח התשנ"ח, עמ' 152.</w:t>
      </w:r>
    </w:p>
  </w:footnote>
  <w:footnote w:id="7">
    <w:p w14:paraId="153F5D8E" w14:textId="4C7B1BF4" w:rsidR="00C43E90" w:rsidRDefault="00C43E90">
      <w:pPr>
        <w:pStyle w:val="a4"/>
      </w:pPr>
      <w:r>
        <w:rPr>
          <w:rStyle w:val="a5"/>
        </w:rPr>
        <w:footnoteRef/>
      </w:r>
      <w:r>
        <w:rPr>
          <w:rtl/>
        </w:rPr>
        <w:t xml:space="preserve"> </w:t>
      </w:r>
      <w:r>
        <w:rPr>
          <w:rFonts w:hint="cs"/>
          <w:rtl/>
        </w:rPr>
        <w:t>ס"ח התשמ"ח, עמ' 38.</w:t>
      </w:r>
    </w:p>
  </w:footnote>
  <w:footnote w:id="8">
    <w:p w14:paraId="2AE94EB2" w14:textId="77777777" w:rsidR="00D96FB6" w:rsidRDefault="00D96FB6" w:rsidP="00CC7A7C">
      <w:pPr>
        <w:pStyle w:val="a4"/>
      </w:pPr>
      <w:r>
        <w:rPr>
          <w:rStyle w:val="a5"/>
          <w:rtl/>
        </w:rPr>
        <w:t>*</w:t>
      </w:r>
      <w:r>
        <w:rPr>
          <w:rtl/>
        </w:rPr>
        <w:t xml:space="preserve"> </w:t>
      </w:r>
      <w:r>
        <w:rPr>
          <w:rFonts w:hint="cs"/>
          <w:rtl/>
        </w:rPr>
        <w:t>המועד ייקבע בעת הכנת הצעת החוק לקריאה הראשונה.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031D1"/>
    <w:multiLevelType w:val="multilevel"/>
    <w:tmpl w:val="9C8E58D6"/>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666E4"/>
    <w:multiLevelType w:val="multilevel"/>
    <w:tmpl w:val="FF8C268A"/>
    <w:lvl w:ilvl="0">
      <w:start w:val="1"/>
      <w:numFmt w:val="decimal"/>
      <w:lvlText w:val="%1."/>
      <w:lvlJc w:val="center"/>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7"/>
  </w:num>
  <w:num w:numId="15">
    <w:abstractNumId w:val="13"/>
  </w:num>
  <w:num w:numId="16">
    <w:abstractNumId w:val="14"/>
  </w:num>
  <w:num w:numId="17">
    <w:abstractNumId w:val="15"/>
  </w:num>
  <w:num w:numId="18">
    <w:abstractNumId w:val="15"/>
    <w:lvlOverride w:ilvl="0">
      <w:startOverride w:val="1"/>
    </w:lvlOverride>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5077"/>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97033"/>
    <w:rsid w:val="00AA2F03"/>
    <w:rsid w:val="00AC36F7"/>
    <w:rsid w:val="00AC63A4"/>
    <w:rsid w:val="00AD239E"/>
    <w:rsid w:val="00AE76C2"/>
    <w:rsid w:val="00B10265"/>
    <w:rsid w:val="00B16A99"/>
    <w:rsid w:val="00B21211"/>
    <w:rsid w:val="00B23265"/>
    <w:rsid w:val="00B35784"/>
    <w:rsid w:val="00B733A7"/>
    <w:rsid w:val="00B75C91"/>
    <w:rsid w:val="00B8365A"/>
    <w:rsid w:val="00B975AD"/>
    <w:rsid w:val="00BC45FB"/>
    <w:rsid w:val="00BF148D"/>
    <w:rsid w:val="00C23B1A"/>
    <w:rsid w:val="00C310EB"/>
    <w:rsid w:val="00C43E90"/>
    <w:rsid w:val="00C70B18"/>
    <w:rsid w:val="00C9176A"/>
    <w:rsid w:val="00CC7A7C"/>
    <w:rsid w:val="00CF1AA2"/>
    <w:rsid w:val="00D142D3"/>
    <w:rsid w:val="00D17774"/>
    <w:rsid w:val="00D63620"/>
    <w:rsid w:val="00D8410D"/>
    <w:rsid w:val="00D867D7"/>
    <w:rsid w:val="00D96FB6"/>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BF55498-F510-43F4-BCE2-767A215E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90"/>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C43E90"/>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C43E90"/>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C43E90"/>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C43E90"/>
    <w:pPr>
      <w:numPr>
        <w:numId w:val="20"/>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C43E90"/>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C43E90"/>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C43E90"/>
    <w:rPr>
      <w:sz w:val="36"/>
      <w:szCs w:val="52"/>
    </w:rPr>
  </w:style>
  <w:style w:type="paragraph" w:customStyle="1" w:styleId="Cover3-Haknesset">
    <w:name w:val="Cover 3-Haknesset"/>
    <w:basedOn w:val="Cover1-Reshumot"/>
    <w:rsid w:val="00C43E90"/>
    <w:rPr>
      <w:b/>
      <w:bCs/>
      <w:spacing w:val="60"/>
    </w:rPr>
  </w:style>
  <w:style w:type="paragraph" w:customStyle="1" w:styleId="Cover4-Date">
    <w:name w:val="Cover 4-Date"/>
    <w:basedOn w:val="a"/>
    <w:rsid w:val="00C43E90"/>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C43E90"/>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C43E90"/>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C43E90"/>
    <w:pPr>
      <w:spacing w:before="120" w:after="120"/>
    </w:pPr>
    <w:rPr>
      <w:color w:val="FF0000"/>
      <w:w w:val="80"/>
    </w:rPr>
  </w:style>
  <w:style w:type="paragraph" w:styleId="a3">
    <w:name w:val="endnote text"/>
    <w:basedOn w:val="a"/>
    <w:semiHidden/>
    <w:rsid w:val="00C43E90"/>
    <w:pPr>
      <w:ind w:left="227" w:hanging="227"/>
    </w:pPr>
    <w:rPr>
      <w:sz w:val="14"/>
      <w:szCs w:val="22"/>
    </w:rPr>
  </w:style>
  <w:style w:type="paragraph" w:customStyle="1" w:styleId="TableText">
    <w:name w:val="Table Text"/>
    <w:basedOn w:val="a"/>
    <w:rsid w:val="00C43E90"/>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C43E90"/>
    <w:pPr>
      <w:outlineLvl w:val="2"/>
    </w:pPr>
  </w:style>
  <w:style w:type="paragraph" w:customStyle="1" w:styleId="TableBlock">
    <w:name w:val="Table Block"/>
    <w:basedOn w:val="TableText"/>
    <w:rsid w:val="00C43E90"/>
    <w:pPr>
      <w:jc w:val="both"/>
    </w:pPr>
  </w:style>
  <w:style w:type="paragraph" w:customStyle="1" w:styleId="TableHead">
    <w:name w:val="Table Head"/>
    <w:basedOn w:val="TableText"/>
    <w:rsid w:val="00C43E90"/>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C43E90"/>
    <w:pPr>
      <w:outlineLvl w:val="9"/>
    </w:pPr>
  </w:style>
  <w:style w:type="paragraph" w:customStyle="1" w:styleId="Hesber">
    <w:name w:val="Hesber"/>
    <w:basedOn w:val="a"/>
    <w:rsid w:val="00C43E90"/>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C43E90"/>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C43E90"/>
    <w:rPr>
      <w:vertAlign w:val="superscript"/>
    </w:rPr>
  </w:style>
  <w:style w:type="paragraph" w:customStyle="1" w:styleId="HesberHeading">
    <w:name w:val="Hesber Heading"/>
    <w:basedOn w:val="Hesber"/>
    <w:rsid w:val="00C43E90"/>
    <w:pPr>
      <w:tabs>
        <w:tab w:val="left" w:pos="624"/>
        <w:tab w:val="left" w:pos="1247"/>
      </w:tabs>
    </w:pPr>
    <w:rPr>
      <w:b/>
      <w:bCs/>
    </w:rPr>
  </w:style>
  <w:style w:type="paragraph" w:customStyle="1" w:styleId="HesberWriters">
    <w:name w:val="Hesber Writers"/>
    <w:basedOn w:val="Hesber"/>
    <w:rsid w:val="00C43E90"/>
    <w:pPr>
      <w:spacing w:before="120" w:after="120"/>
      <w:ind w:left="1418"/>
      <w:jc w:val="right"/>
    </w:pPr>
    <w:rPr>
      <w:b/>
      <w:bCs/>
    </w:rPr>
  </w:style>
  <w:style w:type="paragraph" w:customStyle="1" w:styleId="Hesber1st">
    <w:name w:val="Hesber 1st"/>
    <w:basedOn w:val="Hesber"/>
    <w:rsid w:val="00C43E90"/>
    <w:pPr>
      <w:tabs>
        <w:tab w:val="left" w:pos="680"/>
        <w:tab w:val="left" w:pos="1020"/>
      </w:tabs>
      <w:ind w:firstLine="0"/>
    </w:pPr>
  </w:style>
  <w:style w:type="character" w:styleId="a6">
    <w:name w:val="endnote reference"/>
    <w:basedOn w:val="a0"/>
    <w:semiHidden/>
    <w:rsid w:val="00C43E90"/>
    <w:rPr>
      <w:vertAlign w:val="superscript"/>
    </w:rPr>
  </w:style>
  <w:style w:type="paragraph" w:customStyle="1" w:styleId="TableBlockOutdent">
    <w:name w:val="Table BlockOutdent"/>
    <w:basedOn w:val="TableBlock"/>
    <w:rsid w:val="00C43E90"/>
    <w:pPr>
      <w:ind w:left="624" w:hanging="624"/>
    </w:pPr>
  </w:style>
  <w:style w:type="paragraph" w:styleId="a7">
    <w:name w:val="header"/>
    <w:basedOn w:val="a"/>
    <w:rsid w:val="00C43E90"/>
    <w:pPr>
      <w:tabs>
        <w:tab w:val="center" w:pos="4153"/>
        <w:tab w:val="right" w:pos="8306"/>
      </w:tabs>
    </w:pPr>
  </w:style>
  <w:style w:type="paragraph" w:styleId="a8">
    <w:name w:val="footer"/>
    <w:basedOn w:val="a"/>
    <w:rsid w:val="00C43E90"/>
    <w:pPr>
      <w:tabs>
        <w:tab w:val="center" w:pos="4153"/>
        <w:tab w:val="right" w:pos="8306"/>
      </w:tabs>
    </w:pPr>
  </w:style>
  <w:style w:type="paragraph" w:customStyle="1" w:styleId="HeadDivreiHesber">
    <w:name w:val="Head DivreiHesber"/>
    <w:basedOn w:val="a"/>
    <w:rsid w:val="00C43E90"/>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C43E90"/>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C43E90"/>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B8365A"/>
    <w:rPr>
      <w:sz w:val="16"/>
      <w:szCs w:val="16"/>
    </w:rPr>
  </w:style>
  <w:style w:type="paragraph" w:styleId="ae">
    <w:name w:val="annotation text"/>
    <w:basedOn w:val="a"/>
    <w:link w:val="af"/>
    <w:semiHidden/>
    <w:unhideWhenUsed/>
    <w:rsid w:val="00B8365A"/>
    <w:pPr>
      <w:spacing w:line="240" w:lineRule="auto"/>
    </w:pPr>
    <w:rPr>
      <w:sz w:val="20"/>
      <w:szCs w:val="20"/>
    </w:rPr>
  </w:style>
  <w:style w:type="character" w:customStyle="1" w:styleId="af">
    <w:name w:val="טקסט הערה תו"/>
    <w:basedOn w:val="a0"/>
    <w:link w:val="ae"/>
    <w:semiHidden/>
    <w:rsid w:val="00B8365A"/>
    <w:rPr>
      <w:rFonts w:ascii="Hadasa Roso SL" w:hAnsi="Hadasa Roso SL" w:cs="Hadasa Roso SL"/>
      <w:color w:val="000000"/>
      <w:spacing w:val="1"/>
      <w:lang w:eastAsia="ja-JP"/>
    </w:rPr>
  </w:style>
  <w:style w:type="character" w:customStyle="1" w:styleId="10">
    <w:name w:val="כותרת 1 תו"/>
    <w:basedOn w:val="a0"/>
    <w:link w:val="1"/>
    <w:uiPriority w:val="9"/>
    <w:rsid w:val="00C43E90"/>
    <w:rPr>
      <w:rFonts w:asciiTheme="majorHAnsi" w:eastAsiaTheme="majorEastAsia" w:hAnsiTheme="majorHAnsi" w:cs="David"/>
      <w:bCs/>
      <w:sz w:val="32"/>
      <w:szCs w:val="36"/>
    </w:rPr>
  </w:style>
  <w:style w:type="character" w:customStyle="1" w:styleId="20">
    <w:name w:val="כותרת 2 תו"/>
    <w:basedOn w:val="a0"/>
    <w:link w:val="2"/>
    <w:rsid w:val="00C43E90"/>
    <w:rPr>
      <w:rFonts w:asciiTheme="majorHAnsi" w:eastAsiaTheme="majorEastAsia" w:hAnsiTheme="majorHAnsi" w:cs="David"/>
      <w:bCs/>
      <w:sz w:val="26"/>
      <w:szCs w:val="36"/>
      <w:u w:val="single"/>
    </w:rPr>
  </w:style>
  <w:style w:type="character" w:customStyle="1" w:styleId="30">
    <w:name w:val="כותרת 3 תו"/>
    <w:basedOn w:val="a0"/>
    <w:link w:val="3"/>
    <w:rsid w:val="00C43E90"/>
    <w:rPr>
      <w:rFonts w:asciiTheme="majorHAnsi" w:eastAsiaTheme="majorEastAsia" w:hAnsiTheme="majorHAnsi" w:cs="David"/>
      <w:sz w:val="24"/>
      <w:szCs w:val="28"/>
      <w:u w:val="double"/>
    </w:rPr>
  </w:style>
  <w:style w:type="character" w:customStyle="1" w:styleId="40">
    <w:name w:val="כותרת 4 תו"/>
    <w:basedOn w:val="a0"/>
    <w:link w:val="4"/>
    <w:uiPriority w:val="9"/>
    <w:rsid w:val="00C43E90"/>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C43E90"/>
    <w:rPr>
      <w:rFonts w:ascii="David" w:eastAsiaTheme="minorHAnsi" w:hAnsi="David" w:cs="David"/>
      <w:color w:val="000000" w:themeColor="text1"/>
      <w:sz w:val="24"/>
      <w:szCs w:val="24"/>
    </w:rPr>
  </w:style>
  <w:style w:type="paragraph" w:styleId="af0">
    <w:name w:val="TOC Heading"/>
    <w:basedOn w:val="1"/>
    <w:next w:val="a"/>
    <w:uiPriority w:val="39"/>
    <w:unhideWhenUsed/>
    <w:qFormat/>
    <w:rsid w:val="00C43E90"/>
    <w:pPr>
      <w:widowControl/>
      <w:spacing w:before="120" w:after="120"/>
      <w:outlineLvl w:val="9"/>
    </w:pPr>
    <w:rPr>
      <w:rtl/>
      <w:cs/>
    </w:rPr>
  </w:style>
  <w:style w:type="paragraph" w:styleId="TOC1">
    <w:name w:val="toc 1"/>
    <w:basedOn w:val="a"/>
    <w:next w:val="a"/>
    <w:autoRedefine/>
    <w:uiPriority w:val="39"/>
    <w:unhideWhenUsed/>
    <w:rsid w:val="00C43E90"/>
    <w:pPr>
      <w:tabs>
        <w:tab w:val="right" w:leader="dot" w:pos="9629"/>
      </w:tabs>
      <w:spacing w:after="100"/>
    </w:pPr>
    <w:rPr>
      <w:bCs/>
      <w:szCs w:val="22"/>
    </w:rPr>
  </w:style>
  <w:style w:type="paragraph" w:styleId="TOC2">
    <w:name w:val="toc 2"/>
    <w:basedOn w:val="a"/>
    <w:next w:val="a"/>
    <w:uiPriority w:val="39"/>
    <w:unhideWhenUsed/>
    <w:rsid w:val="00C43E90"/>
    <w:pPr>
      <w:tabs>
        <w:tab w:val="right" w:leader="dot" w:pos="9628"/>
      </w:tabs>
      <w:spacing w:after="100"/>
    </w:pPr>
    <w:rPr>
      <w:szCs w:val="22"/>
    </w:rPr>
  </w:style>
  <w:style w:type="character" w:styleId="Hyperlink">
    <w:name w:val="Hyperlink"/>
    <w:basedOn w:val="a0"/>
    <w:uiPriority w:val="99"/>
    <w:unhideWhenUsed/>
    <w:rsid w:val="00C43E90"/>
    <w:rPr>
      <w:color w:val="0000FF" w:themeColor="hyperlink"/>
      <w:u w:val="single"/>
    </w:rPr>
  </w:style>
  <w:style w:type="paragraph" w:styleId="TOC3">
    <w:name w:val="toc 3"/>
    <w:basedOn w:val="a"/>
    <w:next w:val="a"/>
    <w:uiPriority w:val="39"/>
    <w:unhideWhenUsed/>
    <w:rsid w:val="00C43E90"/>
    <w:pPr>
      <w:tabs>
        <w:tab w:val="right" w:leader="dot" w:pos="9629"/>
      </w:tabs>
      <w:spacing w:after="100"/>
      <w:ind w:left="567"/>
    </w:pPr>
    <w:rPr>
      <w:szCs w:val="22"/>
    </w:rPr>
  </w:style>
  <w:style w:type="paragraph" w:styleId="TOC4">
    <w:name w:val="toc 4"/>
    <w:basedOn w:val="a"/>
    <w:next w:val="a"/>
    <w:autoRedefine/>
    <w:unhideWhenUsed/>
    <w:qFormat/>
    <w:rsid w:val="00C43E90"/>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C43E90"/>
    <w:pPr>
      <w:tabs>
        <w:tab w:val="right" w:leader="dot" w:pos="9628"/>
      </w:tabs>
      <w:spacing w:after="100"/>
      <w:ind w:left="567"/>
    </w:pPr>
    <w:rPr>
      <w:szCs w:val="22"/>
    </w:rPr>
  </w:style>
  <w:style w:type="paragraph" w:styleId="TOC6">
    <w:name w:val="toc 6"/>
    <w:basedOn w:val="a"/>
    <w:next w:val="a"/>
    <w:autoRedefine/>
    <w:semiHidden/>
    <w:unhideWhenUsed/>
    <w:rsid w:val="00C43E90"/>
    <w:pPr>
      <w:spacing w:after="100"/>
      <w:ind w:left="850"/>
    </w:pPr>
  </w:style>
  <w:style w:type="paragraph" w:styleId="TOC7">
    <w:name w:val="toc 7"/>
    <w:basedOn w:val="a"/>
    <w:next w:val="a"/>
    <w:autoRedefine/>
    <w:semiHidden/>
    <w:unhideWhenUsed/>
    <w:rsid w:val="00C43E90"/>
    <w:pPr>
      <w:spacing w:after="100"/>
      <w:ind w:left="1020"/>
    </w:pPr>
  </w:style>
  <w:style w:type="paragraph" w:styleId="TOC8">
    <w:name w:val="toc 8"/>
    <w:basedOn w:val="a"/>
    <w:next w:val="a"/>
    <w:autoRedefine/>
    <w:semiHidden/>
    <w:unhideWhenUsed/>
    <w:rsid w:val="00C43E90"/>
    <w:pPr>
      <w:spacing w:after="100"/>
      <w:ind w:left="1190"/>
    </w:pPr>
  </w:style>
  <w:style w:type="paragraph" w:styleId="TOC9">
    <w:name w:val="toc 9"/>
    <w:basedOn w:val="a"/>
    <w:next w:val="a"/>
    <w:autoRedefine/>
    <w:semiHidden/>
    <w:unhideWhenUsed/>
    <w:rsid w:val="00C43E90"/>
    <w:pPr>
      <w:spacing w:after="100"/>
      <w:ind w:left="1360"/>
    </w:pPr>
  </w:style>
  <w:style w:type="paragraph" w:customStyle="1" w:styleId="TableHead2">
    <w:name w:val="Table Head2"/>
    <w:basedOn w:val="TableHead"/>
    <w:qFormat/>
    <w:rsid w:val="00C43E90"/>
    <w:pPr>
      <w:outlineLvl w:val="9"/>
    </w:pPr>
  </w:style>
  <w:style w:type="paragraph" w:customStyle="1" w:styleId="TableSideHeading2">
    <w:name w:val="Table SideHeading2"/>
    <w:basedOn w:val="TableSideHeading"/>
    <w:autoRedefine/>
    <w:qFormat/>
    <w:rsid w:val="00C43E90"/>
    <w:pPr>
      <w:keepLines w:val="0"/>
      <w:outlineLvl w:val="9"/>
    </w:pPr>
  </w:style>
  <w:style w:type="paragraph" w:customStyle="1" w:styleId="0">
    <w:name w:val="סגנון שורה ראשונה:  0  ס''מ"/>
    <w:basedOn w:val="2"/>
    <w:rsid w:val="00C43E90"/>
    <w:rPr>
      <w:rFonts w:eastAsia="Times New Roman"/>
    </w:rPr>
  </w:style>
  <w:style w:type="paragraph" w:styleId="af1">
    <w:name w:val="List Paragraph"/>
    <w:basedOn w:val="a"/>
    <w:uiPriority w:val="34"/>
    <w:qFormat/>
    <w:rsid w:val="00C43E90"/>
    <w:pPr>
      <w:widowControl/>
      <w:spacing w:line="259" w:lineRule="auto"/>
    </w:pPr>
    <w:rPr>
      <w:rFonts w:asciiTheme="minorHAnsi" w:hAnsiTheme="minorHAnsi"/>
      <w:sz w:val="22"/>
    </w:rPr>
  </w:style>
  <w:style w:type="table" w:styleId="af2">
    <w:name w:val="Table Grid"/>
    <w:basedOn w:val="a1"/>
    <w:rsid w:val="00C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C43E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C43E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3">
    <w:name w:val="טבלת חקיקה"/>
    <w:basedOn w:val="a1"/>
    <w:uiPriority w:val="99"/>
    <w:rsid w:val="00C43E90"/>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C43E90"/>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C90B-D817-458F-8DCC-1B0146A8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schemas.openxmlformats.org/package/2006/metadata/core-properties"/>
    <ds:schemaRef ds:uri="http://purl.org/dc/dcmitype/"/>
    <ds:schemaRef ds:uri="http://purl.org/dc/elements/1.1/"/>
    <ds:schemaRef ds:uri="290d5b49-c690-4c6f-bbb9-1e50dab33ee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EC92B9-C997-495A-B904-730E5962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981</Words>
  <Characters>5593</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11</cp:revision>
  <cp:lastPrinted>2024-11-11T06:31:00Z</cp:lastPrinted>
  <dcterms:created xsi:type="dcterms:W3CDTF">2015-04-20T09:58:00Z</dcterms:created>
  <dcterms:modified xsi:type="dcterms:W3CDTF">2024-11-11T06:31:00Z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2221049</vt:r8>
  </property>
</Properties>
</file>