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2220900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גדי איזנקוט</w:t>
      </w:r>
      <w:r>
        <w:br/>
      </w:r>
      <w:r>
        <w:rPr>
          <w:rFonts w:hint="cs"/>
          <w:b/>
          <w:bCs/>
          <w:rtl/>
        </w:rPr>
        <w:t xml:space="preserve"> </w:t>
      </w:r>
      <w:r>
        <w:tab/>
      </w:r>
      <w:r>
        <w:tab/>
      </w:r>
      <w:r>
        <w:tab/>
      </w:r>
      <w:r>
        <w:tab/>
      </w:r>
      <w:r>
        <w:rPr>
          <w:rFonts w:hint="cs"/>
          <w:b/>
          <w:bCs/>
          <w:rtl/>
        </w:rPr>
        <w:t>יולי יואל אדלשטיין</w:t>
      </w:r>
      <w:bookmarkEnd w:id="3"/>
    </w:p>
    <w:p w14:paraId="7F6961AA" w14:textId="39F9D96B" w:rsidR="00E13C27" w:rsidRPr="00CF1AA2" w:rsidRDefault="007D585A" w:rsidP="0036422C">
      <w:pPr>
        <w:pStyle w:val="David"/>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7D3914D" w:rsidR="00E13C27" w:rsidRPr="00E06736" w:rsidRDefault="00904591" w:rsidP="00904591">
      <w:pPr>
        <w:pStyle w:val="David"/>
        <w:spacing w:line="240" w:lineRule="auto"/>
        <w:ind w:left="3544"/>
        <w:rPr>
          <w:rtl/>
        </w:rPr>
      </w:pPr>
      <w:r>
        <w:t xml:space="preserve">  </w:t>
      </w:r>
      <w:r w:rsidR="00335F94">
        <w:t xml:space="preserve">      </w:t>
      </w:r>
      <w:bookmarkStart w:id="6" w:name="_GoBack"/>
      <w:bookmarkEnd w:id="6"/>
      <w:r>
        <w:t xml:space="preserve">                                          </w:t>
      </w:r>
      <w:r w:rsidR="008F1308">
        <w:t xml:space="preserve"> </w:t>
      </w:r>
      <w:bookmarkStart w:id="7" w:name="Private_Number"/>
      <w:r>
        <w:rPr>
          <w:rFonts w:hint="cs"/>
          <w:rtl/>
        </w:rPr>
        <w:t>פ/4888/25</w:t>
      </w:r>
      <w:bookmarkEnd w:id="7"/>
    </w:p>
    <w:p w14:paraId="7F6961AC" w14:textId="77777777" w:rsidR="00E13C27" w:rsidRDefault="00E13C27" w:rsidP="00E13C27">
      <w:pPr>
        <w:ind w:left="2880" w:firstLine="720"/>
        <w:rPr>
          <w:sz w:val="26"/>
          <w:szCs w:val="26"/>
          <w:rtl/>
        </w:rPr>
      </w:pPr>
    </w:p>
    <w:p w14:paraId="7F6961AD" w14:textId="7645873F" w:rsidR="00E13C27" w:rsidRPr="00F67051" w:rsidRDefault="00A443CF" w:rsidP="0025327C">
      <w:pPr>
        <w:pStyle w:val="HeadHatzaotHok"/>
        <w:rPr>
          <w:rtl/>
        </w:rPr>
      </w:pPr>
      <w:bookmarkStart w:id="8" w:name="LGS_Subject"/>
      <w:r>
        <w:rPr>
          <w:rFonts w:hint="cs"/>
          <w:rtl/>
        </w:rPr>
        <w:t>הצעת חוק אסטרטגיית הביטחון הלאומי, התשפ"ד–2024</w:t>
      </w:r>
      <w:bookmarkEnd w:id="8"/>
    </w:p>
    <w:p w14:paraId="7F6961AE" w14:textId="77777777" w:rsidR="00E13C27" w:rsidRDefault="00E13C27" w:rsidP="0021633A">
      <w:pPr>
        <w:pStyle w:val="HeadDivreiHesber"/>
        <w:spacing w:before="0" w:after="0"/>
        <w:rPr>
          <w:rtl/>
        </w:rPr>
      </w:pPr>
    </w:p>
    <w:tbl>
      <w:tblPr>
        <w:bidiVisual/>
        <w:tblW w:w="9637"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519"/>
      </w:tblGrid>
      <w:tr w:rsidR="005F280D" w:rsidRPr="00D33903" w14:paraId="1D5734FA" w14:textId="77777777" w:rsidTr="005A4A7E">
        <w:trPr>
          <w:cantSplit/>
        </w:trPr>
        <w:tc>
          <w:tcPr>
            <w:tcW w:w="1870" w:type="dxa"/>
          </w:tcPr>
          <w:p w14:paraId="075ABEFB" w14:textId="77777777" w:rsidR="005F280D" w:rsidRPr="00D84563" w:rsidRDefault="005F280D" w:rsidP="00D84563">
            <w:pPr>
              <w:pStyle w:val="TableSideHeading"/>
              <w:outlineLvl w:val="9"/>
            </w:pPr>
            <w:r w:rsidRPr="00D84563">
              <w:rPr>
                <w:rtl/>
              </w:rPr>
              <w:t>מטרה</w:t>
            </w:r>
          </w:p>
        </w:tc>
        <w:tc>
          <w:tcPr>
            <w:tcW w:w="624" w:type="dxa"/>
          </w:tcPr>
          <w:p w14:paraId="3F5D5E9A" w14:textId="77777777" w:rsidR="005F280D" w:rsidRPr="00D84563" w:rsidRDefault="005F280D" w:rsidP="00D84563">
            <w:pPr>
              <w:pStyle w:val="TableText"/>
              <w:jc w:val="both"/>
            </w:pPr>
            <w:r w:rsidRPr="00D84563">
              <w:rPr>
                <w:rtl/>
              </w:rPr>
              <w:t>1.</w:t>
            </w:r>
          </w:p>
        </w:tc>
        <w:tc>
          <w:tcPr>
            <w:tcW w:w="7143" w:type="dxa"/>
            <w:gridSpan w:val="2"/>
          </w:tcPr>
          <w:p w14:paraId="7C03155B" w14:textId="77777777" w:rsidR="005F280D" w:rsidRPr="00D84563" w:rsidRDefault="005F280D" w:rsidP="005A4A7E">
            <w:pPr>
              <w:pStyle w:val="TableBlock"/>
            </w:pPr>
            <w:r w:rsidRPr="00D84563">
              <w:rPr>
                <w:rtl/>
              </w:rPr>
              <w:t>מטרתו של חוק זה להתוות כללים ועקרונות מנחים לממשלה לגיבוש  אסטרטגיית הביטחון הלאומי לשם חיזוק החוסן הלאומי, קידום האינטרסים הלאומיים של מדינת ישראל ושיפור המוכנות הלאומית והתיאום בין גופי הביטחון בזיהוי ותיעדוף של איומים ומתן מענים.</w:t>
            </w:r>
          </w:p>
        </w:tc>
      </w:tr>
      <w:tr w:rsidR="005F280D" w:rsidRPr="00D33903" w14:paraId="374067BF" w14:textId="77777777" w:rsidTr="005A4A7E">
        <w:trPr>
          <w:cantSplit/>
        </w:trPr>
        <w:tc>
          <w:tcPr>
            <w:tcW w:w="1870" w:type="dxa"/>
          </w:tcPr>
          <w:p w14:paraId="35982A78" w14:textId="77777777" w:rsidR="005F280D" w:rsidRPr="00D84563" w:rsidRDefault="005F280D" w:rsidP="00D84563">
            <w:pPr>
              <w:pStyle w:val="TableSideHeading"/>
              <w:outlineLvl w:val="9"/>
              <w:rPr>
                <w:rtl/>
              </w:rPr>
            </w:pPr>
            <w:r w:rsidRPr="00D84563">
              <w:rPr>
                <w:rtl/>
              </w:rPr>
              <w:t>הגדרות</w:t>
            </w:r>
          </w:p>
        </w:tc>
        <w:tc>
          <w:tcPr>
            <w:tcW w:w="624" w:type="dxa"/>
          </w:tcPr>
          <w:p w14:paraId="29A21AA8" w14:textId="77777777" w:rsidR="005F280D" w:rsidRPr="00D84563" w:rsidRDefault="005F280D" w:rsidP="00D84563">
            <w:pPr>
              <w:pStyle w:val="TableText"/>
              <w:jc w:val="both"/>
              <w:rPr>
                <w:rtl/>
              </w:rPr>
            </w:pPr>
            <w:r w:rsidRPr="00D84563">
              <w:rPr>
                <w:rtl/>
              </w:rPr>
              <w:t xml:space="preserve">2. </w:t>
            </w:r>
          </w:p>
        </w:tc>
        <w:tc>
          <w:tcPr>
            <w:tcW w:w="7143" w:type="dxa"/>
            <w:gridSpan w:val="2"/>
          </w:tcPr>
          <w:p w14:paraId="7F7B462F" w14:textId="1E99328A" w:rsidR="005F280D" w:rsidRPr="00D84563" w:rsidRDefault="00D84563" w:rsidP="005A4A7E">
            <w:pPr>
              <w:pStyle w:val="TableBlock"/>
              <w:rPr>
                <w:rtl/>
              </w:rPr>
            </w:pPr>
            <w:r>
              <w:rPr>
                <w:rtl/>
              </w:rPr>
              <w:t>בחוק זה</w:t>
            </w:r>
            <w:r>
              <w:rPr>
                <w:rFonts w:hint="cs"/>
                <w:rtl/>
              </w:rPr>
              <w:t xml:space="preserve"> </w:t>
            </w:r>
            <w:r>
              <w:rPr>
                <w:rtl/>
              </w:rPr>
              <w:t>–</w:t>
            </w:r>
            <w:r w:rsidRPr="00D84563">
              <w:rPr>
                <w:rtl/>
              </w:rPr>
              <w:t xml:space="preserve">  </w:t>
            </w:r>
            <w:r w:rsidR="005F280D" w:rsidRPr="00D84563">
              <w:rPr>
                <w:rtl/>
              </w:rPr>
              <w:t xml:space="preserve"> </w:t>
            </w:r>
            <w:r w:rsidRPr="00D84563">
              <w:rPr>
                <w:rtl/>
              </w:rPr>
              <w:t xml:space="preserve"> </w:t>
            </w:r>
          </w:p>
        </w:tc>
      </w:tr>
      <w:tr w:rsidR="00D84563" w:rsidRPr="00D33903" w14:paraId="7DD22D44" w14:textId="77777777" w:rsidTr="005A4A7E">
        <w:trPr>
          <w:cantSplit/>
        </w:trPr>
        <w:tc>
          <w:tcPr>
            <w:tcW w:w="1870" w:type="dxa"/>
          </w:tcPr>
          <w:p w14:paraId="258A627C" w14:textId="77777777" w:rsidR="00D84563" w:rsidRPr="00D84563" w:rsidRDefault="00D84563" w:rsidP="00D84563">
            <w:pPr>
              <w:pStyle w:val="TableSideHeading"/>
              <w:outlineLvl w:val="9"/>
              <w:rPr>
                <w:rtl/>
              </w:rPr>
            </w:pPr>
          </w:p>
        </w:tc>
        <w:tc>
          <w:tcPr>
            <w:tcW w:w="624" w:type="dxa"/>
          </w:tcPr>
          <w:p w14:paraId="48F0FD1F" w14:textId="77777777" w:rsidR="00D84563" w:rsidRPr="00D84563" w:rsidRDefault="00D84563" w:rsidP="00D84563">
            <w:pPr>
              <w:pStyle w:val="TableText"/>
              <w:rPr>
                <w:rtl/>
              </w:rPr>
            </w:pPr>
          </w:p>
        </w:tc>
        <w:tc>
          <w:tcPr>
            <w:tcW w:w="7143" w:type="dxa"/>
            <w:gridSpan w:val="2"/>
          </w:tcPr>
          <w:p w14:paraId="602B7270" w14:textId="36EAEB23" w:rsidR="00D84563" w:rsidRDefault="00D84563" w:rsidP="005A4A7E">
            <w:pPr>
              <w:pStyle w:val="TableBlockOutdent"/>
              <w:rPr>
                <w:rtl/>
              </w:rPr>
            </w:pPr>
            <w:r>
              <w:rPr>
                <w:rtl/>
              </w:rPr>
              <w:t>״ביטחון לאומי״</w:t>
            </w:r>
            <w:r>
              <w:rPr>
                <w:rFonts w:hint="cs"/>
                <w:rtl/>
              </w:rPr>
              <w:t xml:space="preserve"> </w:t>
            </w:r>
            <w:r>
              <w:rPr>
                <w:rtl/>
              </w:rPr>
              <w:t>–</w:t>
            </w:r>
            <w:r>
              <w:rPr>
                <w:rFonts w:hint="cs"/>
                <w:rtl/>
              </w:rPr>
              <w:t xml:space="preserve"> </w:t>
            </w:r>
            <w:r w:rsidRPr="00D84563">
              <w:rPr>
                <w:rtl/>
              </w:rPr>
              <w:t>מכלול הפעולות והאמצעים לשמירה על ריבונות המדינה, שלמותה הטריטוריאלית, מעמדה הבין-לאומי, ביטחון אזרחיה, יציבותה השלטונית וחוסנה הביטחוני, מדיני, כלכלי וחברתי מול איומים חיצוניים ופנימיים</w:t>
            </w:r>
            <w:r>
              <w:rPr>
                <w:rFonts w:hint="cs"/>
                <w:rtl/>
              </w:rPr>
              <w:t>;</w:t>
            </w:r>
          </w:p>
        </w:tc>
      </w:tr>
      <w:tr w:rsidR="00CF6D99" w:rsidRPr="00D33903" w14:paraId="5C89B01F" w14:textId="77777777" w:rsidTr="005A4A7E">
        <w:trPr>
          <w:cantSplit/>
        </w:trPr>
        <w:tc>
          <w:tcPr>
            <w:tcW w:w="1870" w:type="dxa"/>
          </w:tcPr>
          <w:p w14:paraId="474188D7" w14:textId="77777777" w:rsidR="00CF6D99" w:rsidRPr="00D84563" w:rsidRDefault="00CF6D99" w:rsidP="00D84563">
            <w:pPr>
              <w:pStyle w:val="TableSideHeading"/>
              <w:outlineLvl w:val="9"/>
              <w:rPr>
                <w:rtl/>
              </w:rPr>
            </w:pPr>
          </w:p>
        </w:tc>
        <w:tc>
          <w:tcPr>
            <w:tcW w:w="624" w:type="dxa"/>
          </w:tcPr>
          <w:p w14:paraId="382B67F6" w14:textId="77777777" w:rsidR="00CF6D99" w:rsidRPr="00D84563" w:rsidRDefault="00CF6D99" w:rsidP="00D84563">
            <w:pPr>
              <w:pStyle w:val="TableText"/>
              <w:rPr>
                <w:rtl/>
              </w:rPr>
            </w:pPr>
          </w:p>
        </w:tc>
        <w:tc>
          <w:tcPr>
            <w:tcW w:w="7143" w:type="dxa"/>
            <w:gridSpan w:val="2"/>
          </w:tcPr>
          <w:p w14:paraId="7440299F" w14:textId="552EDD08" w:rsidR="00CF6D99" w:rsidRPr="00CF6D99" w:rsidRDefault="00CF6D99" w:rsidP="005A4A7E">
            <w:pPr>
              <w:pStyle w:val="TableBlock"/>
              <w:rPr>
                <w:rtl/>
              </w:rPr>
            </w:pPr>
            <w:r>
              <w:rPr>
                <w:rFonts w:hint="cs"/>
                <w:rtl/>
              </w:rPr>
              <w:t xml:space="preserve">"הוועדה" </w:t>
            </w:r>
            <w:r>
              <w:rPr>
                <w:rtl/>
              </w:rPr>
              <w:t>–</w:t>
            </w:r>
            <w:r>
              <w:rPr>
                <w:rFonts w:hint="cs"/>
                <w:rtl/>
              </w:rPr>
              <w:t xml:space="preserve"> ועדת החוץ והביטחון של הכנסת</w:t>
            </w:r>
            <w:r w:rsidR="009507BD">
              <w:rPr>
                <w:rFonts w:hint="cs"/>
                <w:rtl/>
              </w:rPr>
              <w:t>;</w:t>
            </w:r>
          </w:p>
        </w:tc>
      </w:tr>
      <w:tr w:rsidR="009507BD" w:rsidRPr="00D33903" w14:paraId="404F3001" w14:textId="77777777" w:rsidTr="005A4A7E">
        <w:trPr>
          <w:cantSplit/>
        </w:trPr>
        <w:tc>
          <w:tcPr>
            <w:tcW w:w="1870" w:type="dxa"/>
          </w:tcPr>
          <w:p w14:paraId="50CC1E48" w14:textId="77777777" w:rsidR="009507BD" w:rsidRPr="00D84563" w:rsidRDefault="009507BD" w:rsidP="00D84563">
            <w:pPr>
              <w:pStyle w:val="TableSideHeading"/>
              <w:outlineLvl w:val="9"/>
              <w:rPr>
                <w:rtl/>
              </w:rPr>
            </w:pPr>
          </w:p>
        </w:tc>
        <w:tc>
          <w:tcPr>
            <w:tcW w:w="624" w:type="dxa"/>
          </w:tcPr>
          <w:p w14:paraId="41B29DED" w14:textId="77777777" w:rsidR="009507BD" w:rsidRPr="00D84563" w:rsidRDefault="009507BD" w:rsidP="008A38A3">
            <w:pPr>
              <w:pStyle w:val="TableText"/>
              <w:rPr>
                <w:rtl/>
              </w:rPr>
            </w:pPr>
          </w:p>
        </w:tc>
        <w:tc>
          <w:tcPr>
            <w:tcW w:w="7143" w:type="dxa"/>
            <w:gridSpan w:val="2"/>
          </w:tcPr>
          <w:p w14:paraId="7C616AE8" w14:textId="4B3B810B" w:rsidR="009507BD" w:rsidRDefault="009507BD" w:rsidP="005A4A7E">
            <w:pPr>
              <w:pStyle w:val="TableBlockOutdent"/>
              <w:rPr>
                <w:rtl/>
              </w:rPr>
            </w:pPr>
            <w:r>
              <w:rPr>
                <w:rFonts w:hint="cs"/>
                <w:rtl/>
              </w:rPr>
              <w:t xml:space="preserve">"חוק המטה לביטחון לאומי" </w:t>
            </w:r>
            <w:r>
              <w:rPr>
                <w:rtl/>
              </w:rPr>
              <w:t>–</w:t>
            </w:r>
            <w:r>
              <w:rPr>
                <w:rFonts w:hint="cs"/>
                <w:rtl/>
              </w:rPr>
              <w:t xml:space="preserve"> </w:t>
            </w:r>
            <w:r w:rsidRPr="00D84563">
              <w:rPr>
                <w:rtl/>
              </w:rPr>
              <w:t>חוק המטה לביטחון לאומי, התשס"ח–</w:t>
            </w:r>
            <w:r>
              <w:rPr>
                <w:rFonts w:hint="cs"/>
                <w:rtl/>
              </w:rPr>
              <w:t>2008</w:t>
            </w:r>
            <w:r w:rsidRPr="005A4A7E">
              <w:rPr>
                <w:rStyle w:val="a5"/>
                <w:rFonts w:ascii="David" w:hAnsi="David"/>
                <w:sz w:val="26"/>
                <w:rtl/>
              </w:rPr>
              <w:footnoteReference w:id="2"/>
            </w:r>
            <w:r>
              <w:rPr>
                <w:rFonts w:hint="cs"/>
                <w:rtl/>
              </w:rPr>
              <w:t>;</w:t>
            </w:r>
          </w:p>
        </w:tc>
      </w:tr>
      <w:tr w:rsidR="007F4546" w:rsidRPr="00D33903" w14:paraId="241BDC22" w14:textId="77777777" w:rsidTr="005A4A7E">
        <w:trPr>
          <w:cantSplit/>
        </w:trPr>
        <w:tc>
          <w:tcPr>
            <w:tcW w:w="1870" w:type="dxa"/>
          </w:tcPr>
          <w:p w14:paraId="0D29E6CF" w14:textId="77777777" w:rsidR="007F4546" w:rsidRPr="00D84563" w:rsidRDefault="007F4546" w:rsidP="00D84563">
            <w:pPr>
              <w:pStyle w:val="TableSideHeading"/>
              <w:outlineLvl w:val="9"/>
              <w:rPr>
                <w:rtl/>
              </w:rPr>
            </w:pPr>
          </w:p>
        </w:tc>
        <w:tc>
          <w:tcPr>
            <w:tcW w:w="624" w:type="dxa"/>
          </w:tcPr>
          <w:p w14:paraId="1B884A80" w14:textId="77777777" w:rsidR="007F4546" w:rsidRPr="00D84563" w:rsidRDefault="007F4546" w:rsidP="008A38A3">
            <w:pPr>
              <w:pStyle w:val="TableText"/>
              <w:rPr>
                <w:rtl/>
              </w:rPr>
            </w:pPr>
          </w:p>
        </w:tc>
        <w:tc>
          <w:tcPr>
            <w:tcW w:w="7143" w:type="dxa"/>
            <w:gridSpan w:val="2"/>
          </w:tcPr>
          <w:p w14:paraId="569EC5EC" w14:textId="048B537C" w:rsidR="007F4546" w:rsidRPr="007F4546" w:rsidRDefault="007F4546" w:rsidP="005A4A7E">
            <w:pPr>
              <w:pStyle w:val="TableBlock"/>
              <w:rPr>
                <w:rtl/>
              </w:rPr>
            </w:pPr>
            <w:r>
              <w:rPr>
                <w:rFonts w:hint="cs"/>
                <w:rtl/>
              </w:rPr>
              <w:t xml:space="preserve">"חוק תקציב שנתי" </w:t>
            </w:r>
            <w:r>
              <w:rPr>
                <w:rtl/>
              </w:rPr>
              <w:t>–</w:t>
            </w:r>
            <w:r>
              <w:rPr>
                <w:rFonts w:hint="cs"/>
                <w:rtl/>
              </w:rPr>
              <w:t xml:space="preserve"> כהגדרתו ב</w:t>
            </w:r>
            <w:r>
              <w:rPr>
                <w:rtl/>
              </w:rPr>
              <w:t>חוק יסודות התקציב</w:t>
            </w:r>
            <w:r>
              <w:rPr>
                <w:rFonts w:hint="cs"/>
                <w:rtl/>
              </w:rPr>
              <w:t>, ה</w:t>
            </w:r>
            <w:r w:rsidRPr="00D84563">
              <w:rPr>
                <w:rtl/>
              </w:rPr>
              <w:t>תשמ"ה</w:t>
            </w:r>
            <w:r>
              <w:rPr>
                <w:rFonts w:hint="cs"/>
                <w:rtl/>
              </w:rPr>
              <w:t>–</w:t>
            </w:r>
            <w:r w:rsidRPr="00D84563">
              <w:rPr>
                <w:rtl/>
              </w:rPr>
              <w:t>1985</w:t>
            </w:r>
            <w:r w:rsidRPr="005A4A7E">
              <w:rPr>
                <w:rStyle w:val="a5"/>
                <w:rFonts w:ascii="David" w:hAnsi="David"/>
                <w:sz w:val="26"/>
                <w:rtl/>
              </w:rPr>
              <w:footnoteReference w:id="3"/>
            </w:r>
            <w:r>
              <w:rPr>
                <w:rFonts w:hint="cs"/>
                <w:rtl/>
              </w:rPr>
              <w:t>;</w:t>
            </w:r>
          </w:p>
        </w:tc>
      </w:tr>
      <w:tr w:rsidR="00D84563" w:rsidRPr="00D33903" w14:paraId="4281CE3D" w14:textId="77777777" w:rsidTr="005A4A7E">
        <w:trPr>
          <w:cantSplit/>
        </w:trPr>
        <w:tc>
          <w:tcPr>
            <w:tcW w:w="1870" w:type="dxa"/>
          </w:tcPr>
          <w:p w14:paraId="1710FF23" w14:textId="77777777" w:rsidR="00D84563" w:rsidRPr="00D84563" w:rsidRDefault="00D84563" w:rsidP="00D84563">
            <w:pPr>
              <w:pStyle w:val="TableSideHeading"/>
              <w:outlineLvl w:val="9"/>
              <w:rPr>
                <w:rtl/>
              </w:rPr>
            </w:pPr>
          </w:p>
        </w:tc>
        <w:tc>
          <w:tcPr>
            <w:tcW w:w="624" w:type="dxa"/>
          </w:tcPr>
          <w:p w14:paraId="02189079" w14:textId="77777777" w:rsidR="00D84563" w:rsidRPr="00D84563" w:rsidRDefault="00D84563" w:rsidP="00D84563">
            <w:pPr>
              <w:pStyle w:val="TableText"/>
              <w:rPr>
                <w:rtl/>
              </w:rPr>
            </w:pPr>
          </w:p>
        </w:tc>
        <w:tc>
          <w:tcPr>
            <w:tcW w:w="7143" w:type="dxa"/>
            <w:gridSpan w:val="2"/>
          </w:tcPr>
          <w:p w14:paraId="036B32A0" w14:textId="73D0C53F" w:rsidR="00D84563" w:rsidRPr="00D84563" w:rsidRDefault="00D84563" w:rsidP="005A4A7E">
            <w:pPr>
              <w:pStyle w:val="TableBlockOutdent"/>
              <w:rPr>
                <w:rtl/>
              </w:rPr>
            </w:pPr>
            <w:r w:rsidRPr="00D84563">
              <w:rPr>
                <w:rtl/>
              </w:rPr>
              <w:t>"המטה</w:t>
            </w:r>
            <w:r w:rsidR="002343F1">
              <w:rPr>
                <w:rtl/>
              </w:rPr>
              <w:t xml:space="preserve"> לביטחון לאומי" – כמשמעותו ב</w:t>
            </w:r>
            <w:r w:rsidRPr="00D84563">
              <w:rPr>
                <w:rtl/>
              </w:rPr>
              <w:t>חוק המטה לביטחון לאומי</w:t>
            </w:r>
            <w:r w:rsidR="007F4546">
              <w:rPr>
                <w:rFonts w:hint="cs"/>
                <w:rtl/>
              </w:rPr>
              <w:t>.</w:t>
            </w:r>
          </w:p>
        </w:tc>
      </w:tr>
      <w:tr w:rsidR="00C244AE" w:rsidRPr="00D33903" w14:paraId="0C567E3F" w14:textId="77777777" w:rsidTr="005A4A7E">
        <w:trPr>
          <w:cantSplit/>
        </w:trPr>
        <w:tc>
          <w:tcPr>
            <w:tcW w:w="1870" w:type="dxa"/>
          </w:tcPr>
          <w:p w14:paraId="28141DF4" w14:textId="4B66812F" w:rsidR="00C244AE" w:rsidRPr="00D84563" w:rsidRDefault="00C244AE" w:rsidP="00D84563">
            <w:pPr>
              <w:pStyle w:val="TableSideHeading"/>
              <w:outlineLvl w:val="9"/>
              <w:rPr>
                <w:rtl/>
              </w:rPr>
            </w:pPr>
            <w:r>
              <w:rPr>
                <w:rFonts w:hint="cs"/>
                <w:rtl/>
              </w:rPr>
              <w:lastRenderedPageBreak/>
              <w:t>אסטרטגיית הביטחון הלאומי</w:t>
            </w:r>
          </w:p>
        </w:tc>
        <w:tc>
          <w:tcPr>
            <w:tcW w:w="624" w:type="dxa"/>
          </w:tcPr>
          <w:p w14:paraId="26CDD36A" w14:textId="3676D5FF" w:rsidR="00C244AE" w:rsidRPr="00D84563" w:rsidRDefault="00C244AE" w:rsidP="008A38A3">
            <w:pPr>
              <w:pStyle w:val="TableText"/>
              <w:rPr>
                <w:rtl/>
              </w:rPr>
            </w:pPr>
            <w:r>
              <w:rPr>
                <w:rFonts w:hint="cs"/>
                <w:rtl/>
              </w:rPr>
              <w:t>3.</w:t>
            </w:r>
          </w:p>
        </w:tc>
        <w:tc>
          <w:tcPr>
            <w:tcW w:w="7143" w:type="dxa"/>
            <w:gridSpan w:val="2"/>
          </w:tcPr>
          <w:p w14:paraId="41343EB5" w14:textId="635A3C4E" w:rsidR="00C244AE" w:rsidRPr="00D84563" w:rsidRDefault="00C244AE" w:rsidP="005A4A7E">
            <w:pPr>
              <w:pStyle w:val="TableBlock"/>
              <w:rPr>
                <w:rtl/>
              </w:rPr>
            </w:pPr>
            <w:r>
              <w:rPr>
                <w:rFonts w:hint="cs"/>
                <w:rtl/>
              </w:rPr>
              <w:t>(א)</w:t>
            </w:r>
            <w:r>
              <w:rPr>
                <w:rtl/>
              </w:rPr>
              <w:tab/>
            </w:r>
            <w:r>
              <w:rPr>
                <w:rFonts w:hint="cs"/>
                <w:rtl/>
              </w:rPr>
              <w:t>המטה לביטחון לאומי י</w:t>
            </w:r>
            <w:r w:rsidRPr="00D84563">
              <w:rPr>
                <w:rtl/>
              </w:rPr>
              <w:t xml:space="preserve">גבש </w:t>
            </w:r>
            <w:r>
              <w:rPr>
                <w:rFonts w:hint="cs"/>
                <w:rtl/>
              </w:rPr>
              <w:t xml:space="preserve">את </w:t>
            </w:r>
            <w:r w:rsidRPr="00D84563">
              <w:rPr>
                <w:rtl/>
              </w:rPr>
              <w:t>אסטרטגיית הביטחון הלאומי</w:t>
            </w:r>
            <w:r>
              <w:rPr>
                <w:rFonts w:hint="cs"/>
                <w:rtl/>
              </w:rPr>
              <w:t xml:space="preserve">, </w:t>
            </w:r>
            <w:r w:rsidRPr="00D84563">
              <w:rPr>
                <w:rtl/>
              </w:rPr>
              <w:t xml:space="preserve">בהתייעצות עם משרד הביטחון, משרד החוץ, </w:t>
            </w:r>
            <w:r>
              <w:rPr>
                <w:rFonts w:hint="cs"/>
                <w:rtl/>
              </w:rPr>
              <w:t>ה</w:t>
            </w:r>
            <w:r w:rsidRPr="00D84563">
              <w:rPr>
                <w:rtl/>
              </w:rPr>
              <w:t xml:space="preserve">משרד </w:t>
            </w:r>
            <w:r>
              <w:rPr>
                <w:rFonts w:hint="cs"/>
                <w:rtl/>
              </w:rPr>
              <w:t>ל</w:t>
            </w:r>
            <w:r w:rsidRPr="00D84563">
              <w:rPr>
                <w:rtl/>
              </w:rPr>
              <w:t xml:space="preserve">ביטחון לאומי, </w:t>
            </w:r>
            <w:r>
              <w:rPr>
                <w:rFonts w:hint="cs"/>
                <w:rtl/>
              </w:rPr>
              <w:t>הגופים הביטחוניים</w:t>
            </w:r>
            <w:r w:rsidRPr="00D84563">
              <w:rPr>
                <w:rtl/>
              </w:rPr>
              <w:t xml:space="preserve"> וכל משרד ממשלתי נוסף שיידרש לכך לדעת ראש המטה לביטחון לאומי</w:t>
            </w:r>
            <w:r>
              <w:rPr>
                <w:rFonts w:hint="cs"/>
                <w:rtl/>
              </w:rPr>
              <w:t>;</w:t>
            </w:r>
            <w:r w:rsidRPr="00D84563">
              <w:rPr>
                <w:rtl/>
              </w:rPr>
              <w:t xml:space="preserve"> בסעיף זה</w:t>
            </w:r>
            <w:r>
              <w:rPr>
                <w:rFonts w:hint="cs"/>
                <w:rtl/>
              </w:rPr>
              <w:t>,</w:t>
            </w:r>
            <w:r w:rsidRPr="00D84563">
              <w:rPr>
                <w:rtl/>
              </w:rPr>
              <w:t xml:space="preserve"> ״</w:t>
            </w:r>
            <w:r w:rsidR="00276BDF">
              <w:rPr>
                <w:rFonts w:hint="cs"/>
                <w:rtl/>
              </w:rPr>
              <w:t>גופים ביטחוניים</w:t>
            </w:r>
            <w:r w:rsidRPr="00D84563">
              <w:rPr>
                <w:rtl/>
              </w:rPr>
              <w:t>״</w:t>
            </w:r>
            <w:r>
              <w:rPr>
                <w:rFonts w:hint="cs"/>
                <w:rtl/>
              </w:rPr>
              <w:t xml:space="preserve"> </w:t>
            </w:r>
            <w:r>
              <w:rPr>
                <w:rtl/>
              </w:rPr>
              <w:t>–</w:t>
            </w:r>
            <w:r w:rsidRPr="00D84563">
              <w:rPr>
                <w:rtl/>
              </w:rPr>
              <w:t xml:space="preserve"> צבא הגנה לישראל, משטרת ישראל, שירות הביטחון הכללי, המוסד למודיעין ולתפקידים מיוחדים, הוועדה לאנרגיה אטומית ומערך הסייבר הלאומי.</w:t>
            </w:r>
          </w:p>
        </w:tc>
      </w:tr>
      <w:tr w:rsidR="005F280D" w:rsidRPr="00D33903" w14:paraId="156A5686" w14:textId="77777777" w:rsidTr="005A4A7E">
        <w:trPr>
          <w:cantSplit/>
        </w:trPr>
        <w:tc>
          <w:tcPr>
            <w:tcW w:w="1870" w:type="dxa"/>
          </w:tcPr>
          <w:p w14:paraId="3CD8C8CD" w14:textId="76F030F7" w:rsidR="005F280D" w:rsidRPr="00D84563" w:rsidRDefault="005F280D" w:rsidP="00D84563">
            <w:pPr>
              <w:pStyle w:val="TableSideHeading"/>
              <w:outlineLvl w:val="9"/>
            </w:pPr>
          </w:p>
        </w:tc>
        <w:tc>
          <w:tcPr>
            <w:tcW w:w="624" w:type="dxa"/>
          </w:tcPr>
          <w:p w14:paraId="639C4613" w14:textId="481302D4" w:rsidR="005F280D" w:rsidRPr="00D84563" w:rsidRDefault="005F280D" w:rsidP="00D84563">
            <w:pPr>
              <w:pStyle w:val="TableText"/>
              <w:jc w:val="both"/>
            </w:pPr>
          </w:p>
        </w:tc>
        <w:tc>
          <w:tcPr>
            <w:tcW w:w="7143" w:type="dxa"/>
            <w:gridSpan w:val="2"/>
          </w:tcPr>
          <w:p w14:paraId="7D392C6D" w14:textId="578101C4" w:rsidR="005F280D" w:rsidRPr="00D84563" w:rsidRDefault="005F280D" w:rsidP="005A4A7E">
            <w:pPr>
              <w:pStyle w:val="TableBlock"/>
              <w:rPr>
                <w:rtl/>
              </w:rPr>
            </w:pPr>
            <w:r w:rsidRPr="00D84563">
              <w:rPr>
                <w:rtl/>
              </w:rPr>
              <w:t>(</w:t>
            </w:r>
            <w:r w:rsidR="00C244AE">
              <w:rPr>
                <w:rFonts w:hint="cs"/>
                <w:rtl/>
              </w:rPr>
              <w:t>ב</w:t>
            </w:r>
            <w:r w:rsidR="0018227C">
              <w:rPr>
                <w:rtl/>
              </w:rPr>
              <w:t>)</w:t>
            </w:r>
            <w:r w:rsidR="0018227C">
              <w:rPr>
                <w:rtl/>
              </w:rPr>
              <w:tab/>
            </w:r>
            <w:r w:rsidR="00C244AE">
              <w:rPr>
                <w:rFonts w:hint="cs"/>
                <w:rtl/>
              </w:rPr>
              <w:t xml:space="preserve">הממשלה תאשר את אסטרטגיית הביטחון הלאומי בתוך </w:t>
            </w:r>
            <w:r w:rsidRPr="00D84563">
              <w:rPr>
                <w:rtl/>
              </w:rPr>
              <w:t xml:space="preserve">150 ימים מהקמת </w:t>
            </w:r>
            <w:r w:rsidR="00C244AE">
              <w:rPr>
                <w:rFonts w:hint="cs"/>
                <w:rtl/>
              </w:rPr>
              <w:t>ה</w:t>
            </w:r>
            <w:r w:rsidRPr="00D84563">
              <w:rPr>
                <w:rtl/>
              </w:rPr>
              <w:t xml:space="preserve">ממשלה, לאחר שהונחה בפניה הצעה מטעם ראש הממשלה. </w:t>
            </w:r>
          </w:p>
        </w:tc>
      </w:tr>
      <w:tr w:rsidR="005F280D" w:rsidRPr="00D33903" w14:paraId="635832B6" w14:textId="77777777" w:rsidTr="005A4A7E">
        <w:trPr>
          <w:cantSplit/>
        </w:trPr>
        <w:tc>
          <w:tcPr>
            <w:tcW w:w="1870" w:type="dxa"/>
          </w:tcPr>
          <w:p w14:paraId="2B860F26" w14:textId="77777777" w:rsidR="005F280D" w:rsidRPr="00D84563" w:rsidRDefault="005F280D" w:rsidP="00D84563">
            <w:pPr>
              <w:pStyle w:val="TableSideHeading"/>
              <w:outlineLvl w:val="9"/>
              <w:rPr>
                <w:rtl/>
              </w:rPr>
            </w:pPr>
          </w:p>
        </w:tc>
        <w:tc>
          <w:tcPr>
            <w:tcW w:w="624" w:type="dxa"/>
          </w:tcPr>
          <w:p w14:paraId="50FFEEAF" w14:textId="77777777" w:rsidR="005F280D" w:rsidRPr="00D84563" w:rsidRDefault="005F280D" w:rsidP="00D84563">
            <w:pPr>
              <w:pStyle w:val="TableText"/>
              <w:jc w:val="both"/>
              <w:rPr>
                <w:rtl/>
              </w:rPr>
            </w:pPr>
          </w:p>
        </w:tc>
        <w:tc>
          <w:tcPr>
            <w:tcW w:w="7143" w:type="dxa"/>
            <w:gridSpan w:val="2"/>
          </w:tcPr>
          <w:p w14:paraId="05748D2A" w14:textId="0B2DADCC" w:rsidR="005F280D" w:rsidRPr="00D84563" w:rsidRDefault="005F280D" w:rsidP="005A4A7E">
            <w:pPr>
              <w:pStyle w:val="TableBlock"/>
              <w:rPr>
                <w:rtl/>
              </w:rPr>
            </w:pPr>
            <w:r w:rsidRPr="00D84563">
              <w:rPr>
                <w:rtl/>
              </w:rPr>
              <w:t>(</w:t>
            </w:r>
            <w:r w:rsidR="00C244AE">
              <w:rPr>
                <w:rFonts w:hint="cs"/>
                <w:rtl/>
              </w:rPr>
              <w:t>ג</w:t>
            </w:r>
            <w:r w:rsidR="0018227C">
              <w:rPr>
                <w:rtl/>
              </w:rPr>
              <w:t>)</w:t>
            </w:r>
            <w:r w:rsidR="0018227C">
              <w:rPr>
                <w:rtl/>
              </w:rPr>
              <w:tab/>
            </w:r>
            <w:r w:rsidRPr="00D84563">
              <w:rPr>
                <w:rtl/>
              </w:rPr>
              <w:t xml:space="preserve">אסטרטגיית הביטחון הלאומי תכלול, בין השאר, את אלה:  </w:t>
            </w:r>
          </w:p>
        </w:tc>
      </w:tr>
      <w:tr w:rsidR="005F280D" w:rsidRPr="00D33903" w14:paraId="49FA1B52" w14:textId="77777777" w:rsidTr="005A4A7E">
        <w:trPr>
          <w:cantSplit/>
        </w:trPr>
        <w:tc>
          <w:tcPr>
            <w:tcW w:w="1870" w:type="dxa"/>
          </w:tcPr>
          <w:p w14:paraId="499E61A2" w14:textId="77777777" w:rsidR="005F280D" w:rsidRPr="00D84563" w:rsidRDefault="005F280D" w:rsidP="00D84563">
            <w:pPr>
              <w:pStyle w:val="TableSideHeading"/>
              <w:outlineLvl w:val="9"/>
              <w:rPr>
                <w:rtl/>
              </w:rPr>
            </w:pPr>
          </w:p>
        </w:tc>
        <w:tc>
          <w:tcPr>
            <w:tcW w:w="624" w:type="dxa"/>
          </w:tcPr>
          <w:p w14:paraId="5C1464CF" w14:textId="77777777" w:rsidR="005F280D" w:rsidRPr="00D84563" w:rsidRDefault="005F280D" w:rsidP="00D84563">
            <w:pPr>
              <w:pStyle w:val="TableText"/>
              <w:jc w:val="both"/>
              <w:rPr>
                <w:rtl/>
              </w:rPr>
            </w:pPr>
          </w:p>
        </w:tc>
        <w:tc>
          <w:tcPr>
            <w:tcW w:w="624" w:type="dxa"/>
          </w:tcPr>
          <w:p w14:paraId="156C34B1" w14:textId="77777777" w:rsidR="005F280D" w:rsidRPr="00D84563" w:rsidRDefault="005F280D" w:rsidP="00D84563">
            <w:pPr>
              <w:pStyle w:val="TableText"/>
              <w:jc w:val="both"/>
              <w:rPr>
                <w:rtl/>
              </w:rPr>
            </w:pPr>
          </w:p>
        </w:tc>
        <w:tc>
          <w:tcPr>
            <w:tcW w:w="6519" w:type="dxa"/>
          </w:tcPr>
          <w:p w14:paraId="732E1575" w14:textId="77777777" w:rsidR="005F280D" w:rsidRPr="00D84563" w:rsidRDefault="005F280D" w:rsidP="005A4A7E">
            <w:pPr>
              <w:pStyle w:val="TableBlock"/>
              <w:rPr>
                <w:rtl/>
              </w:rPr>
            </w:pPr>
            <w:r w:rsidRPr="00D84563">
              <w:rPr>
                <w:rtl/>
              </w:rPr>
              <w:t xml:space="preserve">(1) מרכיבי תפיסת הביטחון הלאומי, הכוללים את הנחות היסוד המעודכנות ביחס לאתגרים, האמצעים וההזדמנויות המעצבים את צרכי הביטחון הלאומי; </w:t>
            </w:r>
          </w:p>
        </w:tc>
      </w:tr>
      <w:tr w:rsidR="005F280D" w:rsidRPr="00D33903" w14:paraId="188A26E8" w14:textId="77777777" w:rsidTr="005A4A7E">
        <w:trPr>
          <w:cantSplit/>
        </w:trPr>
        <w:tc>
          <w:tcPr>
            <w:tcW w:w="1870" w:type="dxa"/>
          </w:tcPr>
          <w:p w14:paraId="1AF6EF55" w14:textId="77777777" w:rsidR="005F280D" w:rsidRPr="00D84563" w:rsidRDefault="005F280D" w:rsidP="00D84563">
            <w:pPr>
              <w:pStyle w:val="TableSideHeading"/>
              <w:outlineLvl w:val="9"/>
              <w:rPr>
                <w:rtl/>
              </w:rPr>
            </w:pPr>
          </w:p>
        </w:tc>
        <w:tc>
          <w:tcPr>
            <w:tcW w:w="624" w:type="dxa"/>
          </w:tcPr>
          <w:p w14:paraId="0E4861DB" w14:textId="77777777" w:rsidR="005F280D" w:rsidRPr="00D84563" w:rsidRDefault="005F280D" w:rsidP="00D84563">
            <w:pPr>
              <w:pStyle w:val="TableText"/>
              <w:jc w:val="both"/>
              <w:rPr>
                <w:rtl/>
              </w:rPr>
            </w:pPr>
          </w:p>
        </w:tc>
        <w:tc>
          <w:tcPr>
            <w:tcW w:w="624" w:type="dxa"/>
          </w:tcPr>
          <w:p w14:paraId="09DEB719" w14:textId="77777777" w:rsidR="005F280D" w:rsidRPr="00D84563" w:rsidRDefault="005F280D" w:rsidP="00D84563">
            <w:pPr>
              <w:pStyle w:val="TableText"/>
              <w:jc w:val="both"/>
              <w:rPr>
                <w:rtl/>
              </w:rPr>
            </w:pPr>
          </w:p>
        </w:tc>
        <w:tc>
          <w:tcPr>
            <w:tcW w:w="6519" w:type="dxa"/>
          </w:tcPr>
          <w:p w14:paraId="4022F7D3" w14:textId="77777777" w:rsidR="005F280D" w:rsidRPr="00D84563" w:rsidRDefault="005F280D" w:rsidP="005A4A7E">
            <w:pPr>
              <w:pStyle w:val="TableBlock"/>
              <w:rPr>
                <w:rtl/>
              </w:rPr>
            </w:pPr>
            <w:r w:rsidRPr="00D84563">
              <w:rPr>
                <w:rtl/>
              </w:rPr>
              <w:t>(2) יעדי הביטחון הלאומי, הכוללים את המטרות והאינטרסים הביטחוניים והמדיניים הנדרשים לשם הבטחת קיומה, ביטחונה ושגשוגה של מדינת ישראל;</w:t>
            </w:r>
          </w:p>
        </w:tc>
      </w:tr>
      <w:tr w:rsidR="005F280D" w:rsidRPr="00D33903" w14:paraId="0DA64073" w14:textId="77777777" w:rsidTr="005A4A7E">
        <w:trPr>
          <w:cantSplit/>
        </w:trPr>
        <w:tc>
          <w:tcPr>
            <w:tcW w:w="1870" w:type="dxa"/>
          </w:tcPr>
          <w:p w14:paraId="0703502D" w14:textId="77777777" w:rsidR="005F280D" w:rsidRPr="00D84563" w:rsidRDefault="005F280D" w:rsidP="00D84563">
            <w:pPr>
              <w:pStyle w:val="TableSideHeading"/>
              <w:outlineLvl w:val="9"/>
              <w:rPr>
                <w:rtl/>
              </w:rPr>
            </w:pPr>
          </w:p>
        </w:tc>
        <w:tc>
          <w:tcPr>
            <w:tcW w:w="624" w:type="dxa"/>
          </w:tcPr>
          <w:p w14:paraId="2527832D" w14:textId="77777777" w:rsidR="005F280D" w:rsidRPr="00D84563" w:rsidRDefault="005F280D" w:rsidP="00D84563">
            <w:pPr>
              <w:pStyle w:val="TableText"/>
              <w:jc w:val="both"/>
              <w:rPr>
                <w:rtl/>
              </w:rPr>
            </w:pPr>
          </w:p>
        </w:tc>
        <w:tc>
          <w:tcPr>
            <w:tcW w:w="624" w:type="dxa"/>
          </w:tcPr>
          <w:p w14:paraId="77E00AFE" w14:textId="77777777" w:rsidR="005F280D" w:rsidRPr="00D84563" w:rsidRDefault="005F280D" w:rsidP="00D84563">
            <w:pPr>
              <w:pStyle w:val="TableText"/>
              <w:jc w:val="both"/>
              <w:rPr>
                <w:rtl/>
              </w:rPr>
            </w:pPr>
          </w:p>
        </w:tc>
        <w:tc>
          <w:tcPr>
            <w:tcW w:w="6519" w:type="dxa"/>
          </w:tcPr>
          <w:p w14:paraId="6912B492" w14:textId="77777777" w:rsidR="005F280D" w:rsidRPr="00D84563" w:rsidRDefault="005F280D" w:rsidP="005A4A7E">
            <w:pPr>
              <w:pStyle w:val="TableBlock"/>
              <w:rPr>
                <w:rtl/>
              </w:rPr>
            </w:pPr>
            <w:r w:rsidRPr="00D84563">
              <w:rPr>
                <w:rtl/>
              </w:rPr>
              <w:t>(3) אתגרי הביטחון הלאומי, הכוללים את מיפוי האיומים על הביטחון הלאומי בראייה שנתית ורב-שנתית, ניתוח הזירות במרחב הפיזי ומרחב המידע, לרבות בזירת הפנים, והתייחסות לרכיבי האתגר ביחס לביטחון, יחסי חוץ, כלכלה וחוסן לאומי-חברתי;</w:t>
            </w:r>
          </w:p>
        </w:tc>
      </w:tr>
      <w:tr w:rsidR="005F280D" w:rsidRPr="00D33903" w14:paraId="4FB6DD64" w14:textId="77777777" w:rsidTr="005A4A7E">
        <w:trPr>
          <w:cantSplit/>
        </w:trPr>
        <w:tc>
          <w:tcPr>
            <w:tcW w:w="1870" w:type="dxa"/>
          </w:tcPr>
          <w:p w14:paraId="3E033579" w14:textId="77777777" w:rsidR="005F280D" w:rsidRPr="00D84563" w:rsidRDefault="005F280D" w:rsidP="00D84563">
            <w:pPr>
              <w:pStyle w:val="TableSideHeading"/>
              <w:outlineLvl w:val="9"/>
              <w:rPr>
                <w:rtl/>
              </w:rPr>
            </w:pPr>
          </w:p>
        </w:tc>
        <w:tc>
          <w:tcPr>
            <w:tcW w:w="624" w:type="dxa"/>
          </w:tcPr>
          <w:p w14:paraId="1C27378E" w14:textId="77777777" w:rsidR="005F280D" w:rsidRPr="00D84563" w:rsidRDefault="005F280D" w:rsidP="00D84563">
            <w:pPr>
              <w:pStyle w:val="TableText"/>
              <w:jc w:val="both"/>
              <w:rPr>
                <w:rtl/>
              </w:rPr>
            </w:pPr>
          </w:p>
        </w:tc>
        <w:tc>
          <w:tcPr>
            <w:tcW w:w="624" w:type="dxa"/>
          </w:tcPr>
          <w:p w14:paraId="278AF8D6" w14:textId="77777777" w:rsidR="005F280D" w:rsidRPr="00D84563" w:rsidRDefault="005F280D" w:rsidP="00D84563">
            <w:pPr>
              <w:pStyle w:val="TableText"/>
              <w:jc w:val="both"/>
              <w:rPr>
                <w:rtl/>
              </w:rPr>
            </w:pPr>
          </w:p>
        </w:tc>
        <w:tc>
          <w:tcPr>
            <w:tcW w:w="6519" w:type="dxa"/>
          </w:tcPr>
          <w:p w14:paraId="1978F0B4" w14:textId="77777777" w:rsidR="005F280D" w:rsidRPr="00D84563" w:rsidRDefault="005F280D" w:rsidP="005A4A7E">
            <w:pPr>
              <w:pStyle w:val="TableBlock"/>
              <w:rPr>
                <w:rtl/>
              </w:rPr>
            </w:pPr>
            <w:r w:rsidRPr="00D84563">
              <w:rPr>
                <w:rtl/>
              </w:rPr>
              <w:t>(4) יכולות ומשאבי הביטחון הלאומי, הכוללים את מערך היכולות הביטחוניות והמדיניות למימוש יעדי הביטחון הלאומי;</w:t>
            </w:r>
          </w:p>
        </w:tc>
      </w:tr>
      <w:tr w:rsidR="005F280D" w:rsidRPr="00D33903" w14:paraId="6B894ADF" w14:textId="77777777" w:rsidTr="005A4A7E">
        <w:trPr>
          <w:cantSplit/>
        </w:trPr>
        <w:tc>
          <w:tcPr>
            <w:tcW w:w="1870" w:type="dxa"/>
          </w:tcPr>
          <w:p w14:paraId="3558216A" w14:textId="77777777" w:rsidR="005F280D" w:rsidRPr="00D84563" w:rsidRDefault="005F280D" w:rsidP="00D84563">
            <w:pPr>
              <w:pStyle w:val="TableSideHeading"/>
              <w:outlineLvl w:val="9"/>
              <w:rPr>
                <w:rtl/>
              </w:rPr>
            </w:pPr>
          </w:p>
        </w:tc>
        <w:tc>
          <w:tcPr>
            <w:tcW w:w="624" w:type="dxa"/>
          </w:tcPr>
          <w:p w14:paraId="1106C26B" w14:textId="77777777" w:rsidR="005F280D" w:rsidRPr="00D84563" w:rsidRDefault="005F280D" w:rsidP="00D84563">
            <w:pPr>
              <w:pStyle w:val="TableText"/>
              <w:jc w:val="both"/>
              <w:rPr>
                <w:rtl/>
              </w:rPr>
            </w:pPr>
          </w:p>
        </w:tc>
        <w:tc>
          <w:tcPr>
            <w:tcW w:w="624" w:type="dxa"/>
          </w:tcPr>
          <w:p w14:paraId="4B5D2D5B" w14:textId="77777777" w:rsidR="005F280D" w:rsidRPr="00D84563" w:rsidRDefault="005F280D" w:rsidP="00D84563">
            <w:pPr>
              <w:pStyle w:val="TableText"/>
              <w:jc w:val="both"/>
              <w:rPr>
                <w:rtl/>
              </w:rPr>
            </w:pPr>
          </w:p>
        </w:tc>
        <w:tc>
          <w:tcPr>
            <w:tcW w:w="6519" w:type="dxa"/>
          </w:tcPr>
          <w:p w14:paraId="50A1D586" w14:textId="7ACB99D9" w:rsidR="005F280D" w:rsidRPr="00D84563" w:rsidRDefault="005F280D" w:rsidP="005A4A7E">
            <w:pPr>
              <w:pStyle w:val="TableBlock"/>
              <w:rPr>
                <w:rtl/>
              </w:rPr>
            </w:pPr>
            <w:r w:rsidRPr="00D84563">
              <w:rPr>
                <w:rtl/>
              </w:rPr>
              <w:t>(5) הערכה ביקורתית של אסטרטגיית הביטחון הלאומי, הכוללת איתור וניתוח של חולשות אפשריות בזיהוי, ת</w:t>
            </w:r>
            <w:r w:rsidR="00CF6D99">
              <w:rPr>
                <w:rFonts w:hint="cs"/>
                <w:rtl/>
              </w:rPr>
              <w:t>י</w:t>
            </w:r>
            <w:r w:rsidRPr="00D84563">
              <w:rPr>
                <w:rtl/>
              </w:rPr>
              <w:t>עדוף והבנת רכיבי האסטרטגיה המפורטים ב</w:t>
            </w:r>
            <w:r w:rsidR="00CF6D99">
              <w:rPr>
                <w:rFonts w:hint="cs"/>
                <w:rtl/>
              </w:rPr>
              <w:t xml:space="preserve">פסקאות </w:t>
            </w:r>
            <w:r w:rsidRPr="00D84563">
              <w:rPr>
                <w:rtl/>
              </w:rPr>
              <w:t>(1)</w:t>
            </w:r>
            <w:r w:rsidR="00CF6D99">
              <w:rPr>
                <w:rFonts w:hint="cs"/>
                <w:rtl/>
              </w:rPr>
              <w:t xml:space="preserve"> עד </w:t>
            </w:r>
            <w:r w:rsidRPr="00D84563">
              <w:rPr>
                <w:rtl/>
              </w:rPr>
              <w:t>(4), ופירוט המענה לחולשות</w:t>
            </w:r>
            <w:r w:rsidR="00CF6D99">
              <w:rPr>
                <w:rFonts w:hint="cs"/>
                <w:rtl/>
              </w:rPr>
              <w:t xml:space="preserve"> אלו</w:t>
            </w:r>
            <w:r w:rsidRPr="00D84563">
              <w:rPr>
                <w:rtl/>
              </w:rPr>
              <w:t>;</w:t>
            </w:r>
          </w:p>
        </w:tc>
      </w:tr>
      <w:tr w:rsidR="005F280D" w:rsidRPr="00D33903" w14:paraId="0A820AF0" w14:textId="77777777" w:rsidTr="005A4A7E">
        <w:trPr>
          <w:cantSplit/>
        </w:trPr>
        <w:tc>
          <w:tcPr>
            <w:tcW w:w="1870" w:type="dxa"/>
          </w:tcPr>
          <w:p w14:paraId="0D0A3B03" w14:textId="77777777" w:rsidR="005F280D" w:rsidRPr="00D84563" w:rsidRDefault="005F280D" w:rsidP="00D84563">
            <w:pPr>
              <w:pStyle w:val="TableSideHeading"/>
              <w:outlineLvl w:val="9"/>
              <w:rPr>
                <w:rtl/>
              </w:rPr>
            </w:pPr>
          </w:p>
        </w:tc>
        <w:tc>
          <w:tcPr>
            <w:tcW w:w="624" w:type="dxa"/>
          </w:tcPr>
          <w:p w14:paraId="5C868814" w14:textId="77777777" w:rsidR="005F280D" w:rsidRPr="00D84563" w:rsidRDefault="005F280D" w:rsidP="00D84563">
            <w:pPr>
              <w:pStyle w:val="TableText"/>
              <w:jc w:val="both"/>
              <w:rPr>
                <w:rtl/>
              </w:rPr>
            </w:pPr>
          </w:p>
        </w:tc>
        <w:tc>
          <w:tcPr>
            <w:tcW w:w="624" w:type="dxa"/>
          </w:tcPr>
          <w:p w14:paraId="301F44A1" w14:textId="77777777" w:rsidR="005F280D" w:rsidRPr="00D84563" w:rsidRDefault="005F280D" w:rsidP="00D84563">
            <w:pPr>
              <w:pStyle w:val="TableText"/>
              <w:jc w:val="both"/>
              <w:rPr>
                <w:rtl/>
              </w:rPr>
            </w:pPr>
          </w:p>
        </w:tc>
        <w:tc>
          <w:tcPr>
            <w:tcW w:w="6519" w:type="dxa"/>
          </w:tcPr>
          <w:p w14:paraId="3A989467" w14:textId="77777777" w:rsidR="005F280D" w:rsidRPr="00D84563" w:rsidRDefault="005F280D" w:rsidP="005A4A7E">
            <w:pPr>
              <w:pStyle w:val="TableBlock"/>
              <w:rPr>
                <w:rtl/>
              </w:rPr>
            </w:pPr>
            <w:r w:rsidRPr="00D84563">
              <w:rPr>
                <w:rtl/>
              </w:rPr>
              <w:t>(6)  מידע נוסף שעשוי להיות חיוני לגיבוש אסטרטגיית הביטחון הלאומי ומימושה.</w:t>
            </w:r>
          </w:p>
        </w:tc>
      </w:tr>
      <w:tr w:rsidR="005F280D" w:rsidRPr="00D33903" w14:paraId="2D9C7E26" w14:textId="77777777" w:rsidTr="005A4A7E">
        <w:trPr>
          <w:cantSplit/>
        </w:trPr>
        <w:tc>
          <w:tcPr>
            <w:tcW w:w="1870" w:type="dxa"/>
          </w:tcPr>
          <w:p w14:paraId="5F5918CB" w14:textId="77777777" w:rsidR="005F280D" w:rsidRPr="00D84563" w:rsidRDefault="005F280D" w:rsidP="00D84563">
            <w:pPr>
              <w:pStyle w:val="TableSideHeading"/>
              <w:outlineLvl w:val="9"/>
              <w:rPr>
                <w:rtl/>
              </w:rPr>
            </w:pPr>
            <w:r w:rsidRPr="00D84563">
              <w:rPr>
                <w:rtl/>
              </w:rPr>
              <w:t>דיווח ופרסום</w:t>
            </w:r>
          </w:p>
        </w:tc>
        <w:tc>
          <w:tcPr>
            <w:tcW w:w="624" w:type="dxa"/>
          </w:tcPr>
          <w:p w14:paraId="78190167" w14:textId="50FD8693" w:rsidR="005F280D" w:rsidRPr="00D84563" w:rsidRDefault="005A4A7E" w:rsidP="00D84563">
            <w:pPr>
              <w:pStyle w:val="TableText"/>
              <w:jc w:val="both"/>
              <w:rPr>
                <w:rtl/>
              </w:rPr>
            </w:pPr>
            <w:r>
              <w:rPr>
                <w:rFonts w:hint="cs"/>
                <w:rtl/>
              </w:rPr>
              <w:t>4</w:t>
            </w:r>
            <w:r w:rsidR="005F280D" w:rsidRPr="00D84563">
              <w:rPr>
                <w:rtl/>
              </w:rPr>
              <w:t>.</w:t>
            </w:r>
          </w:p>
        </w:tc>
        <w:tc>
          <w:tcPr>
            <w:tcW w:w="7143" w:type="dxa"/>
            <w:gridSpan w:val="2"/>
          </w:tcPr>
          <w:p w14:paraId="7257CE91" w14:textId="54EB87C5" w:rsidR="005F280D" w:rsidRPr="00D84563" w:rsidRDefault="0018227C" w:rsidP="005A4A7E">
            <w:pPr>
              <w:pStyle w:val="TableBlock"/>
              <w:rPr>
                <w:rtl/>
              </w:rPr>
            </w:pPr>
            <w:r>
              <w:rPr>
                <w:rtl/>
              </w:rPr>
              <w:t>(א)</w:t>
            </w:r>
            <w:r>
              <w:rPr>
                <w:rtl/>
              </w:rPr>
              <w:tab/>
            </w:r>
            <w:r w:rsidR="008B5B5D">
              <w:rPr>
                <w:rFonts w:hint="cs"/>
                <w:rtl/>
              </w:rPr>
              <w:t xml:space="preserve">אישרה הממשלה את אסטרטגיית הביטחון הלאומי, כאמור בסעיף 3, </w:t>
            </w:r>
            <w:r w:rsidR="005F280D" w:rsidRPr="00D84563">
              <w:rPr>
                <w:rtl/>
              </w:rPr>
              <w:t xml:space="preserve"> תגיש</w:t>
            </w:r>
            <w:r w:rsidR="008B5B5D">
              <w:rPr>
                <w:rFonts w:hint="cs"/>
                <w:rtl/>
              </w:rPr>
              <w:t xml:space="preserve"> הממשלה לוועדה, בתוך </w:t>
            </w:r>
            <w:r w:rsidR="00483F19">
              <w:rPr>
                <w:rFonts w:hint="cs"/>
                <w:rtl/>
              </w:rPr>
              <w:t>14</w:t>
            </w:r>
            <w:r w:rsidR="008B5B5D">
              <w:rPr>
                <w:rFonts w:hint="cs"/>
                <w:rtl/>
              </w:rPr>
              <w:t xml:space="preserve"> ימים מאישורה,</w:t>
            </w:r>
            <w:r w:rsidR="008A38A3">
              <w:rPr>
                <w:rFonts w:hint="cs"/>
                <w:rtl/>
              </w:rPr>
              <w:t xml:space="preserve"> </w:t>
            </w:r>
            <w:r w:rsidR="005F280D" w:rsidRPr="00D84563">
              <w:rPr>
                <w:rtl/>
              </w:rPr>
              <w:t>דיווח המפרט את אסטרטגיית הביטחון הלאומי</w:t>
            </w:r>
            <w:r w:rsidR="008B5B5D">
              <w:rPr>
                <w:rFonts w:hint="cs"/>
                <w:rtl/>
              </w:rPr>
              <w:t>;</w:t>
            </w:r>
            <w:r w:rsidR="005F280D" w:rsidRPr="00D84563">
              <w:rPr>
                <w:rtl/>
              </w:rPr>
              <w:t xml:space="preserve"> הדיווח יוצג </w:t>
            </w:r>
            <w:r w:rsidR="008B5B5D">
              <w:rPr>
                <w:rFonts w:hint="cs"/>
                <w:rtl/>
              </w:rPr>
              <w:t xml:space="preserve">בפני הוועדה </w:t>
            </w:r>
            <w:r w:rsidR="005F280D" w:rsidRPr="00D84563">
              <w:rPr>
                <w:rtl/>
              </w:rPr>
              <w:t>על ידי ראש הממשלה או נציג מטעמו</w:t>
            </w:r>
            <w:r w:rsidR="0068054C">
              <w:rPr>
                <w:rFonts w:hint="cs"/>
                <w:rtl/>
              </w:rPr>
              <w:t>,</w:t>
            </w:r>
            <w:r w:rsidR="005F280D" w:rsidRPr="00D84563">
              <w:rPr>
                <w:rtl/>
              </w:rPr>
              <w:t xml:space="preserve"> בישיבה שתיוחד לעניין זה. </w:t>
            </w:r>
          </w:p>
        </w:tc>
      </w:tr>
      <w:tr w:rsidR="005F280D" w:rsidRPr="00D33903" w14:paraId="0A4B1B59" w14:textId="77777777" w:rsidTr="005A4A7E">
        <w:trPr>
          <w:cantSplit/>
        </w:trPr>
        <w:tc>
          <w:tcPr>
            <w:tcW w:w="1870" w:type="dxa"/>
          </w:tcPr>
          <w:p w14:paraId="67A039D0" w14:textId="77777777" w:rsidR="005F280D" w:rsidRPr="00D84563" w:rsidRDefault="005F280D" w:rsidP="00D84563">
            <w:pPr>
              <w:pStyle w:val="TableSideHeading"/>
              <w:outlineLvl w:val="9"/>
              <w:rPr>
                <w:rtl/>
              </w:rPr>
            </w:pPr>
          </w:p>
        </w:tc>
        <w:tc>
          <w:tcPr>
            <w:tcW w:w="624" w:type="dxa"/>
          </w:tcPr>
          <w:p w14:paraId="08D6E1BE" w14:textId="77777777" w:rsidR="005F280D" w:rsidRPr="00D84563" w:rsidRDefault="005F280D" w:rsidP="00D84563">
            <w:pPr>
              <w:pStyle w:val="TableText"/>
              <w:jc w:val="both"/>
              <w:rPr>
                <w:rtl/>
              </w:rPr>
            </w:pPr>
          </w:p>
        </w:tc>
        <w:tc>
          <w:tcPr>
            <w:tcW w:w="7143" w:type="dxa"/>
            <w:gridSpan w:val="2"/>
          </w:tcPr>
          <w:p w14:paraId="369EEF32" w14:textId="39964198" w:rsidR="005F280D" w:rsidRPr="00D84563" w:rsidRDefault="0018227C" w:rsidP="005A4A7E">
            <w:pPr>
              <w:pStyle w:val="TableBlock"/>
              <w:rPr>
                <w:rtl/>
              </w:rPr>
            </w:pPr>
            <w:r>
              <w:rPr>
                <w:rtl/>
              </w:rPr>
              <w:t>(ב)</w:t>
            </w:r>
            <w:r>
              <w:rPr>
                <w:rtl/>
              </w:rPr>
              <w:tab/>
            </w:r>
            <w:r w:rsidR="005F280D" w:rsidRPr="00D84563">
              <w:rPr>
                <w:rtl/>
              </w:rPr>
              <w:t>אסטרטגיית הביטחון הלאומי תהיה חסויה ופרסומה אסור</w:t>
            </w:r>
            <w:r w:rsidR="00CA6C49">
              <w:rPr>
                <w:rFonts w:hint="cs"/>
                <w:rtl/>
              </w:rPr>
              <w:t>;</w:t>
            </w:r>
            <w:r w:rsidR="00CA6C49" w:rsidRPr="00D84563">
              <w:rPr>
                <w:rtl/>
              </w:rPr>
              <w:t xml:space="preserve"> </w:t>
            </w:r>
            <w:r w:rsidR="00CA6C49">
              <w:rPr>
                <w:rFonts w:hint="cs"/>
                <w:rtl/>
              </w:rPr>
              <w:t>ואולם,</w:t>
            </w:r>
            <w:r w:rsidR="005F280D" w:rsidRPr="00D84563">
              <w:rPr>
                <w:rtl/>
              </w:rPr>
              <w:t xml:space="preserve"> תכלול אסטרט</w:t>
            </w:r>
            <w:r w:rsidR="00BE4863">
              <w:rPr>
                <w:rtl/>
              </w:rPr>
              <w:t xml:space="preserve">גיית הביטחון הלאומי </w:t>
            </w:r>
            <w:r w:rsidR="00CA6C49">
              <w:rPr>
                <w:rFonts w:hint="cs"/>
                <w:rtl/>
              </w:rPr>
              <w:t>נוסח</w:t>
            </w:r>
            <w:r w:rsidR="00BE4863">
              <w:rPr>
                <w:rFonts w:hint="cs"/>
                <w:rtl/>
              </w:rPr>
              <w:t xml:space="preserve"> מקוצר</w:t>
            </w:r>
            <w:r w:rsidR="00CA6C49">
              <w:rPr>
                <w:rFonts w:hint="cs"/>
                <w:rtl/>
              </w:rPr>
              <w:t xml:space="preserve"> שאינו חסוי</w:t>
            </w:r>
            <w:r w:rsidR="005F280D" w:rsidRPr="00D84563">
              <w:rPr>
                <w:rtl/>
              </w:rPr>
              <w:t xml:space="preserve">, </w:t>
            </w:r>
            <w:r w:rsidR="00CA6C49">
              <w:rPr>
                <w:rFonts w:hint="cs"/>
                <w:rtl/>
              </w:rPr>
              <w:t>ש</w:t>
            </w:r>
            <w:r w:rsidR="00BE4863">
              <w:rPr>
                <w:rFonts w:hint="cs"/>
                <w:rtl/>
              </w:rPr>
              <w:t>י</w:t>
            </w:r>
            <w:r w:rsidR="005F280D" w:rsidRPr="00D84563">
              <w:rPr>
                <w:rtl/>
              </w:rPr>
              <w:t>פורסם ברשומות ובאתר</w:t>
            </w:r>
            <w:r w:rsidR="001204A4">
              <w:rPr>
                <w:rtl/>
              </w:rPr>
              <w:t xml:space="preserve"> האינטרנט של הממשלה בסמוך להגשת</w:t>
            </w:r>
            <w:r w:rsidR="000A12B1">
              <w:rPr>
                <w:rFonts w:hint="cs"/>
                <w:rtl/>
              </w:rPr>
              <w:t>ה</w:t>
            </w:r>
            <w:r w:rsidR="00BC2BB4">
              <w:rPr>
                <w:rFonts w:hint="cs"/>
                <w:rtl/>
              </w:rPr>
              <w:t xml:space="preserve"> לוועדה</w:t>
            </w:r>
            <w:r w:rsidR="00CA6C49">
              <w:rPr>
                <w:rFonts w:hint="cs"/>
                <w:rtl/>
              </w:rPr>
              <w:t>,</w:t>
            </w:r>
            <w:r w:rsidR="005F280D" w:rsidRPr="00D84563">
              <w:rPr>
                <w:rtl/>
              </w:rPr>
              <w:t xml:space="preserve"> כאמור בסעיף קטן (א).</w:t>
            </w:r>
          </w:p>
        </w:tc>
      </w:tr>
      <w:tr w:rsidR="005F280D" w:rsidRPr="00D33903" w14:paraId="554FFD78" w14:textId="77777777" w:rsidTr="005A4A7E">
        <w:trPr>
          <w:cantSplit/>
        </w:trPr>
        <w:tc>
          <w:tcPr>
            <w:tcW w:w="1870" w:type="dxa"/>
          </w:tcPr>
          <w:p w14:paraId="7E64D210" w14:textId="77777777" w:rsidR="005F280D" w:rsidRPr="00D84563" w:rsidDel="00A62A81" w:rsidRDefault="005F280D" w:rsidP="00D84563">
            <w:pPr>
              <w:pStyle w:val="TableSideHeading"/>
              <w:outlineLvl w:val="9"/>
              <w:rPr>
                <w:rtl/>
              </w:rPr>
            </w:pPr>
            <w:r w:rsidRPr="00D84563">
              <w:rPr>
                <w:rtl/>
              </w:rPr>
              <w:t>עדכון שנתי</w:t>
            </w:r>
          </w:p>
        </w:tc>
        <w:tc>
          <w:tcPr>
            <w:tcW w:w="624" w:type="dxa"/>
          </w:tcPr>
          <w:p w14:paraId="7CDB9A82" w14:textId="01A9EFD5" w:rsidR="005F280D" w:rsidRPr="00D84563" w:rsidRDefault="005A4A7E" w:rsidP="00D84563">
            <w:pPr>
              <w:pStyle w:val="TableText"/>
              <w:jc w:val="both"/>
              <w:rPr>
                <w:rtl/>
              </w:rPr>
            </w:pPr>
            <w:r>
              <w:rPr>
                <w:rFonts w:hint="cs"/>
                <w:rtl/>
              </w:rPr>
              <w:t>5</w:t>
            </w:r>
            <w:r w:rsidR="005F280D" w:rsidRPr="00D84563">
              <w:rPr>
                <w:rtl/>
              </w:rPr>
              <w:t>.</w:t>
            </w:r>
          </w:p>
        </w:tc>
        <w:tc>
          <w:tcPr>
            <w:tcW w:w="7143" w:type="dxa"/>
            <w:gridSpan w:val="2"/>
          </w:tcPr>
          <w:p w14:paraId="0FC3603F" w14:textId="3F0E73F4" w:rsidR="005F280D" w:rsidRPr="00D84563" w:rsidRDefault="0018227C" w:rsidP="005A4A7E">
            <w:pPr>
              <w:pStyle w:val="TableBlock"/>
            </w:pPr>
            <w:r>
              <w:rPr>
                <w:rtl/>
              </w:rPr>
              <w:t>(א)</w:t>
            </w:r>
            <w:r>
              <w:rPr>
                <w:rtl/>
              </w:rPr>
              <w:tab/>
            </w:r>
            <w:r>
              <w:rPr>
                <w:rFonts w:hint="cs"/>
                <w:rtl/>
              </w:rPr>
              <w:t>הממשלה תגיש</w:t>
            </w:r>
            <w:r w:rsidR="005F34C9">
              <w:rPr>
                <w:rFonts w:hint="cs"/>
                <w:rtl/>
              </w:rPr>
              <w:t xml:space="preserve"> לוועדה</w:t>
            </w:r>
            <w:r>
              <w:rPr>
                <w:rFonts w:hint="cs"/>
                <w:rtl/>
              </w:rPr>
              <w:t xml:space="preserve">, </w:t>
            </w:r>
            <w:r w:rsidR="005F280D" w:rsidRPr="00D84563">
              <w:rPr>
                <w:rtl/>
              </w:rPr>
              <w:t xml:space="preserve">בתוך 14 ימים מהנחת </w:t>
            </w:r>
            <w:r w:rsidR="007E77D1">
              <w:rPr>
                <w:rFonts w:hint="cs"/>
                <w:rtl/>
              </w:rPr>
              <w:t>חוק ה</w:t>
            </w:r>
            <w:r w:rsidR="005F280D" w:rsidRPr="00D84563">
              <w:rPr>
                <w:rtl/>
              </w:rPr>
              <w:t>תקציב ה</w:t>
            </w:r>
            <w:r w:rsidR="007E77D1">
              <w:rPr>
                <w:rFonts w:hint="cs"/>
                <w:rtl/>
              </w:rPr>
              <w:t>שנתי</w:t>
            </w:r>
            <w:r w:rsidR="005F280D" w:rsidRPr="00D84563">
              <w:rPr>
                <w:rtl/>
              </w:rPr>
              <w:t xml:space="preserve"> על שולחן הכנסת</w:t>
            </w:r>
            <w:r>
              <w:rPr>
                <w:rFonts w:hint="cs"/>
                <w:rtl/>
              </w:rPr>
              <w:t>,</w:t>
            </w:r>
            <w:r w:rsidR="005F280D" w:rsidRPr="00D84563">
              <w:rPr>
                <w:rtl/>
              </w:rPr>
              <w:t xml:space="preserve"> כאמור בסעיף 3 לחוק יסוד: משק המדינה</w:t>
            </w:r>
            <w:r w:rsidRPr="005A4A7E">
              <w:rPr>
                <w:rStyle w:val="a5"/>
                <w:sz w:val="26"/>
                <w:rtl/>
              </w:rPr>
              <w:footnoteReference w:id="4"/>
            </w:r>
            <w:r w:rsidR="005F280D" w:rsidRPr="00D84563">
              <w:rPr>
                <w:rtl/>
              </w:rPr>
              <w:t xml:space="preserve">, עדכון </w:t>
            </w:r>
            <w:r w:rsidR="009507BD">
              <w:rPr>
                <w:rFonts w:hint="cs"/>
                <w:rtl/>
              </w:rPr>
              <w:t>בדבר</w:t>
            </w:r>
            <w:r w:rsidR="009507BD" w:rsidRPr="00D84563">
              <w:rPr>
                <w:rtl/>
              </w:rPr>
              <w:t xml:space="preserve"> </w:t>
            </w:r>
            <w:r w:rsidR="005F280D" w:rsidRPr="00D84563">
              <w:rPr>
                <w:rtl/>
              </w:rPr>
              <w:t>אסטרטגיית הביטחון הלאומי</w:t>
            </w:r>
            <w:r w:rsidR="005F34C9">
              <w:rPr>
                <w:rFonts w:hint="cs"/>
                <w:rtl/>
              </w:rPr>
              <w:t>,</w:t>
            </w:r>
            <w:r w:rsidR="005F280D" w:rsidRPr="00D84563">
              <w:rPr>
                <w:rtl/>
              </w:rPr>
              <w:t xml:space="preserve"> בהתאם לשינויים והתפתחויות באותה שנה</w:t>
            </w:r>
            <w:r w:rsidR="009507BD">
              <w:rPr>
                <w:rFonts w:hint="cs"/>
                <w:rtl/>
              </w:rPr>
              <w:t>;</w:t>
            </w:r>
            <w:r w:rsidR="009507BD" w:rsidRPr="00D84563">
              <w:rPr>
                <w:rtl/>
              </w:rPr>
              <w:t xml:space="preserve"> </w:t>
            </w:r>
            <w:r w:rsidR="005F280D" w:rsidRPr="00D84563">
              <w:rPr>
                <w:rtl/>
              </w:rPr>
              <w:t xml:space="preserve">העדכון יכלול הסבר המפרט כיצד </w:t>
            </w:r>
            <w:r w:rsidR="007E77D1">
              <w:rPr>
                <w:rFonts w:hint="cs"/>
                <w:rtl/>
              </w:rPr>
              <w:t>חוק התקציב השנתי</w:t>
            </w:r>
            <w:r w:rsidR="007E77D1">
              <w:rPr>
                <w:rtl/>
              </w:rPr>
              <w:t xml:space="preserve"> תורמ</w:t>
            </w:r>
            <w:r w:rsidR="007E77D1">
              <w:rPr>
                <w:rFonts w:hint="cs"/>
                <w:rtl/>
              </w:rPr>
              <w:t>ם</w:t>
            </w:r>
            <w:r w:rsidR="005F280D" w:rsidRPr="00D84563">
              <w:rPr>
                <w:rtl/>
              </w:rPr>
              <w:t xml:space="preserve"> למימוש אסטרטגיי</w:t>
            </w:r>
            <w:r w:rsidR="007E77D1">
              <w:rPr>
                <w:rtl/>
              </w:rPr>
              <w:t>ת הביטחון הלאומי על כלל מרכיביה</w:t>
            </w:r>
            <w:r w:rsidR="007E77D1">
              <w:rPr>
                <w:rFonts w:hint="cs"/>
                <w:rtl/>
              </w:rPr>
              <w:t xml:space="preserve"> </w:t>
            </w:r>
            <w:r w:rsidR="005F280D" w:rsidRPr="00D84563">
              <w:rPr>
                <w:rtl/>
              </w:rPr>
              <w:t xml:space="preserve">המעודכנים.  </w:t>
            </w:r>
          </w:p>
        </w:tc>
      </w:tr>
      <w:tr w:rsidR="005F280D" w:rsidRPr="00D33903" w14:paraId="08BEC38D" w14:textId="77777777" w:rsidTr="005A4A7E">
        <w:trPr>
          <w:cantSplit/>
        </w:trPr>
        <w:tc>
          <w:tcPr>
            <w:tcW w:w="1870" w:type="dxa"/>
          </w:tcPr>
          <w:p w14:paraId="78BBC15A" w14:textId="77777777" w:rsidR="005F280D" w:rsidRPr="00D84563" w:rsidRDefault="005F280D" w:rsidP="00D84563">
            <w:pPr>
              <w:pStyle w:val="TableSideHeading"/>
              <w:outlineLvl w:val="9"/>
              <w:rPr>
                <w:rtl/>
              </w:rPr>
            </w:pPr>
          </w:p>
        </w:tc>
        <w:tc>
          <w:tcPr>
            <w:tcW w:w="624" w:type="dxa"/>
          </w:tcPr>
          <w:p w14:paraId="55F594F4" w14:textId="77777777" w:rsidR="005F280D" w:rsidRPr="00D84563" w:rsidRDefault="005F280D" w:rsidP="00D84563">
            <w:pPr>
              <w:pStyle w:val="TableText"/>
              <w:jc w:val="both"/>
              <w:rPr>
                <w:rtl/>
              </w:rPr>
            </w:pPr>
          </w:p>
        </w:tc>
        <w:tc>
          <w:tcPr>
            <w:tcW w:w="7143" w:type="dxa"/>
            <w:gridSpan w:val="2"/>
          </w:tcPr>
          <w:p w14:paraId="496026D6" w14:textId="69C97C4F" w:rsidR="005F280D" w:rsidRPr="00D84563" w:rsidRDefault="0018227C" w:rsidP="005A4A7E">
            <w:pPr>
              <w:pStyle w:val="TableBlock"/>
              <w:rPr>
                <w:rtl/>
              </w:rPr>
            </w:pPr>
            <w:r>
              <w:rPr>
                <w:rtl/>
              </w:rPr>
              <w:t>(ב)</w:t>
            </w:r>
            <w:r>
              <w:rPr>
                <w:rtl/>
              </w:rPr>
              <w:tab/>
            </w:r>
            <w:r w:rsidR="005F280D" w:rsidRPr="00D84563">
              <w:rPr>
                <w:rtl/>
              </w:rPr>
              <w:t>על פרסום עדכון האסטרטגיה לביטחון הלאומי יחולו הוראות סעיף (4)(ב).</w:t>
            </w:r>
          </w:p>
        </w:tc>
      </w:tr>
      <w:tr w:rsidR="005F280D" w:rsidRPr="00D33903" w14:paraId="1B9DF281" w14:textId="77777777" w:rsidTr="005A4A7E">
        <w:trPr>
          <w:cantSplit/>
        </w:trPr>
        <w:tc>
          <w:tcPr>
            <w:tcW w:w="1870" w:type="dxa"/>
          </w:tcPr>
          <w:p w14:paraId="1960A99A" w14:textId="77B7F4DC" w:rsidR="005F280D" w:rsidRPr="00D84563" w:rsidRDefault="005F280D" w:rsidP="008A38A3">
            <w:pPr>
              <w:pStyle w:val="TableSideHeading"/>
              <w:outlineLvl w:val="9"/>
              <w:rPr>
                <w:rtl/>
              </w:rPr>
            </w:pPr>
            <w:r w:rsidRPr="00D84563">
              <w:rPr>
                <w:rtl/>
              </w:rPr>
              <w:t xml:space="preserve">תיקון חוק המטה לביטחון לאומי </w:t>
            </w:r>
          </w:p>
        </w:tc>
        <w:tc>
          <w:tcPr>
            <w:tcW w:w="624" w:type="dxa"/>
          </w:tcPr>
          <w:p w14:paraId="2C574752" w14:textId="5725E124" w:rsidR="005F280D" w:rsidRPr="00D84563" w:rsidRDefault="005A4A7E" w:rsidP="00D84563">
            <w:pPr>
              <w:pStyle w:val="TableText"/>
              <w:jc w:val="both"/>
              <w:rPr>
                <w:rtl/>
              </w:rPr>
            </w:pPr>
            <w:r>
              <w:rPr>
                <w:rFonts w:hint="cs"/>
                <w:rtl/>
              </w:rPr>
              <w:t>6</w:t>
            </w:r>
            <w:r w:rsidR="005F280D" w:rsidRPr="00D84563">
              <w:rPr>
                <w:rtl/>
              </w:rPr>
              <w:t>.</w:t>
            </w:r>
          </w:p>
        </w:tc>
        <w:tc>
          <w:tcPr>
            <w:tcW w:w="7143" w:type="dxa"/>
            <w:gridSpan w:val="2"/>
          </w:tcPr>
          <w:p w14:paraId="6764A86B" w14:textId="4EDC7AC5" w:rsidR="005F280D" w:rsidRPr="00D84563" w:rsidRDefault="005F280D" w:rsidP="005A4A7E">
            <w:pPr>
              <w:pStyle w:val="TableBlock"/>
              <w:rPr>
                <w:rtl/>
              </w:rPr>
            </w:pPr>
            <w:r w:rsidRPr="00D84563">
              <w:rPr>
                <w:rtl/>
              </w:rPr>
              <w:t>בחוק המטה לביטחון לאומי</w:t>
            </w:r>
            <w:r w:rsidR="009507BD">
              <w:rPr>
                <w:rFonts w:hint="cs"/>
                <w:rtl/>
              </w:rPr>
              <w:t>,</w:t>
            </w:r>
            <w:r w:rsidRPr="00D84563">
              <w:rPr>
                <w:rtl/>
              </w:rPr>
              <w:t xml:space="preserve"> </w:t>
            </w:r>
            <w:r w:rsidR="00D84563" w:rsidRPr="00D84563">
              <w:rPr>
                <w:rtl/>
              </w:rPr>
              <w:t xml:space="preserve"> </w:t>
            </w:r>
            <w:r w:rsidRPr="00D84563">
              <w:rPr>
                <w:rtl/>
              </w:rPr>
              <w:t>בסעיף 2</w:t>
            </w:r>
            <w:r w:rsidR="002E2A7C">
              <w:rPr>
                <w:rFonts w:hint="cs"/>
                <w:rtl/>
              </w:rPr>
              <w:t xml:space="preserve"> </w:t>
            </w:r>
            <w:r w:rsidR="002E2A7C">
              <w:rPr>
                <w:rtl/>
              </w:rPr>
              <w:t>–</w:t>
            </w:r>
            <w:r w:rsidR="002E2A7C">
              <w:rPr>
                <w:rFonts w:hint="cs"/>
                <w:rtl/>
              </w:rPr>
              <w:t xml:space="preserve"> </w:t>
            </w:r>
          </w:p>
        </w:tc>
      </w:tr>
      <w:tr w:rsidR="005A4A7E" w14:paraId="327F117E" w14:textId="77777777" w:rsidTr="005A490E">
        <w:trPr>
          <w:cantSplit/>
        </w:trPr>
        <w:tc>
          <w:tcPr>
            <w:tcW w:w="1870" w:type="dxa"/>
          </w:tcPr>
          <w:p w14:paraId="1A733489" w14:textId="77777777" w:rsidR="005A4A7E" w:rsidRDefault="005A4A7E">
            <w:pPr>
              <w:pStyle w:val="TableSideHeading"/>
            </w:pPr>
          </w:p>
        </w:tc>
        <w:tc>
          <w:tcPr>
            <w:tcW w:w="624" w:type="dxa"/>
          </w:tcPr>
          <w:p w14:paraId="50B32BAF" w14:textId="77777777" w:rsidR="005A4A7E" w:rsidRDefault="005A4A7E">
            <w:pPr>
              <w:pStyle w:val="TableText"/>
            </w:pPr>
          </w:p>
        </w:tc>
        <w:tc>
          <w:tcPr>
            <w:tcW w:w="7143" w:type="dxa"/>
            <w:gridSpan w:val="2"/>
          </w:tcPr>
          <w:p w14:paraId="7D33422F" w14:textId="11735131" w:rsidR="005A4A7E" w:rsidRDefault="005A4A7E" w:rsidP="005A4A7E">
            <w:pPr>
              <w:pStyle w:val="TableBlock"/>
            </w:pPr>
            <w:r>
              <w:rPr>
                <w:rFonts w:hint="cs"/>
                <w:rtl/>
              </w:rPr>
              <w:t>(1)</w:t>
            </w:r>
            <w:r>
              <w:rPr>
                <w:rtl/>
              </w:rPr>
              <w:tab/>
            </w:r>
            <w:r>
              <w:rPr>
                <w:rFonts w:hint="cs"/>
                <w:rtl/>
              </w:rPr>
              <w:t>אחרי פסקה (5) יבוא:</w:t>
            </w:r>
          </w:p>
        </w:tc>
      </w:tr>
      <w:tr w:rsidR="002E2A7C" w14:paraId="45400D6E" w14:textId="77777777" w:rsidTr="005A4A7E">
        <w:trPr>
          <w:cantSplit/>
        </w:trPr>
        <w:tc>
          <w:tcPr>
            <w:tcW w:w="1870" w:type="dxa"/>
          </w:tcPr>
          <w:p w14:paraId="2874443A" w14:textId="77777777" w:rsidR="002E2A7C" w:rsidRDefault="002E2A7C">
            <w:pPr>
              <w:pStyle w:val="TableSideHeading"/>
            </w:pPr>
          </w:p>
        </w:tc>
        <w:tc>
          <w:tcPr>
            <w:tcW w:w="624" w:type="dxa"/>
          </w:tcPr>
          <w:p w14:paraId="0F6A1B2C" w14:textId="77777777" w:rsidR="002E2A7C" w:rsidRDefault="002E2A7C" w:rsidP="008A38A3">
            <w:pPr>
              <w:pStyle w:val="TableText"/>
            </w:pPr>
          </w:p>
        </w:tc>
        <w:tc>
          <w:tcPr>
            <w:tcW w:w="624" w:type="dxa"/>
          </w:tcPr>
          <w:p w14:paraId="74A12000" w14:textId="77777777" w:rsidR="002E2A7C" w:rsidRDefault="002E2A7C">
            <w:pPr>
              <w:pStyle w:val="TableText"/>
            </w:pPr>
          </w:p>
        </w:tc>
        <w:tc>
          <w:tcPr>
            <w:tcW w:w="6519" w:type="dxa"/>
          </w:tcPr>
          <w:p w14:paraId="6455A8F8" w14:textId="36C05554" w:rsidR="002E2A7C" w:rsidRDefault="002E2A7C" w:rsidP="005A4A7E">
            <w:pPr>
              <w:pStyle w:val="TableBlock"/>
            </w:pPr>
            <w:r>
              <w:rPr>
                <w:rFonts w:hint="cs"/>
                <w:rtl/>
              </w:rPr>
              <w:t>"(5א)</w:t>
            </w:r>
            <w:r>
              <w:rPr>
                <w:rtl/>
              </w:rPr>
              <w:tab/>
            </w:r>
            <w:r w:rsidRPr="00D84563">
              <w:rPr>
                <w:rtl/>
              </w:rPr>
              <w:t>לעמוד בראש עבודת המטה לגיבוש אסטרטגיית הביטחון הלאומי</w:t>
            </w:r>
            <w:r w:rsidR="005F34C9">
              <w:rPr>
                <w:rFonts w:hint="cs"/>
                <w:rtl/>
              </w:rPr>
              <w:t>,</w:t>
            </w:r>
            <w:r w:rsidRPr="00D84563">
              <w:rPr>
                <w:rtl/>
              </w:rPr>
              <w:t xml:space="preserve"> כ</w:t>
            </w:r>
            <w:r w:rsidR="00921EEA">
              <w:rPr>
                <w:rFonts w:hint="cs"/>
                <w:rtl/>
              </w:rPr>
              <w:t>משמעותה</w:t>
            </w:r>
            <w:r w:rsidRPr="00D84563">
              <w:rPr>
                <w:rtl/>
              </w:rPr>
              <w:t xml:space="preserve"> בחוק אסטרטגיית הביטחון הלאומי, התשפ״ד</w:t>
            </w:r>
            <w:r>
              <w:rPr>
                <w:rFonts w:hint="cs"/>
                <w:rtl/>
              </w:rPr>
              <w:t>–</w:t>
            </w:r>
            <w:r w:rsidRPr="00D84563">
              <w:rPr>
                <w:rtl/>
              </w:rPr>
              <w:t>2024</w:t>
            </w:r>
            <w:r>
              <w:rPr>
                <w:rFonts w:hint="cs"/>
                <w:rtl/>
              </w:rPr>
              <w:t>;";</w:t>
            </w:r>
          </w:p>
        </w:tc>
      </w:tr>
      <w:tr w:rsidR="005A4A7E" w14:paraId="71C088D3" w14:textId="77777777" w:rsidTr="00B710C6">
        <w:trPr>
          <w:cantSplit/>
        </w:trPr>
        <w:tc>
          <w:tcPr>
            <w:tcW w:w="1870" w:type="dxa"/>
          </w:tcPr>
          <w:p w14:paraId="7A0F55E2" w14:textId="77777777" w:rsidR="005A4A7E" w:rsidRDefault="005A4A7E">
            <w:pPr>
              <w:pStyle w:val="TableSideHeading"/>
            </w:pPr>
          </w:p>
        </w:tc>
        <w:tc>
          <w:tcPr>
            <w:tcW w:w="624" w:type="dxa"/>
          </w:tcPr>
          <w:p w14:paraId="395EB258" w14:textId="77777777" w:rsidR="005A4A7E" w:rsidRDefault="005A4A7E" w:rsidP="008A38A3">
            <w:pPr>
              <w:pStyle w:val="TableText"/>
            </w:pPr>
          </w:p>
        </w:tc>
        <w:tc>
          <w:tcPr>
            <w:tcW w:w="7143" w:type="dxa"/>
            <w:gridSpan w:val="2"/>
          </w:tcPr>
          <w:p w14:paraId="101787C7" w14:textId="3E28E519" w:rsidR="005A4A7E" w:rsidRPr="002E2A7C" w:rsidRDefault="005A4A7E" w:rsidP="005A4A7E">
            <w:pPr>
              <w:pStyle w:val="TableBlock"/>
              <w:rPr>
                <w:rtl/>
              </w:rPr>
            </w:pPr>
            <w:r>
              <w:rPr>
                <w:rFonts w:hint="cs"/>
                <w:rtl/>
              </w:rPr>
              <w:t>(2)</w:t>
            </w:r>
            <w:r>
              <w:rPr>
                <w:rtl/>
              </w:rPr>
              <w:tab/>
            </w:r>
            <w:r>
              <w:rPr>
                <w:rFonts w:hint="cs"/>
                <w:rtl/>
              </w:rPr>
              <w:t xml:space="preserve">בפסקה (6), אחרי "המצב המדיני-ביטחוני" יבוא "תוך התייחסות לאסטרטגיית הביטחון הלאומי, כמשמעותה בחוק </w:t>
            </w:r>
            <w:r w:rsidRPr="00D84563">
              <w:rPr>
                <w:rtl/>
              </w:rPr>
              <w:t>אסטרטגיית הביטחון הלאומי, התשפ״ד</w:t>
            </w:r>
            <w:r>
              <w:rPr>
                <w:rFonts w:hint="cs"/>
                <w:rtl/>
              </w:rPr>
              <w:t>–</w:t>
            </w:r>
            <w:r w:rsidRPr="00D84563">
              <w:rPr>
                <w:rtl/>
              </w:rPr>
              <w:t>2024</w:t>
            </w:r>
            <w:r>
              <w:rPr>
                <w:rFonts w:hint="cs"/>
                <w:rtl/>
              </w:rPr>
              <w:t>".</w:t>
            </w:r>
          </w:p>
        </w:tc>
      </w:tr>
      <w:tr w:rsidR="005F280D" w:rsidRPr="00D33903" w14:paraId="13684BDD" w14:textId="77777777" w:rsidTr="005A4A7E">
        <w:trPr>
          <w:cantSplit/>
        </w:trPr>
        <w:tc>
          <w:tcPr>
            <w:tcW w:w="1870" w:type="dxa"/>
          </w:tcPr>
          <w:p w14:paraId="0E2B15C5" w14:textId="77777777" w:rsidR="005F280D" w:rsidRPr="00D84563" w:rsidRDefault="005F280D" w:rsidP="00D84563">
            <w:pPr>
              <w:pStyle w:val="TableSideHeading"/>
              <w:outlineLvl w:val="9"/>
              <w:rPr>
                <w:rtl/>
              </w:rPr>
            </w:pPr>
            <w:r w:rsidRPr="00D84563">
              <w:rPr>
                <w:rtl/>
              </w:rPr>
              <w:t>הוראת מעבר</w:t>
            </w:r>
          </w:p>
        </w:tc>
        <w:tc>
          <w:tcPr>
            <w:tcW w:w="624" w:type="dxa"/>
          </w:tcPr>
          <w:p w14:paraId="25EEE416" w14:textId="2BA3189C" w:rsidR="005F280D" w:rsidRPr="00D84563" w:rsidRDefault="005A4A7E" w:rsidP="00D84563">
            <w:pPr>
              <w:pStyle w:val="TableText"/>
              <w:jc w:val="both"/>
              <w:rPr>
                <w:rtl/>
              </w:rPr>
            </w:pPr>
            <w:r>
              <w:rPr>
                <w:rFonts w:hint="cs"/>
                <w:rtl/>
              </w:rPr>
              <w:t>7</w:t>
            </w:r>
            <w:r w:rsidR="005F280D" w:rsidRPr="00D84563">
              <w:rPr>
                <w:rtl/>
              </w:rPr>
              <w:t xml:space="preserve">. </w:t>
            </w:r>
          </w:p>
        </w:tc>
        <w:tc>
          <w:tcPr>
            <w:tcW w:w="7143" w:type="dxa"/>
            <w:gridSpan w:val="2"/>
          </w:tcPr>
          <w:p w14:paraId="58B0D856" w14:textId="3F1F2968" w:rsidR="005F280D" w:rsidRPr="00D84563" w:rsidRDefault="005F280D" w:rsidP="005A4A7E">
            <w:pPr>
              <w:pStyle w:val="TableBlock"/>
              <w:rPr>
                <w:rtl/>
              </w:rPr>
            </w:pPr>
            <w:r w:rsidRPr="00D84563">
              <w:rPr>
                <w:rtl/>
              </w:rPr>
              <w:t>הממשלה</w:t>
            </w:r>
            <w:r w:rsidR="00303983">
              <w:rPr>
                <w:rFonts w:hint="cs"/>
                <w:rtl/>
              </w:rPr>
              <w:t xml:space="preserve"> תאשר</w:t>
            </w:r>
            <w:r w:rsidRPr="00D84563">
              <w:rPr>
                <w:rtl/>
              </w:rPr>
              <w:t xml:space="preserve"> את אסטרטגיית הביטחון הלאומי</w:t>
            </w:r>
            <w:r w:rsidR="00303983">
              <w:rPr>
                <w:rFonts w:hint="cs"/>
                <w:rtl/>
              </w:rPr>
              <w:t>,</w:t>
            </w:r>
            <w:r w:rsidRPr="00D84563">
              <w:rPr>
                <w:rtl/>
              </w:rPr>
              <w:t xml:space="preserve"> כאמור בסעיף 3(א)</w:t>
            </w:r>
            <w:r w:rsidR="00303983">
              <w:rPr>
                <w:rFonts w:hint="cs"/>
                <w:rtl/>
              </w:rPr>
              <w:t>, בתוך 1</w:t>
            </w:r>
            <w:r w:rsidR="005747A8">
              <w:rPr>
                <w:rFonts w:hint="cs"/>
                <w:rtl/>
              </w:rPr>
              <w:t>8</w:t>
            </w:r>
            <w:r w:rsidR="00303983">
              <w:rPr>
                <w:rFonts w:hint="cs"/>
                <w:rtl/>
              </w:rPr>
              <w:t>0 ימים מתחילתו של חוק זה</w:t>
            </w:r>
            <w:r w:rsidRPr="00D84563">
              <w:rPr>
                <w:rtl/>
              </w:rPr>
              <w:t xml:space="preserve">. </w:t>
            </w:r>
          </w:p>
        </w:tc>
      </w:tr>
    </w:tbl>
    <w:p w14:paraId="7F6961CA" w14:textId="77777777" w:rsidR="002D1EE3" w:rsidRDefault="002D1EE3" w:rsidP="002D1EE3">
      <w:pPr>
        <w:pStyle w:val="HeadDivreiHesber"/>
        <w:rPr>
          <w:rtl/>
        </w:rPr>
      </w:pPr>
      <w:r w:rsidRPr="0027450A">
        <w:rPr>
          <w:rFonts w:hint="cs"/>
          <w:rtl/>
        </w:rPr>
        <w:t>דברי הסבר</w:t>
      </w:r>
    </w:p>
    <w:p w14:paraId="6C598CDC" w14:textId="654FA904" w:rsidR="005F280D" w:rsidRPr="006479E3" w:rsidRDefault="005F280D" w:rsidP="00641BF9">
      <w:pPr>
        <w:pStyle w:val="Hesber1st"/>
        <w:tabs>
          <w:tab w:val="clear" w:pos="680"/>
        </w:tabs>
        <w:rPr>
          <w:rtl/>
        </w:rPr>
      </w:pPr>
      <w:r w:rsidRPr="006479E3">
        <w:rPr>
          <w:rtl/>
        </w:rPr>
        <w:t xml:space="preserve">מדינת ישראל ניצבת מאז הקמתה בפני אתגרים ביטחוניים ולאומיים המאיימים על ריבונותה, שלמותה הטריטוריאלית וביטחון </w:t>
      </w:r>
      <w:r w:rsidR="00E013C0">
        <w:rPr>
          <w:rFonts w:hint="cs"/>
          <w:rtl/>
        </w:rPr>
        <w:t>אזרחיה</w:t>
      </w:r>
      <w:r w:rsidR="00BF1CF4">
        <w:rPr>
          <w:rFonts w:hint="cs"/>
          <w:rtl/>
        </w:rPr>
        <w:t xml:space="preserve"> ותושביה</w:t>
      </w:r>
      <w:r w:rsidRPr="006479E3">
        <w:rPr>
          <w:rtl/>
        </w:rPr>
        <w:t xml:space="preserve">. ההיערכות והמוכנות לאתגרי הביטחון הלאומי מצריכות ראייה מדינית רחבה, תיאום בין כלל הגופים האחראים על הביטחון הלאומי, תכנון ארוך טווח, גמישות בבניין הכוח והפעלתו ויכולת לבחון בצורה ביקורתית מעת לעת את הנחות היסוד המובילות את מקבלי ההחלטות. </w:t>
      </w:r>
    </w:p>
    <w:p w14:paraId="427DBF98" w14:textId="52F2485C" w:rsidR="005F280D" w:rsidRPr="006479E3" w:rsidRDefault="005F280D" w:rsidP="00AB5245">
      <w:pPr>
        <w:pStyle w:val="Hesber"/>
        <w:rPr>
          <w:rtl/>
        </w:rPr>
      </w:pPr>
      <w:r w:rsidRPr="006479E3">
        <w:rPr>
          <w:rtl/>
        </w:rPr>
        <w:t xml:space="preserve">בניגוד למגמה הרווחת בקרב העולם הדמוקרטי, במדינת ישראל לא גובש עד היום נוהג להגדרה </w:t>
      </w:r>
      <w:r w:rsidRPr="006479E3">
        <w:rPr>
          <w:rtl/>
        </w:rPr>
        <w:lastRenderedPageBreak/>
        <w:t xml:space="preserve">ועדכון של אסטרטגיית הביטחון הלאומי המאפשרת היערכות ומוכנות כאמור. בין הנוגעים בדבר יש הכרה כי קיימת ״תורה שבעל פה״ ביחס ליסודות תפיסת ביטחון לאומי שגובשה על ידי ראש הממשלה הראשון דוד בן-גוריון בשנות ה-50, אולם תרגומה, התאמתה ויישומה ביחס לאתגרי הביטחון הלאומי המשתנים לא זכו עד היום למענה על ידי ממשלות ישראל. התוצאה היא פגיעה בהיערכות והמוכנות של מדינת ישראל, מציאות שאת תוצאותיה הטראגיות חוו אזרחי ישראל באירועי ה-7 באוקטובר. </w:t>
      </w:r>
    </w:p>
    <w:p w14:paraId="6D2C04CE" w14:textId="0AF64B60" w:rsidR="005F280D" w:rsidRPr="006479E3" w:rsidRDefault="005F280D" w:rsidP="002B1AA3">
      <w:pPr>
        <w:pStyle w:val="Hesber"/>
        <w:rPr>
          <w:rtl/>
        </w:rPr>
      </w:pPr>
      <w:r w:rsidRPr="006479E3">
        <w:rPr>
          <w:rtl/>
        </w:rPr>
        <w:t>מט</w:t>
      </w:r>
      <w:r w:rsidR="00BE7446">
        <w:rPr>
          <w:rtl/>
        </w:rPr>
        <w:t>רתו של חוק זה למלא את החסר, ל</w:t>
      </w:r>
      <w:r w:rsidR="00B935D7">
        <w:rPr>
          <w:rFonts w:hint="cs"/>
          <w:rtl/>
        </w:rPr>
        <w:t>טובת</w:t>
      </w:r>
      <w:r w:rsidRPr="006479E3">
        <w:rPr>
          <w:rtl/>
        </w:rPr>
        <w:t xml:space="preserve"> שיפור המוכנות הלאומית והתיאום בין גופי הביטחון להתמודדות עם איומים, חיזוק החוסן הלאומי, וקידום האינטרסים הלאומיים של מדינת ישראל. האמצעי המרכזי </w:t>
      </w:r>
      <w:r w:rsidR="00FA7D00">
        <w:rPr>
          <w:rFonts w:hint="cs"/>
          <w:rtl/>
        </w:rPr>
        <w:t>המוצע</w:t>
      </w:r>
      <w:r w:rsidR="007F0004">
        <w:rPr>
          <w:rtl/>
        </w:rPr>
        <w:t xml:space="preserve"> הוא הטלת חובה בחוק על כל ממשלה</w:t>
      </w:r>
      <w:r w:rsidR="002B1AA3">
        <w:rPr>
          <w:rFonts w:hint="cs"/>
          <w:rtl/>
        </w:rPr>
        <w:t>, בסמוך להקמתה,</w:t>
      </w:r>
      <w:r w:rsidRPr="006479E3">
        <w:rPr>
          <w:rtl/>
        </w:rPr>
        <w:t xml:space="preserve"> לגבש נייר מדיניות המפרט את אסטרטגיית הביטחון הלאומי של מדינת י</w:t>
      </w:r>
      <w:r w:rsidR="002B1AA3">
        <w:rPr>
          <w:rtl/>
        </w:rPr>
        <w:t>שראל</w:t>
      </w:r>
      <w:r w:rsidR="007F0004">
        <w:rPr>
          <w:rFonts w:hint="cs"/>
          <w:rtl/>
        </w:rPr>
        <w:t>,</w:t>
      </w:r>
      <w:r w:rsidR="002B1AA3">
        <w:rPr>
          <w:rtl/>
        </w:rPr>
        <w:t xml:space="preserve"> וכן לעדכנ</w:t>
      </w:r>
      <w:r w:rsidR="002B1AA3">
        <w:rPr>
          <w:rFonts w:hint="cs"/>
          <w:rtl/>
        </w:rPr>
        <w:t>ו</w:t>
      </w:r>
      <w:r w:rsidRPr="006479E3">
        <w:rPr>
          <w:rtl/>
        </w:rPr>
        <w:t xml:space="preserve"> בכל שנת תקציב. לשם חיזוק הפיקוח של הכנסת על הממשלה והאחריות של הממשלה מול הציבור, מוצע עוד לחייב את הממשלה לדווח על אסטרטגיית הביטחון הלאומי לוועדת החוץ והביטחון של הכנסת ולפרסם לציבור תקציר לא מסווג של האסטרטגיה.</w:t>
      </w:r>
    </w:p>
    <w:p w14:paraId="4CC143D4" w14:textId="09B14B58" w:rsidR="005F280D" w:rsidRDefault="005F280D" w:rsidP="008A38A3">
      <w:pPr>
        <w:pStyle w:val="Hesber"/>
        <w:rPr>
          <w:rtl/>
        </w:rPr>
      </w:pPr>
      <w:r>
        <w:rPr>
          <w:rtl/>
        </w:rPr>
        <w:t xml:space="preserve">נוסחה זו שואבת השראה מהסדרים מקבילים הקיימים בעולם, ביניהם חוק הביטחון הלאומי של ארצות-הברית (50 </w:t>
      </w:r>
      <w:r>
        <w:t xml:space="preserve">USC 404a: Annual </w:t>
      </w:r>
      <w:r w:rsidR="006479E3">
        <w:t>National Security Strategy Report</w:t>
      </w:r>
      <w:r>
        <w:rPr>
          <w:rtl/>
        </w:rPr>
        <w:t xml:space="preserve">), המחייב את הנשיא לפרסם בכל שנה אסטרטגיית ביטחון לאומי ולדווח עליה לקונגרס. </w:t>
      </w:r>
    </w:p>
    <w:p w14:paraId="2D53F28F" w14:textId="77777777" w:rsidR="005F280D" w:rsidRPr="00D33903" w:rsidRDefault="005F280D" w:rsidP="005F280D">
      <w:pPr>
        <w:pStyle w:val="Hesber"/>
        <w:rPr>
          <w:b/>
          <w:bCs/>
          <w:rtl/>
        </w:rPr>
      </w:pPr>
      <w:r w:rsidRPr="00D33903">
        <w:rPr>
          <w:b/>
          <w:bCs/>
          <w:rtl/>
        </w:rPr>
        <w:t>עיקרי ההסדר</w:t>
      </w:r>
    </w:p>
    <w:p w14:paraId="088D29ED" w14:textId="77777777" w:rsidR="005F280D" w:rsidRDefault="005F280D" w:rsidP="005F280D">
      <w:pPr>
        <w:pStyle w:val="Hesber"/>
        <w:rPr>
          <w:rtl/>
        </w:rPr>
      </w:pPr>
      <w:r>
        <w:rPr>
          <w:rtl/>
        </w:rPr>
        <w:t xml:space="preserve">ההסדר המוצע מעגן את המסגרת החוקית לגיבוש, דיווח, פרסום ועדכון אסטרטגיית הביטחון הלאומי. </w:t>
      </w:r>
    </w:p>
    <w:p w14:paraId="2A8E11A3" w14:textId="6C9D6828" w:rsidR="005F280D" w:rsidRDefault="005F280D" w:rsidP="007A47ED">
      <w:pPr>
        <w:pStyle w:val="Hesber"/>
        <w:rPr>
          <w:rtl/>
        </w:rPr>
      </w:pPr>
      <w:r>
        <w:rPr>
          <w:rtl/>
        </w:rPr>
        <w:t>סעיף 1 מגדיר את מטרות החוק. תכלית ה</w:t>
      </w:r>
      <w:r w:rsidR="00615D1B">
        <w:rPr>
          <w:rFonts w:hint="cs"/>
          <w:rtl/>
        </w:rPr>
        <w:t>הצעה</w:t>
      </w:r>
      <w:r>
        <w:rPr>
          <w:rtl/>
        </w:rPr>
        <w:t xml:space="preserve"> היא להנחות את הממשלה</w:t>
      </w:r>
      <w:r w:rsidR="00615D1B">
        <w:rPr>
          <w:rtl/>
        </w:rPr>
        <w:t xml:space="preserve"> לגבש אסטרטגיה לביטחון לאומי ל</w:t>
      </w:r>
      <w:r w:rsidR="00615D1B">
        <w:rPr>
          <w:rFonts w:hint="cs"/>
          <w:rtl/>
        </w:rPr>
        <w:t>טובת</w:t>
      </w:r>
      <w:r>
        <w:rPr>
          <w:rtl/>
        </w:rPr>
        <w:t xml:space="preserve"> שיפור המוכנות הלאומית והתיאום בין גופי הביטחון, חיזוק החוסן הלאומי וקידום האינטרסים הלאומיים של ישראל. מסמך מד</w:t>
      </w:r>
      <w:r w:rsidR="007A47ED">
        <w:rPr>
          <w:rtl/>
        </w:rPr>
        <w:t>יניות אח</w:t>
      </w:r>
      <w:r w:rsidR="007A47ED">
        <w:rPr>
          <w:rFonts w:hint="cs"/>
          <w:rtl/>
        </w:rPr>
        <w:t>י</w:t>
      </w:r>
      <w:r>
        <w:rPr>
          <w:rtl/>
        </w:rPr>
        <w:t xml:space="preserve">ד ומקיף מיועד להנחות ולעצב את תוכניות העבודה והאסטרטגיות של </w:t>
      </w:r>
      <w:r w:rsidR="007A47ED">
        <w:rPr>
          <w:rFonts w:hint="cs"/>
          <w:rtl/>
        </w:rPr>
        <w:t>גופי</w:t>
      </w:r>
      <w:r w:rsidR="007A47ED">
        <w:rPr>
          <w:rtl/>
        </w:rPr>
        <w:t xml:space="preserve"> הביטחון השונ</w:t>
      </w:r>
      <w:r w:rsidR="007A47ED">
        <w:rPr>
          <w:rFonts w:hint="cs"/>
          <w:rtl/>
        </w:rPr>
        <w:t>ים,</w:t>
      </w:r>
      <w:r>
        <w:rPr>
          <w:rtl/>
        </w:rPr>
        <w:t xml:space="preserve"> </w:t>
      </w:r>
      <w:r w:rsidR="007A47ED">
        <w:rPr>
          <w:rFonts w:hint="cs"/>
          <w:rtl/>
        </w:rPr>
        <w:t>ו</w:t>
      </w:r>
      <w:r>
        <w:rPr>
          <w:rtl/>
        </w:rPr>
        <w:t>בכללם צה״ל, שב״כ, מוסד, משטרת ישראל, הוועדה לאנרגיה אטו</w:t>
      </w:r>
      <w:r w:rsidR="005A2D6D">
        <w:rPr>
          <w:rtl/>
        </w:rPr>
        <w:t xml:space="preserve">מית, מערך הסייבר הלאומי ואחרים </w:t>
      </w:r>
      <w:r w:rsidR="005A2D6D">
        <w:rPr>
          <w:rFonts w:hint="eastAsia"/>
          <w:rtl/>
        </w:rPr>
        <w:t>–</w:t>
      </w:r>
      <w:r>
        <w:rPr>
          <w:rtl/>
        </w:rPr>
        <w:t xml:space="preserve"> לשם שיפור התיאום וגיבוש המענים לאתגרי הביטחון הלאומי. עבודת </w:t>
      </w:r>
      <w:r w:rsidR="007A47ED">
        <w:rPr>
          <w:rFonts w:hint="cs"/>
          <w:rtl/>
        </w:rPr>
        <w:t>גופי</w:t>
      </w:r>
      <w:r>
        <w:rPr>
          <w:rtl/>
        </w:rPr>
        <w:t xml:space="preserve"> הביטחון תח</w:t>
      </w:r>
      <w:r w:rsidR="007A47ED">
        <w:rPr>
          <w:rtl/>
        </w:rPr>
        <w:t>ת מסגרת מארגנת אח</w:t>
      </w:r>
      <w:r w:rsidR="007A47ED">
        <w:rPr>
          <w:rFonts w:hint="cs"/>
          <w:rtl/>
        </w:rPr>
        <w:t>י</w:t>
      </w:r>
      <w:r>
        <w:rPr>
          <w:rtl/>
        </w:rPr>
        <w:t xml:space="preserve">דה צפויה לשפר את יכולתם לממש את סמכויותיהם לפי חוק ולחזק את הביטחון הלאומי. </w:t>
      </w:r>
    </w:p>
    <w:p w14:paraId="274757F5" w14:textId="112F0F09" w:rsidR="005F280D" w:rsidRDefault="005F280D" w:rsidP="00FF20C2">
      <w:pPr>
        <w:pStyle w:val="Hesber"/>
        <w:rPr>
          <w:rtl/>
        </w:rPr>
      </w:pPr>
      <w:r>
        <w:rPr>
          <w:rtl/>
        </w:rPr>
        <w:t>סעיף 2 כולל סעיף הגדרות</w:t>
      </w:r>
      <w:r w:rsidR="00FF20C2">
        <w:rPr>
          <w:rFonts w:hint="cs"/>
          <w:rtl/>
        </w:rPr>
        <w:t>, בהן</w:t>
      </w:r>
      <w:r>
        <w:rPr>
          <w:rtl/>
        </w:rPr>
        <w:t xml:space="preserve"> הגדרת המונח ״ביטחון לאומי״. למותר לציין כי מדובר במונח עמום שיכול להכיל שורה ארוכה של אינטרסים לאומיים וערכים ציבוריים, ובשל כך ראוי לאמץ בחוק הגדרה מוסכמת שתנחה את הממשלה בגיבוש אסטרטגיית הביטחון הלאומי.   </w:t>
      </w:r>
    </w:p>
    <w:p w14:paraId="77061F40" w14:textId="77777777" w:rsidR="005F280D" w:rsidRDefault="005F280D" w:rsidP="005F280D">
      <w:pPr>
        <w:pStyle w:val="Hesber"/>
        <w:rPr>
          <w:rtl/>
        </w:rPr>
      </w:pPr>
      <w:r>
        <w:rPr>
          <w:rtl/>
        </w:rPr>
        <w:t xml:space="preserve">סעיף 3 מגדיר את החובה החוקית החלה על ממשלה נכנסת לגבש אסטרטגיה לביטחון לאומי, מטיל על המטה לביטחון לאומי לעמוד בראש עבודת המטה לגיבושה בשיתוף עם יתר גופי הביטחון, וקובע את מרכיביה. </w:t>
      </w:r>
    </w:p>
    <w:p w14:paraId="40E9E4DE" w14:textId="02E382A8" w:rsidR="005F280D" w:rsidRDefault="005F280D" w:rsidP="005E6E58">
      <w:pPr>
        <w:pStyle w:val="Hesber"/>
        <w:rPr>
          <w:rtl/>
        </w:rPr>
      </w:pPr>
      <w:r>
        <w:rPr>
          <w:rtl/>
        </w:rPr>
        <w:t xml:space="preserve">מרכיבים אלה כוללים את </w:t>
      </w:r>
      <w:r w:rsidRPr="00D33903">
        <w:rPr>
          <w:b/>
          <w:bCs/>
          <w:rtl/>
        </w:rPr>
        <w:t>תפיסת הביטחון הלאומי</w:t>
      </w:r>
      <w:r>
        <w:rPr>
          <w:rtl/>
        </w:rPr>
        <w:t xml:space="preserve">, המהווה את העוגן המייצב של הנחות היסוד דרכן מעצבת הממשלה את צרכי הביטחון הלאומי ביחס לאתגרים, האמצעים וההזדמנויות המתהווים במציאות המשתנה, והיא אבן הראשה של הגדרת האסטרטגיה הלאומית; </w:t>
      </w:r>
      <w:r w:rsidRPr="00D33903">
        <w:rPr>
          <w:b/>
          <w:bCs/>
          <w:rtl/>
        </w:rPr>
        <w:t>יעדי הביטחון הלאומי</w:t>
      </w:r>
      <w:r w:rsidR="005E6E58">
        <w:rPr>
          <w:rFonts w:hint="cs"/>
          <w:b/>
          <w:bCs/>
          <w:rtl/>
        </w:rPr>
        <w:t>,</w:t>
      </w:r>
      <w:r>
        <w:rPr>
          <w:rtl/>
        </w:rPr>
        <w:t xml:space="preserve"> המהווים </w:t>
      </w:r>
      <w:r w:rsidR="005E6E58">
        <w:rPr>
          <w:rFonts w:hint="cs"/>
          <w:rtl/>
        </w:rPr>
        <w:t xml:space="preserve">את </w:t>
      </w:r>
      <w:r>
        <w:rPr>
          <w:rtl/>
        </w:rPr>
        <w:t xml:space="preserve">סך המטרות והאינטרסים שקבעה הממשלה כי יש להביאם לידי מימוש כדי להגן על הביטחון הלאומי; </w:t>
      </w:r>
      <w:r w:rsidRPr="00D33903">
        <w:rPr>
          <w:b/>
          <w:bCs/>
          <w:rtl/>
        </w:rPr>
        <w:t>אתגרי הביטחון הלאומי</w:t>
      </w:r>
      <w:r>
        <w:rPr>
          <w:rtl/>
        </w:rPr>
        <w:t xml:space="preserve">, אשר מציגים את סדר העדיפויות בטיפול באיומים ובזירות </w:t>
      </w:r>
      <w:r w:rsidR="005E6E58">
        <w:rPr>
          <w:rtl/>
        </w:rPr>
        <w:lastRenderedPageBreak/>
        <w:t>השונות, תוך התייחסות לאיומים צבאיים ואיומי טרור</w:t>
      </w:r>
      <w:r w:rsidR="005E6E58">
        <w:rPr>
          <w:rFonts w:hint="cs"/>
          <w:rtl/>
        </w:rPr>
        <w:t xml:space="preserve"> וכן </w:t>
      </w:r>
      <w:r>
        <w:rPr>
          <w:rtl/>
        </w:rPr>
        <w:t xml:space="preserve">למכלול האתגרים החיצוניים </w:t>
      </w:r>
      <w:r w:rsidR="005E6E58">
        <w:rPr>
          <w:rtl/>
        </w:rPr>
        <w:t>והפנימיים בטווח השנתי והרב-שנתי</w:t>
      </w:r>
      <w:r w:rsidR="005E6E58">
        <w:rPr>
          <w:rFonts w:hint="cs"/>
          <w:rtl/>
        </w:rPr>
        <w:t xml:space="preserve">, </w:t>
      </w:r>
      <w:r>
        <w:rPr>
          <w:rtl/>
        </w:rPr>
        <w:t xml:space="preserve">שיש בהם להשפיע על הביטחון הלאומי; </w:t>
      </w:r>
      <w:r w:rsidRPr="00D33903">
        <w:rPr>
          <w:b/>
          <w:bCs/>
          <w:rtl/>
        </w:rPr>
        <w:t>מרכיבי יכולות ומשאבי הביטחון הלאומי</w:t>
      </w:r>
      <w:r>
        <w:rPr>
          <w:rtl/>
        </w:rPr>
        <w:t xml:space="preserve">, אשר פירוטם באסטרטגיית הביטחון הלאומי יאפשר לזהות פערים בין הצרכים והיכולות בכל שנה נתונה; </w:t>
      </w:r>
      <w:r w:rsidRPr="00D33903">
        <w:rPr>
          <w:b/>
          <w:bCs/>
          <w:rtl/>
        </w:rPr>
        <w:t>הערכה ביקורתית של אסטרטגיית הביטחון הלאומי</w:t>
      </w:r>
      <w:r w:rsidR="00573071">
        <w:rPr>
          <w:rtl/>
        </w:rPr>
        <w:t xml:space="preserve">, </w:t>
      </w:r>
      <w:r w:rsidR="00573071">
        <w:rPr>
          <w:rFonts w:hint="cs"/>
          <w:rtl/>
        </w:rPr>
        <w:t>ש</w:t>
      </w:r>
      <w:r>
        <w:rPr>
          <w:rtl/>
        </w:rPr>
        <w:t xml:space="preserve">מיועדת להבטיח </w:t>
      </w:r>
      <w:r w:rsidR="00573071">
        <w:rPr>
          <w:rFonts w:hint="cs"/>
          <w:rtl/>
        </w:rPr>
        <w:t xml:space="preserve">את </w:t>
      </w:r>
      <w:r w:rsidR="00573071">
        <w:rPr>
          <w:rtl/>
        </w:rPr>
        <w:t>חיזוק</w:t>
      </w:r>
      <w:r>
        <w:rPr>
          <w:rtl/>
        </w:rPr>
        <w:t xml:space="preserve"> החשיבה הביקורתית בתוך הגופים הנוגעים בדבר ביחס להנחות היסוד שלהם, לשם זיהוי חולשות אסטרטגיות ואיומים שלא זוכים למענה ראוי; וכן </w:t>
      </w:r>
      <w:r w:rsidRPr="00D33903">
        <w:rPr>
          <w:b/>
          <w:bCs/>
          <w:rtl/>
        </w:rPr>
        <w:t>כל מידע נוסף</w:t>
      </w:r>
      <w:r>
        <w:rPr>
          <w:rtl/>
        </w:rPr>
        <w:t xml:space="preserve"> שעשוי לתרום לגיבוש אסטרטגיית הביטחון הלאומי.</w:t>
      </w:r>
    </w:p>
    <w:p w14:paraId="67FDF3FC" w14:textId="444018A4" w:rsidR="005F280D" w:rsidRDefault="005301A4" w:rsidP="00573071">
      <w:pPr>
        <w:pStyle w:val="Hesber"/>
        <w:rPr>
          <w:rtl/>
        </w:rPr>
      </w:pPr>
      <w:r>
        <w:rPr>
          <w:rFonts w:hint="cs"/>
          <w:rtl/>
        </w:rPr>
        <w:t>התקופה</w:t>
      </w:r>
      <w:r>
        <w:rPr>
          <w:rtl/>
        </w:rPr>
        <w:t xml:space="preserve"> של 1</w:t>
      </w:r>
      <w:r w:rsidR="00573071">
        <w:rPr>
          <w:rFonts w:hint="cs"/>
          <w:rtl/>
        </w:rPr>
        <w:t>5</w:t>
      </w:r>
      <w:r>
        <w:rPr>
          <w:rtl/>
        </w:rPr>
        <w:t>0 ימים הנית</w:t>
      </w:r>
      <w:r>
        <w:rPr>
          <w:rFonts w:hint="cs"/>
          <w:rtl/>
        </w:rPr>
        <w:t>נת</w:t>
      </w:r>
      <w:r w:rsidR="005F280D">
        <w:rPr>
          <w:rtl/>
        </w:rPr>
        <w:t xml:space="preserve"> לממשלה נכנסת לשם גיבוש האסטרטגיה מיועד</w:t>
      </w:r>
      <w:r>
        <w:rPr>
          <w:rFonts w:hint="cs"/>
          <w:rtl/>
        </w:rPr>
        <w:t>ת</w:t>
      </w:r>
      <w:r w:rsidR="005F280D">
        <w:rPr>
          <w:rtl/>
        </w:rPr>
        <w:t xml:space="preserve"> להבטיח עבודת מטה מעמיקה, רצינית ומשתפת בין הגופים השונים</w:t>
      </w:r>
      <w:r>
        <w:rPr>
          <w:rFonts w:hint="cs"/>
          <w:rtl/>
        </w:rPr>
        <w:t>,</w:t>
      </w:r>
      <w:r w:rsidR="005F280D">
        <w:rPr>
          <w:rtl/>
        </w:rPr>
        <w:t xml:space="preserve"> בטרם יגובשו מרכיבי האסטרטגיה בהתאם להנחיית ראש הממשלה ושר הביטחון</w:t>
      </w:r>
      <w:r>
        <w:rPr>
          <w:rtl/>
        </w:rPr>
        <w:t xml:space="preserve">. ראוי לציין כי פרק זמן זהה </w:t>
      </w:r>
      <w:r>
        <w:rPr>
          <w:rFonts w:hint="cs"/>
          <w:rtl/>
        </w:rPr>
        <w:t xml:space="preserve">קיים </w:t>
      </w:r>
      <w:r w:rsidR="005F280D">
        <w:rPr>
          <w:rtl/>
        </w:rPr>
        <w:t xml:space="preserve">בחקיקה החלה בארצות הברית. </w:t>
      </w:r>
    </w:p>
    <w:p w14:paraId="1485F480" w14:textId="3798DB56" w:rsidR="005F280D" w:rsidRDefault="005F280D" w:rsidP="00CC485F">
      <w:pPr>
        <w:pStyle w:val="Hesber"/>
        <w:rPr>
          <w:rtl/>
        </w:rPr>
      </w:pPr>
      <w:r>
        <w:rPr>
          <w:rtl/>
        </w:rPr>
        <w:t xml:space="preserve">סעיפים </w:t>
      </w:r>
      <w:r w:rsidR="00524F78">
        <w:rPr>
          <w:rFonts w:hint="cs"/>
          <w:rtl/>
        </w:rPr>
        <w:t>4 ו-5</w:t>
      </w:r>
      <w:r>
        <w:rPr>
          <w:rtl/>
        </w:rPr>
        <w:t xml:space="preserve"> קובעים את הוראות הדיווח והעדכון לוועדת החוץ והביטחון של הכנסת. הגם שהאחריות על גיבוש אסטרטגיית הביטחון הלאומי ומימושה </w:t>
      </w:r>
      <w:r w:rsidR="001853F9">
        <w:rPr>
          <w:rFonts w:hint="cs"/>
          <w:rtl/>
        </w:rPr>
        <w:t>מוטלת</w:t>
      </w:r>
      <w:r>
        <w:rPr>
          <w:rtl/>
        </w:rPr>
        <w:t xml:space="preserve"> על הממשלה, הדיווח לכנס</w:t>
      </w:r>
      <w:r w:rsidR="008C5FA2">
        <w:rPr>
          <w:rtl/>
        </w:rPr>
        <w:t>ת ופרסום תקציר האסטרטגיה י</w:t>
      </w:r>
      <w:r>
        <w:rPr>
          <w:rtl/>
        </w:rPr>
        <w:t>תר</w:t>
      </w:r>
      <w:r w:rsidR="002E2317">
        <w:rPr>
          <w:rFonts w:hint="cs"/>
          <w:rtl/>
        </w:rPr>
        <w:t>מו</w:t>
      </w:r>
      <w:r>
        <w:rPr>
          <w:rtl/>
        </w:rPr>
        <w:t xml:space="preserve"> לחיזוק הפ</w:t>
      </w:r>
      <w:r w:rsidR="008C5FA2">
        <w:rPr>
          <w:rtl/>
        </w:rPr>
        <w:t xml:space="preserve">יקוח </w:t>
      </w:r>
      <w:r w:rsidR="002E2317">
        <w:rPr>
          <w:rFonts w:hint="cs"/>
          <w:rtl/>
        </w:rPr>
        <w:t xml:space="preserve">הפרלמנטרי </w:t>
      </w:r>
      <w:r w:rsidR="008C5FA2">
        <w:rPr>
          <w:rtl/>
        </w:rPr>
        <w:t>על עבודת הממשלה</w:t>
      </w:r>
      <w:r w:rsidR="002E2317">
        <w:rPr>
          <w:rFonts w:hint="cs"/>
          <w:rtl/>
        </w:rPr>
        <w:t>, ה</w:t>
      </w:r>
      <w:r w:rsidR="008002D5">
        <w:rPr>
          <w:rFonts w:hint="cs"/>
          <w:rtl/>
        </w:rPr>
        <w:t>שקיפות ו</w:t>
      </w:r>
      <w:r w:rsidR="002E2317">
        <w:rPr>
          <w:rFonts w:hint="cs"/>
          <w:rtl/>
        </w:rPr>
        <w:t>אמון הציבור</w:t>
      </w:r>
      <w:r w:rsidR="002E2317">
        <w:rPr>
          <w:rtl/>
        </w:rPr>
        <w:t>. הצמד</w:t>
      </w:r>
      <w:r w:rsidR="002E2317">
        <w:rPr>
          <w:rFonts w:hint="cs"/>
          <w:rtl/>
        </w:rPr>
        <w:t>ת</w:t>
      </w:r>
      <w:r w:rsidR="007F4546">
        <w:rPr>
          <w:rtl/>
        </w:rPr>
        <w:t xml:space="preserve"> </w:t>
      </w:r>
      <w:r w:rsidR="007F4546">
        <w:rPr>
          <w:rFonts w:hint="cs"/>
          <w:rtl/>
        </w:rPr>
        <w:t>ה</w:t>
      </w:r>
      <w:r>
        <w:rPr>
          <w:rtl/>
        </w:rPr>
        <w:t xml:space="preserve">עדכון העיתי של אסטרטגיית הביטחון הלאומי למועד הנחת </w:t>
      </w:r>
      <w:r w:rsidR="00CC485F">
        <w:rPr>
          <w:rFonts w:hint="cs"/>
          <w:rtl/>
        </w:rPr>
        <w:t>חוק התקציב השנתי</w:t>
      </w:r>
      <w:r>
        <w:rPr>
          <w:rtl/>
        </w:rPr>
        <w:t xml:space="preserve"> על שולחן הכנסת מיועד להבטיח </w:t>
      </w:r>
      <w:r w:rsidR="00CC485F">
        <w:rPr>
          <w:rtl/>
        </w:rPr>
        <w:t>כי תקציב ה</w:t>
      </w:r>
      <w:r w:rsidR="00CC485F">
        <w:rPr>
          <w:rFonts w:hint="cs"/>
          <w:rtl/>
        </w:rPr>
        <w:t xml:space="preserve">מדינה </w:t>
      </w:r>
      <w:r w:rsidR="007728EE">
        <w:rPr>
          <w:rFonts w:hint="cs"/>
          <w:rtl/>
        </w:rPr>
        <w:t>י</w:t>
      </w:r>
      <w:r>
        <w:rPr>
          <w:rtl/>
        </w:rPr>
        <w:t>גובש תוך ראייה רחבה של האתגרים והצרכים האסטרטגיים של המדינה</w:t>
      </w:r>
      <w:r w:rsidR="00CC485F">
        <w:rPr>
          <w:rFonts w:hint="cs"/>
          <w:rtl/>
        </w:rPr>
        <w:t>,</w:t>
      </w:r>
      <w:r>
        <w:rPr>
          <w:rtl/>
        </w:rPr>
        <w:t xml:space="preserve"> ויאפשר לכנסת לפקח </w:t>
      </w:r>
      <w:r w:rsidR="00CC485F">
        <w:rPr>
          <w:rFonts w:hint="cs"/>
          <w:rtl/>
        </w:rPr>
        <w:t>על התאמת</w:t>
      </w:r>
      <w:r>
        <w:rPr>
          <w:rtl/>
        </w:rPr>
        <w:t xml:space="preserve"> דרישות התקציב עם מימוש אסטרטגיית הביטחון הלאומי על כלל מרכיביה.  </w:t>
      </w:r>
    </w:p>
    <w:p w14:paraId="72017FD4" w14:textId="4CBBDEBC" w:rsidR="005F280D" w:rsidRPr="00D33903" w:rsidRDefault="005F280D" w:rsidP="007728EE">
      <w:pPr>
        <w:pStyle w:val="Hesber"/>
        <w:rPr>
          <w:rtl/>
        </w:rPr>
      </w:pPr>
      <w:r>
        <w:rPr>
          <w:rtl/>
        </w:rPr>
        <w:t xml:space="preserve">סעיפים </w:t>
      </w:r>
      <w:r w:rsidR="007728EE">
        <w:rPr>
          <w:rFonts w:hint="cs"/>
          <w:rtl/>
        </w:rPr>
        <w:t>6 ו-7</w:t>
      </w:r>
      <w:r w:rsidR="000E68F2">
        <w:rPr>
          <w:rtl/>
        </w:rPr>
        <w:t xml:space="preserve"> כוללים תיקו</w:t>
      </w:r>
      <w:r w:rsidR="000E68F2">
        <w:rPr>
          <w:rFonts w:hint="cs"/>
          <w:rtl/>
        </w:rPr>
        <w:t>ן</w:t>
      </w:r>
      <w:r w:rsidR="000E68F2">
        <w:rPr>
          <w:rtl/>
        </w:rPr>
        <w:t xml:space="preserve"> עקי</w:t>
      </w:r>
      <w:r w:rsidR="000E68F2">
        <w:rPr>
          <w:rFonts w:hint="cs"/>
          <w:rtl/>
        </w:rPr>
        <w:t>ף</w:t>
      </w:r>
      <w:r>
        <w:rPr>
          <w:rtl/>
        </w:rPr>
        <w:t xml:space="preserve"> לחוק המטה לביטחון לאומי והוראת מעבר לשם יישום החוק באופן מיידי על רקע אתגרי הביטחון הלאומי העכשוויים.  </w:t>
      </w:r>
    </w:p>
    <w:p w14:paraId="7F6961CB" w14:textId="77777777" w:rsidR="00E13C27" w:rsidRDefault="00E13C27" w:rsidP="00E13C27">
      <w:pPr>
        <w:pStyle w:val="Hesber"/>
        <w:rPr>
          <w:rtl/>
        </w:rPr>
      </w:pPr>
    </w:p>
    <w:p w14:paraId="1711BCCD" w14:textId="77777777" w:rsidR="006519F9" w:rsidRDefault="00335F94">
      <w:pPr>
        <w:spacing w:line="276" w:lineRule="auto"/>
        <w:jc w:val="left"/>
      </w:pPr>
      <w:bookmarkStart w:id="9" w:name="selectedDocDateB"/>
      <w:bookmarkEnd w:id="9"/>
      <w:r>
        <w:rPr>
          <w:rFonts w:eastAsia="David" w:hint="cs"/>
          <w:sz w:val="26"/>
          <w:szCs w:val="26"/>
          <w:rtl/>
        </w:rPr>
        <w:t>--------------------------------</w:t>
      </w:r>
    </w:p>
    <w:p w14:paraId="1E84B793" w14:textId="77777777" w:rsidR="006519F9" w:rsidRDefault="00335F94">
      <w:pPr>
        <w:jc w:val="left"/>
      </w:pPr>
      <w:r>
        <w:rPr>
          <w:rFonts w:eastAsia="David" w:hint="cs"/>
          <w:sz w:val="26"/>
          <w:szCs w:val="26"/>
          <w:rtl/>
        </w:rPr>
        <w:t>הוגשה ליו"ר הכנסת והסגנים</w:t>
      </w:r>
    </w:p>
    <w:p w14:paraId="64835798" w14:textId="77777777" w:rsidR="006519F9" w:rsidRDefault="00335F94">
      <w:pPr>
        <w:jc w:val="left"/>
      </w:pPr>
      <w:r>
        <w:rPr>
          <w:rFonts w:eastAsia="David" w:hint="cs"/>
          <w:sz w:val="26"/>
          <w:szCs w:val="26"/>
          <w:rtl/>
        </w:rPr>
        <w:t>והונחה על שולחן הכנסת ביום</w:t>
      </w:r>
    </w:p>
    <w:p w14:paraId="1DC45037" w14:textId="77777777" w:rsidR="006519F9" w:rsidRDefault="00335F94">
      <w:pPr>
        <w:jc w:val="left"/>
      </w:pPr>
      <w:r>
        <w:rPr>
          <w:rFonts w:eastAsia="David" w:hint="cs"/>
          <w:sz w:val="26"/>
          <w:szCs w:val="26"/>
          <w:rtl/>
        </w:rPr>
        <w:t xml:space="preserve">י"ח בתמוז התשפ"ד (24.07.2024) </w:t>
      </w:r>
    </w:p>
    <w:p w14:paraId="0F461A56" w14:textId="77777777" w:rsidR="006519F9" w:rsidRDefault="006519F9"/>
    <w:sectPr w:rsidR="006519F9" w:rsidSect="005A4A7E">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2986F000"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335F94">
      <w:rPr>
        <w:rStyle w:val="aa"/>
        <w:noProof/>
        <w:rtl/>
      </w:rPr>
      <w:t>5</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sidP="005A4A7E">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44D24F59" w14:textId="17D603F7" w:rsidR="009507BD" w:rsidRDefault="009507BD">
      <w:pPr>
        <w:pStyle w:val="a4"/>
      </w:pPr>
      <w:r>
        <w:rPr>
          <w:rStyle w:val="a5"/>
        </w:rPr>
        <w:footnoteRef/>
      </w:r>
      <w:r>
        <w:rPr>
          <w:rtl/>
        </w:rPr>
        <w:t xml:space="preserve"> </w:t>
      </w:r>
      <w:r>
        <w:rPr>
          <w:rFonts w:hint="cs"/>
          <w:rtl/>
        </w:rPr>
        <w:t>ס"ח התשס"ח, עמ' 833.</w:t>
      </w:r>
    </w:p>
  </w:footnote>
  <w:footnote w:id="3">
    <w:p w14:paraId="0354D531" w14:textId="1238C55A" w:rsidR="007F4546" w:rsidRDefault="007F4546">
      <w:pPr>
        <w:pStyle w:val="a4"/>
      </w:pPr>
      <w:r>
        <w:rPr>
          <w:rStyle w:val="a5"/>
        </w:rPr>
        <w:footnoteRef/>
      </w:r>
      <w:r>
        <w:rPr>
          <w:rtl/>
        </w:rPr>
        <w:t xml:space="preserve"> </w:t>
      </w:r>
      <w:r w:rsidR="00F24D79">
        <w:rPr>
          <w:rFonts w:hint="cs"/>
          <w:rtl/>
        </w:rPr>
        <w:t>ס"ח התשמ"ה, עמ' 60.</w:t>
      </w:r>
    </w:p>
  </w:footnote>
  <w:footnote w:id="4">
    <w:p w14:paraId="1141D0A4" w14:textId="72A5846A" w:rsidR="0018227C" w:rsidRDefault="0018227C">
      <w:pPr>
        <w:pStyle w:val="a4"/>
      </w:pPr>
      <w:r>
        <w:rPr>
          <w:rStyle w:val="a5"/>
        </w:rPr>
        <w:footnoteRef/>
      </w:r>
      <w:r>
        <w:rPr>
          <w:rtl/>
        </w:rPr>
        <w:t xml:space="preserve"> </w:t>
      </w:r>
      <w:r>
        <w:rPr>
          <w:rFonts w:hint="cs"/>
          <w:rtl/>
        </w:rPr>
        <w:t xml:space="preserve">ס"ח התשל"ה, עמ' 206.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12B1"/>
    <w:rsid w:val="000A4A90"/>
    <w:rsid w:val="000A542E"/>
    <w:rsid w:val="000E68F2"/>
    <w:rsid w:val="00102B6B"/>
    <w:rsid w:val="001052D4"/>
    <w:rsid w:val="0010644B"/>
    <w:rsid w:val="001204A4"/>
    <w:rsid w:val="001207F8"/>
    <w:rsid w:val="00121924"/>
    <w:rsid w:val="001279A8"/>
    <w:rsid w:val="0014195F"/>
    <w:rsid w:val="00152609"/>
    <w:rsid w:val="00153E1B"/>
    <w:rsid w:val="0018227C"/>
    <w:rsid w:val="001853F9"/>
    <w:rsid w:val="001A0623"/>
    <w:rsid w:val="001C23B0"/>
    <w:rsid w:val="001D7AAF"/>
    <w:rsid w:val="00203A7F"/>
    <w:rsid w:val="0021633A"/>
    <w:rsid w:val="002200A1"/>
    <w:rsid w:val="002343F1"/>
    <w:rsid w:val="002362BF"/>
    <w:rsid w:val="00241B97"/>
    <w:rsid w:val="002425D1"/>
    <w:rsid w:val="00246756"/>
    <w:rsid w:val="00251E58"/>
    <w:rsid w:val="0025327C"/>
    <w:rsid w:val="00254605"/>
    <w:rsid w:val="00266D86"/>
    <w:rsid w:val="002728B4"/>
    <w:rsid w:val="0027600C"/>
    <w:rsid w:val="00276BDF"/>
    <w:rsid w:val="00292712"/>
    <w:rsid w:val="002A487D"/>
    <w:rsid w:val="002B1AA3"/>
    <w:rsid w:val="002C2E29"/>
    <w:rsid w:val="002C3041"/>
    <w:rsid w:val="002D1EE3"/>
    <w:rsid w:val="002D63CB"/>
    <w:rsid w:val="002E2317"/>
    <w:rsid w:val="002E2A7C"/>
    <w:rsid w:val="002F1D80"/>
    <w:rsid w:val="00303983"/>
    <w:rsid w:val="003232A2"/>
    <w:rsid w:val="00325C14"/>
    <w:rsid w:val="00335F94"/>
    <w:rsid w:val="0036422C"/>
    <w:rsid w:val="00366ED1"/>
    <w:rsid w:val="003710F6"/>
    <w:rsid w:val="00386E88"/>
    <w:rsid w:val="00396585"/>
    <w:rsid w:val="003D6E38"/>
    <w:rsid w:val="003D74A0"/>
    <w:rsid w:val="004033D8"/>
    <w:rsid w:val="004073F0"/>
    <w:rsid w:val="00412A7D"/>
    <w:rsid w:val="00416B4D"/>
    <w:rsid w:val="00417CFC"/>
    <w:rsid w:val="00483F19"/>
    <w:rsid w:val="004A06DC"/>
    <w:rsid w:val="004B24ED"/>
    <w:rsid w:val="004B6625"/>
    <w:rsid w:val="004D2D82"/>
    <w:rsid w:val="004D3876"/>
    <w:rsid w:val="004E4552"/>
    <w:rsid w:val="004E6CDF"/>
    <w:rsid w:val="00524F78"/>
    <w:rsid w:val="005301A4"/>
    <w:rsid w:val="00553C9D"/>
    <w:rsid w:val="00562A66"/>
    <w:rsid w:val="00573071"/>
    <w:rsid w:val="005747A8"/>
    <w:rsid w:val="005A2D6D"/>
    <w:rsid w:val="005A4A7E"/>
    <w:rsid w:val="005B064E"/>
    <w:rsid w:val="005D51AE"/>
    <w:rsid w:val="005E6E58"/>
    <w:rsid w:val="005F280D"/>
    <w:rsid w:val="005F34C9"/>
    <w:rsid w:val="00615D1B"/>
    <w:rsid w:val="0062674B"/>
    <w:rsid w:val="006363B2"/>
    <w:rsid w:val="00641BF9"/>
    <w:rsid w:val="00644940"/>
    <w:rsid w:val="006479E3"/>
    <w:rsid w:val="006519F9"/>
    <w:rsid w:val="0068054C"/>
    <w:rsid w:val="006818A9"/>
    <w:rsid w:val="006920D4"/>
    <w:rsid w:val="006A2D81"/>
    <w:rsid w:val="006C1D0D"/>
    <w:rsid w:val="0070601E"/>
    <w:rsid w:val="00712C72"/>
    <w:rsid w:val="00735FE9"/>
    <w:rsid w:val="00763CAA"/>
    <w:rsid w:val="00765F66"/>
    <w:rsid w:val="007728EE"/>
    <w:rsid w:val="0078664F"/>
    <w:rsid w:val="007A27CE"/>
    <w:rsid w:val="007A47ED"/>
    <w:rsid w:val="007C3FA6"/>
    <w:rsid w:val="007D585A"/>
    <w:rsid w:val="007D5A12"/>
    <w:rsid w:val="007E59F9"/>
    <w:rsid w:val="007E77D1"/>
    <w:rsid w:val="007F0004"/>
    <w:rsid w:val="007F4546"/>
    <w:rsid w:val="008002D5"/>
    <w:rsid w:val="00810BCD"/>
    <w:rsid w:val="00812C98"/>
    <w:rsid w:val="00814D92"/>
    <w:rsid w:val="00814E9B"/>
    <w:rsid w:val="0083181D"/>
    <w:rsid w:val="00843EB2"/>
    <w:rsid w:val="00865572"/>
    <w:rsid w:val="00874BBC"/>
    <w:rsid w:val="00892135"/>
    <w:rsid w:val="00895449"/>
    <w:rsid w:val="00897879"/>
    <w:rsid w:val="008A38A3"/>
    <w:rsid w:val="008A6870"/>
    <w:rsid w:val="008B5B5D"/>
    <w:rsid w:val="008C2DDC"/>
    <w:rsid w:val="008C5FA2"/>
    <w:rsid w:val="008C7516"/>
    <w:rsid w:val="008E6EC7"/>
    <w:rsid w:val="008F0D63"/>
    <w:rsid w:val="008F1308"/>
    <w:rsid w:val="008F2C35"/>
    <w:rsid w:val="008F6665"/>
    <w:rsid w:val="00904591"/>
    <w:rsid w:val="00905E5F"/>
    <w:rsid w:val="0091204F"/>
    <w:rsid w:val="009203DB"/>
    <w:rsid w:val="00921EEA"/>
    <w:rsid w:val="00923CD4"/>
    <w:rsid w:val="00930EFE"/>
    <w:rsid w:val="00942106"/>
    <w:rsid w:val="00943386"/>
    <w:rsid w:val="009456B6"/>
    <w:rsid w:val="009507BD"/>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B5245"/>
    <w:rsid w:val="00AC36F7"/>
    <w:rsid w:val="00AC63A4"/>
    <w:rsid w:val="00AD239E"/>
    <w:rsid w:val="00B10265"/>
    <w:rsid w:val="00B16A99"/>
    <w:rsid w:val="00B21211"/>
    <w:rsid w:val="00B35784"/>
    <w:rsid w:val="00B733A7"/>
    <w:rsid w:val="00B75C91"/>
    <w:rsid w:val="00B935D7"/>
    <w:rsid w:val="00B975AD"/>
    <w:rsid w:val="00BC2BB4"/>
    <w:rsid w:val="00BC45FB"/>
    <w:rsid w:val="00BE4863"/>
    <w:rsid w:val="00BE7446"/>
    <w:rsid w:val="00BF148D"/>
    <w:rsid w:val="00BF1CF4"/>
    <w:rsid w:val="00C23B1A"/>
    <w:rsid w:val="00C244AE"/>
    <w:rsid w:val="00C276A9"/>
    <w:rsid w:val="00C310EB"/>
    <w:rsid w:val="00C9176A"/>
    <w:rsid w:val="00CA6C49"/>
    <w:rsid w:val="00CC485F"/>
    <w:rsid w:val="00CE02D1"/>
    <w:rsid w:val="00CF1AA2"/>
    <w:rsid w:val="00CF6D99"/>
    <w:rsid w:val="00D142D3"/>
    <w:rsid w:val="00D17774"/>
    <w:rsid w:val="00D63620"/>
    <w:rsid w:val="00D8410D"/>
    <w:rsid w:val="00D84563"/>
    <w:rsid w:val="00D867D7"/>
    <w:rsid w:val="00DB7060"/>
    <w:rsid w:val="00DE3153"/>
    <w:rsid w:val="00E013C0"/>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24D79"/>
    <w:rsid w:val="00F628D6"/>
    <w:rsid w:val="00F67051"/>
    <w:rsid w:val="00F86A1E"/>
    <w:rsid w:val="00FA5E88"/>
    <w:rsid w:val="00FA7D00"/>
    <w:rsid w:val="00FF2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98DD76C0-8E10-4A95-B22F-FAC3032D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A7E"/>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5A4A7E"/>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5A4A7E"/>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5A4A7E"/>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5A4A7E"/>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5A4A7E"/>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5A4A7E"/>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5A4A7E"/>
    <w:rPr>
      <w:sz w:val="36"/>
      <w:szCs w:val="52"/>
    </w:rPr>
  </w:style>
  <w:style w:type="paragraph" w:customStyle="1" w:styleId="Cover3-Haknesset">
    <w:name w:val="Cover 3-Haknesset"/>
    <w:basedOn w:val="Cover1-Reshumot"/>
    <w:rsid w:val="005A4A7E"/>
    <w:rPr>
      <w:b/>
      <w:bCs/>
      <w:spacing w:val="60"/>
    </w:rPr>
  </w:style>
  <w:style w:type="paragraph" w:customStyle="1" w:styleId="Cover4-Date">
    <w:name w:val="Cover 4-Date"/>
    <w:basedOn w:val="a"/>
    <w:rsid w:val="005A4A7E"/>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5A4A7E"/>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5A4A7E"/>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5A4A7E"/>
    <w:pPr>
      <w:spacing w:before="120" w:after="120"/>
    </w:pPr>
    <w:rPr>
      <w:color w:val="FF0000"/>
      <w:w w:val="80"/>
    </w:rPr>
  </w:style>
  <w:style w:type="paragraph" w:styleId="a3">
    <w:name w:val="endnote text"/>
    <w:basedOn w:val="a"/>
    <w:semiHidden/>
    <w:rsid w:val="005A4A7E"/>
    <w:pPr>
      <w:ind w:left="227" w:hanging="227"/>
    </w:pPr>
    <w:rPr>
      <w:sz w:val="14"/>
      <w:szCs w:val="22"/>
    </w:rPr>
  </w:style>
  <w:style w:type="paragraph" w:customStyle="1" w:styleId="TableText">
    <w:name w:val="Table Text"/>
    <w:basedOn w:val="a"/>
    <w:rsid w:val="005A4A7E"/>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5A4A7E"/>
    <w:pPr>
      <w:outlineLvl w:val="2"/>
    </w:pPr>
  </w:style>
  <w:style w:type="paragraph" w:customStyle="1" w:styleId="TableBlock">
    <w:name w:val="Table Block"/>
    <w:basedOn w:val="TableText"/>
    <w:rsid w:val="005A4A7E"/>
    <w:pPr>
      <w:jc w:val="both"/>
    </w:pPr>
  </w:style>
  <w:style w:type="paragraph" w:customStyle="1" w:styleId="TableHead">
    <w:name w:val="Table Head"/>
    <w:basedOn w:val="TableText"/>
    <w:rsid w:val="005A4A7E"/>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5A4A7E"/>
    <w:pPr>
      <w:outlineLvl w:val="9"/>
    </w:pPr>
  </w:style>
  <w:style w:type="paragraph" w:customStyle="1" w:styleId="Hesber">
    <w:name w:val="Hesber"/>
    <w:basedOn w:val="a"/>
    <w:rsid w:val="005A4A7E"/>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5A4A7E"/>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5A4A7E"/>
    <w:rPr>
      <w:vertAlign w:val="superscript"/>
    </w:rPr>
  </w:style>
  <w:style w:type="paragraph" w:customStyle="1" w:styleId="HesberHeading">
    <w:name w:val="Hesber Heading"/>
    <w:basedOn w:val="Hesber"/>
    <w:rsid w:val="005A4A7E"/>
    <w:pPr>
      <w:tabs>
        <w:tab w:val="left" w:pos="624"/>
        <w:tab w:val="left" w:pos="1247"/>
      </w:tabs>
    </w:pPr>
    <w:rPr>
      <w:b/>
      <w:bCs/>
    </w:rPr>
  </w:style>
  <w:style w:type="paragraph" w:customStyle="1" w:styleId="HesberWriters">
    <w:name w:val="Hesber Writers"/>
    <w:basedOn w:val="Hesber"/>
    <w:rsid w:val="005A4A7E"/>
    <w:pPr>
      <w:spacing w:before="120" w:after="120"/>
      <w:ind w:left="1418"/>
      <w:jc w:val="right"/>
    </w:pPr>
    <w:rPr>
      <w:b/>
      <w:bCs/>
    </w:rPr>
  </w:style>
  <w:style w:type="paragraph" w:customStyle="1" w:styleId="Hesber1st">
    <w:name w:val="Hesber 1st"/>
    <w:basedOn w:val="Hesber"/>
    <w:rsid w:val="005A4A7E"/>
    <w:pPr>
      <w:tabs>
        <w:tab w:val="left" w:pos="680"/>
        <w:tab w:val="left" w:pos="1020"/>
      </w:tabs>
      <w:ind w:firstLine="0"/>
    </w:pPr>
  </w:style>
  <w:style w:type="character" w:styleId="a6">
    <w:name w:val="endnote reference"/>
    <w:basedOn w:val="a0"/>
    <w:semiHidden/>
    <w:rsid w:val="005A4A7E"/>
    <w:rPr>
      <w:vertAlign w:val="superscript"/>
    </w:rPr>
  </w:style>
  <w:style w:type="paragraph" w:customStyle="1" w:styleId="TableBlockOutdent">
    <w:name w:val="Table BlockOutdent"/>
    <w:basedOn w:val="TableBlock"/>
    <w:rsid w:val="005A4A7E"/>
    <w:pPr>
      <w:ind w:left="624" w:hanging="624"/>
    </w:pPr>
  </w:style>
  <w:style w:type="paragraph" w:styleId="a7">
    <w:name w:val="header"/>
    <w:basedOn w:val="a"/>
    <w:rsid w:val="005A4A7E"/>
    <w:pPr>
      <w:tabs>
        <w:tab w:val="center" w:pos="4153"/>
        <w:tab w:val="right" w:pos="8306"/>
      </w:tabs>
    </w:pPr>
  </w:style>
  <w:style w:type="paragraph" w:styleId="a8">
    <w:name w:val="footer"/>
    <w:basedOn w:val="a"/>
    <w:rsid w:val="005A4A7E"/>
    <w:pPr>
      <w:tabs>
        <w:tab w:val="center" w:pos="4153"/>
        <w:tab w:val="right" w:pos="8306"/>
      </w:tabs>
    </w:pPr>
  </w:style>
  <w:style w:type="paragraph" w:customStyle="1" w:styleId="HeadDivreiHesber">
    <w:name w:val="Head DivreiHesber"/>
    <w:basedOn w:val="a"/>
    <w:rsid w:val="005A4A7E"/>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5A4A7E"/>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5A4A7E"/>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5A4A7E"/>
    <w:rPr>
      <w:rFonts w:asciiTheme="majorHAnsi" w:eastAsiaTheme="majorEastAsia" w:hAnsiTheme="majorHAnsi" w:cs="David"/>
      <w:bCs/>
      <w:sz w:val="32"/>
      <w:szCs w:val="36"/>
    </w:rPr>
  </w:style>
  <w:style w:type="character" w:customStyle="1" w:styleId="20">
    <w:name w:val="כותרת 2 תו"/>
    <w:basedOn w:val="a0"/>
    <w:link w:val="2"/>
    <w:rsid w:val="005A4A7E"/>
    <w:rPr>
      <w:rFonts w:asciiTheme="majorHAnsi" w:eastAsiaTheme="majorEastAsia" w:hAnsiTheme="majorHAnsi" w:cs="David"/>
      <w:bCs/>
      <w:sz w:val="26"/>
      <w:szCs w:val="36"/>
      <w:u w:val="single"/>
    </w:rPr>
  </w:style>
  <w:style w:type="character" w:customStyle="1" w:styleId="30">
    <w:name w:val="כותרת 3 תו"/>
    <w:basedOn w:val="a0"/>
    <w:link w:val="3"/>
    <w:rsid w:val="005A4A7E"/>
    <w:rPr>
      <w:rFonts w:asciiTheme="majorHAnsi" w:eastAsiaTheme="majorEastAsia" w:hAnsiTheme="majorHAnsi" w:cs="David"/>
      <w:sz w:val="24"/>
      <w:szCs w:val="28"/>
      <w:u w:val="double"/>
    </w:rPr>
  </w:style>
  <w:style w:type="character" w:customStyle="1" w:styleId="40">
    <w:name w:val="כותרת 4 תו"/>
    <w:basedOn w:val="a0"/>
    <w:link w:val="4"/>
    <w:uiPriority w:val="9"/>
    <w:rsid w:val="005A4A7E"/>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5A4A7E"/>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5A4A7E"/>
    <w:pPr>
      <w:widowControl/>
      <w:spacing w:before="120" w:after="120"/>
      <w:outlineLvl w:val="9"/>
    </w:pPr>
    <w:rPr>
      <w:rtl/>
      <w:cs/>
    </w:rPr>
  </w:style>
  <w:style w:type="paragraph" w:styleId="TOC1">
    <w:name w:val="toc 1"/>
    <w:basedOn w:val="a"/>
    <w:next w:val="a"/>
    <w:autoRedefine/>
    <w:uiPriority w:val="39"/>
    <w:unhideWhenUsed/>
    <w:rsid w:val="005A4A7E"/>
    <w:pPr>
      <w:tabs>
        <w:tab w:val="right" w:leader="dot" w:pos="9629"/>
      </w:tabs>
      <w:spacing w:after="100"/>
    </w:pPr>
    <w:rPr>
      <w:bCs/>
      <w:szCs w:val="22"/>
    </w:rPr>
  </w:style>
  <w:style w:type="paragraph" w:styleId="TOC2">
    <w:name w:val="toc 2"/>
    <w:basedOn w:val="a"/>
    <w:next w:val="a"/>
    <w:uiPriority w:val="39"/>
    <w:unhideWhenUsed/>
    <w:rsid w:val="005A4A7E"/>
    <w:pPr>
      <w:tabs>
        <w:tab w:val="right" w:leader="dot" w:pos="9628"/>
      </w:tabs>
      <w:spacing w:after="100"/>
    </w:pPr>
    <w:rPr>
      <w:szCs w:val="22"/>
    </w:rPr>
  </w:style>
  <w:style w:type="character" w:styleId="Hyperlink">
    <w:name w:val="Hyperlink"/>
    <w:basedOn w:val="a0"/>
    <w:uiPriority w:val="99"/>
    <w:unhideWhenUsed/>
    <w:rsid w:val="005A4A7E"/>
    <w:rPr>
      <w:color w:val="0000FF" w:themeColor="hyperlink"/>
      <w:u w:val="single"/>
    </w:rPr>
  </w:style>
  <w:style w:type="paragraph" w:styleId="TOC3">
    <w:name w:val="toc 3"/>
    <w:basedOn w:val="a"/>
    <w:next w:val="a"/>
    <w:uiPriority w:val="39"/>
    <w:unhideWhenUsed/>
    <w:rsid w:val="005A4A7E"/>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5A4A7E"/>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5A4A7E"/>
    <w:pPr>
      <w:tabs>
        <w:tab w:val="right" w:leader="dot" w:pos="9628"/>
      </w:tabs>
      <w:spacing w:after="100"/>
      <w:ind w:left="567"/>
    </w:pPr>
    <w:rPr>
      <w:szCs w:val="22"/>
    </w:rPr>
  </w:style>
  <w:style w:type="paragraph" w:styleId="TOC6">
    <w:name w:val="toc 6"/>
    <w:basedOn w:val="a"/>
    <w:next w:val="a"/>
    <w:autoRedefine/>
    <w:semiHidden/>
    <w:unhideWhenUsed/>
    <w:rsid w:val="005A4A7E"/>
    <w:pPr>
      <w:spacing w:after="100"/>
      <w:ind w:left="850"/>
    </w:pPr>
  </w:style>
  <w:style w:type="paragraph" w:styleId="TOC7">
    <w:name w:val="toc 7"/>
    <w:basedOn w:val="a"/>
    <w:next w:val="a"/>
    <w:autoRedefine/>
    <w:semiHidden/>
    <w:unhideWhenUsed/>
    <w:rsid w:val="005A4A7E"/>
    <w:pPr>
      <w:spacing w:after="100"/>
      <w:ind w:left="1020"/>
    </w:pPr>
  </w:style>
  <w:style w:type="paragraph" w:styleId="TOC8">
    <w:name w:val="toc 8"/>
    <w:basedOn w:val="a"/>
    <w:next w:val="a"/>
    <w:autoRedefine/>
    <w:semiHidden/>
    <w:unhideWhenUsed/>
    <w:rsid w:val="005A4A7E"/>
    <w:pPr>
      <w:spacing w:after="100"/>
      <w:ind w:left="1190"/>
    </w:pPr>
  </w:style>
  <w:style w:type="paragraph" w:styleId="TOC9">
    <w:name w:val="toc 9"/>
    <w:basedOn w:val="a"/>
    <w:next w:val="a"/>
    <w:autoRedefine/>
    <w:semiHidden/>
    <w:unhideWhenUsed/>
    <w:rsid w:val="005A4A7E"/>
    <w:pPr>
      <w:spacing w:after="100"/>
      <w:ind w:left="1360"/>
    </w:pPr>
  </w:style>
  <w:style w:type="paragraph" w:customStyle="1" w:styleId="TableHead2">
    <w:name w:val="Table Head2"/>
    <w:basedOn w:val="TableHead"/>
    <w:qFormat/>
    <w:rsid w:val="005A4A7E"/>
    <w:pPr>
      <w:outlineLvl w:val="9"/>
    </w:pPr>
  </w:style>
  <w:style w:type="paragraph" w:customStyle="1" w:styleId="TableSideHeading2">
    <w:name w:val="Table SideHeading2"/>
    <w:basedOn w:val="TableSideHeading"/>
    <w:autoRedefine/>
    <w:qFormat/>
    <w:rsid w:val="005A4A7E"/>
    <w:pPr>
      <w:keepLines w:val="0"/>
      <w:outlineLvl w:val="9"/>
    </w:pPr>
  </w:style>
  <w:style w:type="paragraph" w:customStyle="1" w:styleId="0">
    <w:name w:val="סגנון שורה ראשונה:  0  ס''מ"/>
    <w:basedOn w:val="2"/>
    <w:rsid w:val="005A4A7E"/>
    <w:rPr>
      <w:rFonts w:eastAsia="Times New Roman"/>
    </w:rPr>
  </w:style>
  <w:style w:type="paragraph" w:styleId="ae">
    <w:name w:val="List Paragraph"/>
    <w:basedOn w:val="a"/>
    <w:uiPriority w:val="34"/>
    <w:qFormat/>
    <w:rsid w:val="005A4A7E"/>
    <w:pPr>
      <w:widowControl/>
      <w:spacing w:line="259" w:lineRule="auto"/>
    </w:pPr>
    <w:rPr>
      <w:rFonts w:asciiTheme="minorHAnsi" w:hAnsiTheme="minorHAnsi"/>
      <w:sz w:val="22"/>
    </w:rPr>
  </w:style>
  <w:style w:type="table" w:styleId="af">
    <w:name w:val="Table Grid"/>
    <w:basedOn w:val="a1"/>
    <w:rsid w:val="005A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5A4A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5A4A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5A4A7E"/>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5A4A7E"/>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F0E0-5489-4CD9-9243-5941C4B8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schemas.microsoft.com/office/2006/documentManagement/types"/>
    <ds:schemaRef ds:uri="290d5b49-c690-4c6f-bbb9-1e50dab33eee"/>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BD08671-FCCA-407E-AED3-6E8BDBE2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1399</Words>
  <Characters>6997</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מצדה מצלאוי דוד</cp:lastModifiedBy>
  <cp:revision>63</cp:revision>
  <cp:lastPrinted>2024-07-22T15:05:00Z</cp:lastPrinted>
  <dcterms:created xsi:type="dcterms:W3CDTF">2015-04-20T09:58:00Z</dcterms:created>
  <dcterms:modified xsi:type="dcterms:W3CDTF">2024-07-24T08:32:00Z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2220900</vt:r8>
  </property>
</Properties>
</file>