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2220649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ווליד טאהא</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פ/4843/25</w:t>
      </w:r>
      <w:bookmarkEnd w:id="6"/>
    </w:p>
    <w:p w14:paraId="7F6961AC" w14:textId="77777777" w:rsidR="00E13C27" w:rsidRDefault="00E13C27" w:rsidP="00E13C27">
      <w:pPr>
        <w:spacing w:before="0" w:line="360" w:lineRule="auto"/>
        <w:ind w:left="2880" w:firstLine="720"/>
        <w:rPr>
          <w:rFonts w:cs="David"/>
          <w:sz w:val="26"/>
          <w:szCs w:val="26"/>
          <w:rtl/>
        </w:rPr>
      </w:pPr>
    </w:p>
    <w:p w14:paraId="4FD501CD" w14:textId="77777777" w:rsidR="00AF57F3" w:rsidRPr="00F67051" w:rsidRDefault="00AF57F3" w:rsidP="00AF57F3">
      <w:pPr>
        <w:pStyle w:val="HeadHatzaotHok"/>
        <w:rPr>
          <w:rtl/>
        </w:rPr>
      </w:pPr>
      <w:bookmarkStart w:id="7" w:name="LGS_Subject"/>
      <w:r>
        <w:rPr>
          <w:rFonts w:hint="cs"/>
          <w:rtl/>
        </w:rPr>
        <w:t>הצעת חוק הבחירות לכנסת (תיקון – כתובת לצורכי בחירות), התשפ״ד–2024</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624"/>
        <w:gridCol w:w="624"/>
        <w:gridCol w:w="624"/>
        <w:gridCol w:w="624"/>
        <w:gridCol w:w="4649"/>
      </w:tblGrid>
      <w:tr w:rsidR="00AF57F3" w14:paraId="6BCC2BE4" w14:textId="77777777" w:rsidTr="00AB419E">
        <w:trPr>
          <w:cantSplit/>
        </w:trPr>
        <w:tc>
          <w:tcPr>
            <w:tcW w:w="1869" w:type="dxa"/>
          </w:tcPr>
          <w:p w14:paraId="44F5DAF2" w14:textId="77777777" w:rsidR="00AF57F3" w:rsidRDefault="00AF57F3" w:rsidP="00AB419E">
            <w:pPr>
              <w:pStyle w:val="TableSideHeading"/>
              <w:keepLines w:val="0"/>
              <w:rPr>
                <w:rtl/>
              </w:rPr>
            </w:pPr>
            <w:r>
              <w:rPr>
                <w:rFonts w:hint="cs"/>
                <w:rtl/>
              </w:rPr>
              <w:t>תיקון סעיף 13</w:t>
            </w:r>
          </w:p>
        </w:tc>
        <w:tc>
          <w:tcPr>
            <w:tcW w:w="624" w:type="dxa"/>
          </w:tcPr>
          <w:p w14:paraId="26DD517A" w14:textId="77777777" w:rsidR="00AF57F3" w:rsidRDefault="00AF57F3" w:rsidP="00AB419E">
            <w:pPr>
              <w:pStyle w:val="TableText"/>
              <w:keepLines w:val="0"/>
              <w:rPr>
                <w:rtl/>
              </w:rPr>
            </w:pPr>
            <w:r>
              <w:rPr>
                <w:rFonts w:hint="cs"/>
                <w:rtl/>
              </w:rPr>
              <w:t>1.</w:t>
            </w:r>
          </w:p>
        </w:tc>
        <w:tc>
          <w:tcPr>
            <w:tcW w:w="7145" w:type="dxa"/>
            <w:gridSpan w:val="5"/>
          </w:tcPr>
          <w:p w14:paraId="138B8DD0" w14:textId="140CBCDB" w:rsidR="00AF57F3" w:rsidRDefault="00AF57F3" w:rsidP="00AD5C1A">
            <w:pPr>
              <w:pStyle w:val="TableBlock"/>
              <w:rPr>
                <w:rtl/>
              </w:rPr>
            </w:pPr>
            <w:r>
              <w:rPr>
                <w:rFonts w:hint="cs"/>
                <w:rtl/>
              </w:rPr>
              <w:t>בחוק הבחירות לכנסת [נוסח משולב], התשכ"ט</w:t>
            </w:r>
            <w:r>
              <w:rPr>
                <w:rtl/>
              </w:rPr>
              <w:t>–</w:t>
            </w:r>
            <w:r>
              <w:rPr>
                <w:rFonts w:hint="cs"/>
                <w:rtl/>
              </w:rPr>
              <w:t xml:space="preserve">1969 (להלן </w:t>
            </w:r>
            <w:r>
              <w:rPr>
                <w:rtl/>
              </w:rPr>
              <w:t>–</w:t>
            </w:r>
            <w:r>
              <w:rPr>
                <w:rFonts w:hint="cs"/>
                <w:rtl/>
              </w:rPr>
              <w:t xml:space="preserve"> החו</w:t>
            </w:r>
            <w:r w:rsidR="00AD5C1A">
              <w:rPr>
                <w:rFonts w:hint="cs"/>
                <w:rtl/>
              </w:rPr>
              <w:t>ק העיקרי), בסעיף 13, בסופו יבוא</w:t>
            </w:r>
            <w:r>
              <w:rPr>
                <w:rFonts w:hint="cs"/>
                <w:rtl/>
              </w:rPr>
              <w:t xml:space="preserve"> </w:t>
            </w:r>
            <w:r w:rsidR="00AD5C1A">
              <w:rPr>
                <w:rFonts w:hint="cs"/>
                <w:rtl/>
              </w:rPr>
              <w:t>"וכן, רשאית הוועדה המרכזית לקבוע מרכז שירות שמאה או יותר בוחרים רשמו אותו ככתובת לצורכי בחי</w:t>
            </w:r>
            <w:r w:rsidR="00AD5C1A">
              <w:rPr>
                <w:rFonts w:hint="cs"/>
                <w:rtl/>
              </w:rPr>
              <w:t xml:space="preserve">רות כאמור בסעיף 30א, כאזור קלפי; </w:t>
            </w:r>
            <w:r w:rsidR="00AD5C1A">
              <w:rPr>
                <w:rFonts w:hint="cs"/>
                <w:rtl/>
              </w:rPr>
              <w:t>ב</w:t>
            </w:r>
            <w:r w:rsidR="00AD5C1A">
              <w:rPr>
                <w:rFonts w:hint="cs"/>
                <w:rtl/>
              </w:rPr>
              <w:t xml:space="preserve">סעיף זה, </w:t>
            </w:r>
            <w:r w:rsidR="00AD5C1A">
              <w:rPr>
                <w:rFonts w:hint="cs"/>
                <w:rtl/>
              </w:rPr>
              <w:t xml:space="preserve">"מרכז שירות" </w:t>
            </w:r>
            <w:r w:rsidR="00AD5C1A">
              <w:rPr>
                <w:rtl/>
              </w:rPr>
              <w:t>–</w:t>
            </w:r>
            <w:r w:rsidR="00AD5C1A">
              <w:rPr>
                <w:rFonts w:hint="cs"/>
                <w:rtl/>
              </w:rPr>
              <w:t xml:space="preserve"> מבנה המשמש למתן שירות ממלכתי חיוני בעבור מי שמענם במרשם האוכלוסין נקבע בהוראות לפי חוק מרשם האוכלוסין, התשכ"ה</w:t>
            </w:r>
            <w:r w:rsidR="00AD5C1A">
              <w:rPr>
                <w:rtl/>
              </w:rPr>
              <w:t>–</w:t>
            </w:r>
            <w:r w:rsidR="00AD5C1A">
              <w:rPr>
                <w:rFonts w:hint="cs"/>
                <w:rtl/>
              </w:rPr>
              <w:t>1965, בהתאם להשתייכותם השבטית."</w:t>
            </w:r>
          </w:p>
        </w:tc>
      </w:tr>
      <w:tr w:rsidR="00AF57F3" w14:paraId="55641CB2" w14:textId="77777777" w:rsidTr="00AB419E">
        <w:trPr>
          <w:cantSplit/>
        </w:trPr>
        <w:tc>
          <w:tcPr>
            <w:tcW w:w="1869" w:type="dxa"/>
          </w:tcPr>
          <w:p w14:paraId="4E522BA0" w14:textId="0731C622" w:rsidR="00AF57F3" w:rsidRDefault="00E60947" w:rsidP="00AB419E">
            <w:pPr>
              <w:pStyle w:val="TableSideHeading"/>
              <w:keepLines w:val="0"/>
            </w:pPr>
            <w:r>
              <w:rPr>
                <w:rFonts w:hint="cs"/>
                <w:rtl/>
              </w:rPr>
              <w:t>הוספת סימן א'1</w:t>
            </w:r>
            <w:r w:rsidR="00AD5C1A">
              <w:rPr>
                <w:rFonts w:hint="cs"/>
                <w:rtl/>
              </w:rPr>
              <w:t xml:space="preserve"> בפרק ה'</w:t>
            </w:r>
          </w:p>
        </w:tc>
        <w:tc>
          <w:tcPr>
            <w:tcW w:w="624" w:type="dxa"/>
          </w:tcPr>
          <w:p w14:paraId="41606E3E" w14:textId="77777777" w:rsidR="00AF57F3" w:rsidRDefault="00AF57F3" w:rsidP="00AB419E">
            <w:pPr>
              <w:pStyle w:val="TableText"/>
              <w:keepLines w:val="0"/>
            </w:pPr>
            <w:r>
              <w:rPr>
                <w:rFonts w:hint="cs"/>
                <w:rtl/>
              </w:rPr>
              <w:t>2.</w:t>
            </w:r>
          </w:p>
        </w:tc>
        <w:tc>
          <w:tcPr>
            <w:tcW w:w="7145" w:type="dxa"/>
            <w:gridSpan w:val="5"/>
          </w:tcPr>
          <w:p w14:paraId="2B72278D" w14:textId="25298766" w:rsidR="00AF57F3" w:rsidRPr="00AE1396" w:rsidRDefault="00AF57F3" w:rsidP="00AB419E">
            <w:pPr>
              <w:pStyle w:val="TableBlock"/>
            </w:pPr>
            <w:r>
              <w:rPr>
                <w:rFonts w:hint="cs"/>
                <w:rtl/>
              </w:rPr>
              <w:t xml:space="preserve">אחרי סעיף 30 </w:t>
            </w:r>
            <w:r w:rsidR="00AD5C1A">
              <w:rPr>
                <w:rFonts w:hint="cs"/>
                <w:rtl/>
              </w:rPr>
              <w:t xml:space="preserve">לחוק העיקרי </w:t>
            </w:r>
            <w:r>
              <w:rPr>
                <w:rFonts w:hint="cs"/>
                <w:rtl/>
              </w:rPr>
              <w:t>יבוא:</w:t>
            </w:r>
          </w:p>
        </w:tc>
      </w:tr>
      <w:tr w:rsidR="00AF57F3" w14:paraId="2FDEA8A3" w14:textId="77777777" w:rsidTr="00AB419E">
        <w:trPr>
          <w:cantSplit/>
        </w:trPr>
        <w:tc>
          <w:tcPr>
            <w:tcW w:w="1869" w:type="dxa"/>
          </w:tcPr>
          <w:p w14:paraId="7CADB5A6" w14:textId="77777777" w:rsidR="00AF57F3" w:rsidRDefault="00AF57F3" w:rsidP="00AB419E">
            <w:pPr>
              <w:pStyle w:val="TableSideHeading"/>
              <w:keepLines w:val="0"/>
            </w:pPr>
          </w:p>
        </w:tc>
        <w:tc>
          <w:tcPr>
            <w:tcW w:w="624" w:type="dxa"/>
          </w:tcPr>
          <w:p w14:paraId="2F1E8B1B" w14:textId="77777777" w:rsidR="00AF57F3" w:rsidRDefault="00AF57F3" w:rsidP="00AB419E">
            <w:pPr>
              <w:pStyle w:val="TableText"/>
              <w:keepLines w:val="0"/>
            </w:pPr>
          </w:p>
        </w:tc>
        <w:tc>
          <w:tcPr>
            <w:tcW w:w="7145" w:type="dxa"/>
            <w:gridSpan w:val="5"/>
          </w:tcPr>
          <w:p w14:paraId="41CB5091" w14:textId="77777777" w:rsidR="00AF57F3" w:rsidRPr="00DF6096" w:rsidRDefault="00AF57F3" w:rsidP="00AB419E">
            <w:pPr>
              <w:pStyle w:val="TableHead"/>
            </w:pPr>
            <w:r>
              <w:rPr>
                <w:rFonts w:hint="cs"/>
                <w:rtl/>
              </w:rPr>
              <w:t>"</w:t>
            </w:r>
            <w:r w:rsidRPr="00DF6096">
              <w:rPr>
                <w:rFonts w:hint="cs"/>
                <w:rtl/>
              </w:rPr>
              <w:t>סימן א'1: כתובת לצורכי בחירות</w:t>
            </w:r>
          </w:p>
        </w:tc>
      </w:tr>
      <w:tr w:rsidR="00AF57F3" w14:paraId="5845A1A1" w14:textId="77777777" w:rsidTr="00AB419E">
        <w:trPr>
          <w:cantSplit/>
        </w:trPr>
        <w:tc>
          <w:tcPr>
            <w:tcW w:w="1869" w:type="dxa"/>
          </w:tcPr>
          <w:p w14:paraId="0BF84684" w14:textId="77777777" w:rsidR="00AF57F3" w:rsidRDefault="00AF57F3" w:rsidP="00AB419E">
            <w:pPr>
              <w:pStyle w:val="TableSideHeading"/>
            </w:pPr>
          </w:p>
        </w:tc>
        <w:tc>
          <w:tcPr>
            <w:tcW w:w="624" w:type="dxa"/>
          </w:tcPr>
          <w:p w14:paraId="4EB5EC80" w14:textId="77777777" w:rsidR="00AF57F3" w:rsidRDefault="00AF57F3" w:rsidP="00AB419E">
            <w:pPr>
              <w:pStyle w:val="TableText"/>
            </w:pPr>
          </w:p>
        </w:tc>
        <w:tc>
          <w:tcPr>
            <w:tcW w:w="1872" w:type="dxa"/>
            <w:gridSpan w:val="3"/>
          </w:tcPr>
          <w:p w14:paraId="343ECD55" w14:textId="77777777" w:rsidR="00AF57F3" w:rsidRPr="00E11A2A" w:rsidRDefault="00AF57F3" w:rsidP="00AB419E">
            <w:pPr>
              <w:pStyle w:val="TableInnerSideHeading"/>
            </w:pPr>
            <w:r w:rsidRPr="00E11A2A">
              <w:rPr>
                <w:rFonts w:hint="cs"/>
                <w:rtl/>
              </w:rPr>
              <w:t>כתובת לצורכי בחירות</w:t>
            </w:r>
          </w:p>
        </w:tc>
        <w:tc>
          <w:tcPr>
            <w:tcW w:w="624" w:type="dxa"/>
          </w:tcPr>
          <w:p w14:paraId="6857FFC2" w14:textId="77777777" w:rsidR="00AF57F3" w:rsidRDefault="00AF57F3" w:rsidP="00AB419E">
            <w:pPr>
              <w:pStyle w:val="TableText"/>
            </w:pPr>
            <w:r>
              <w:rPr>
                <w:rFonts w:hint="cs"/>
                <w:rtl/>
              </w:rPr>
              <w:t>30א.</w:t>
            </w:r>
          </w:p>
        </w:tc>
        <w:tc>
          <w:tcPr>
            <w:tcW w:w="4649" w:type="dxa"/>
          </w:tcPr>
          <w:p w14:paraId="12FB9311" w14:textId="361B682E" w:rsidR="00AF57F3" w:rsidRDefault="00AF57F3" w:rsidP="00AB419E">
            <w:pPr>
              <w:pStyle w:val="TableBlock"/>
            </w:pPr>
            <w:r>
              <w:rPr>
                <w:rFonts w:hint="cs"/>
                <w:rtl/>
              </w:rPr>
              <w:t>(א)</w:t>
            </w:r>
            <w:r>
              <w:rPr>
                <w:rtl/>
              </w:rPr>
              <w:tab/>
            </w:r>
            <w:r>
              <w:rPr>
                <w:rFonts w:hint="cs"/>
                <w:rtl/>
              </w:rPr>
              <w:t>בוחר רשאי למסור לשר הפנים, או לעובד מדינה אחר במשרדו שהוא הסמיך לכך, הודעה על כתובת שניתן</w:t>
            </w:r>
            <w:r w:rsidR="005A3511">
              <w:rPr>
                <w:rFonts w:hint="cs"/>
                <w:rtl/>
              </w:rPr>
              <w:t xml:space="preserve"> לרשום כמען במרשם האוכלוסין שתש</w:t>
            </w:r>
            <w:r>
              <w:rPr>
                <w:rFonts w:hint="cs"/>
                <w:rtl/>
              </w:rPr>
              <w:t xml:space="preserve">מש לצורכי הצבעה בבחירות לכנסת (בסימן זה </w:t>
            </w:r>
            <w:r>
              <w:rPr>
                <w:rtl/>
              </w:rPr>
              <w:t>–</w:t>
            </w:r>
            <w:r>
              <w:rPr>
                <w:rFonts w:hint="cs"/>
                <w:rtl/>
              </w:rPr>
              <w:t xml:space="preserve"> כתובת לצורכי בחירות); יראו כתו</w:t>
            </w:r>
            <w:r w:rsidR="005A3511">
              <w:rPr>
                <w:rFonts w:hint="cs"/>
                <w:rtl/>
              </w:rPr>
              <w:t>בת כאמור כמען לעניין פרק זה למעט</w:t>
            </w:r>
            <w:r>
              <w:rPr>
                <w:rFonts w:hint="cs"/>
                <w:rtl/>
              </w:rPr>
              <w:t xml:space="preserve"> לעניין סעיף 40(ג).</w:t>
            </w:r>
          </w:p>
        </w:tc>
      </w:tr>
      <w:tr w:rsidR="00AF57F3" w14:paraId="72197D26" w14:textId="77777777" w:rsidTr="00AB419E">
        <w:trPr>
          <w:cantSplit/>
          <w:trHeight w:val="60"/>
        </w:trPr>
        <w:tc>
          <w:tcPr>
            <w:tcW w:w="1869" w:type="dxa"/>
          </w:tcPr>
          <w:p w14:paraId="02568F02" w14:textId="77777777" w:rsidR="00AF57F3" w:rsidRDefault="00AF57F3" w:rsidP="00AB419E">
            <w:pPr>
              <w:pStyle w:val="TableSideHeading"/>
            </w:pPr>
          </w:p>
        </w:tc>
        <w:tc>
          <w:tcPr>
            <w:tcW w:w="624" w:type="dxa"/>
          </w:tcPr>
          <w:p w14:paraId="4DB8FA52" w14:textId="77777777" w:rsidR="00AF57F3" w:rsidRDefault="00AF57F3" w:rsidP="00AB419E">
            <w:pPr>
              <w:pStyle w:val="TableText"/>
            </w:pPr>
          </w:p>
        </w:tc>
        <w:tc>
          <w:tcPr>
            <w:tcW w:w="624" w:type="dxa"/>
          </w:tcPr>
          <w:p w14:paraId="4C67F747" w14:textId="77777777" w:rsidR="00AF57F3" w:rsidRDefault="00AF57F3" w:rsidP="00AB419E">
            <w:pPr>
              <w:pStyle w:val="TableText"/>
            </w:pPr>
          </w:p>
        </w:tc>
        <w:tc>
          <w:tcPr>
            <w:tcW w:w="624" w:type="dxa"/>
          </w:tcPr>
          <w:p w14:paraId="4B864751" w14:textId="77777777" w:rsidR="00AF57F3" w:rsidRDefault="00AF57F3" w:rsidP="00AB419E">
            <w:pPr>
              <w:pStyle w:val="TableText"/>
            </w:pPr>
          </w:p>
        </w:tc>
        <w:tc>
          <w:tcPr>
            <w:tcW w:w="624" w:type="dxa"/>
          </w:tcPr>
          <w:p w14:paraId="796AD72C" w14:textId="77777777" w:rsidR="00AF57F3" w:rsidRDefault="00AF57F3" w:rsidP="00AB419E">
            <w:pPr>
              <w:pStyle w:val="TableText"/>
            </w:pPr>
          </w:p>
        </w:tc>
        <w:tc>
          <w:tcPr>
            <w:tcW w:w="624" w:type="dxa"/>
          </w:tcPr>
          <w:p w14:paraId="12CDB0A4" w14:textId="77777777" w:rsidR="00AF57F3" w:rsidRDefault="00AF57F3" w:rsidP="00AB419E">
            <w:pPr>
              <w:pStyle w:val="TableText"/>
            </w:pPr>
          </w:p>
        </w:tc>
        <w:tc>
          <w:tcPr>
            <w:tcW w:w="4649" w:type="dxa"/>
          </w:tcPr>
          <w:p w14:paraId="77FE4E94" w14:textId="77777777" w:rsidR="00AF57F3" w:rsidRDefault="00AF57F3" w:rsidP="00AB419E">
            <w:pPr>
              <w:pStyle w:val="TableBlock"/>
            </w:pPr>
            <w:r>
              <w:rPr>
                <w:rFonts w:hint="cs"/>
                <w:rtl/>
              </w:rPr>
              <w:t>(ב)</w:t>
            </w:r>
            <w:r>
              <w:rPr>
                <w:rtl/>
              </w:rPr>
              <w:tab/>
            </w:r>
            <w:r>
              <w:rPr>
                <w:rFonts w:hint="cs"/>
                <w:rtl/>
              </w:rPr>
              <w:t>הודעה כאמור בסעיף קטן (א) תימסר באופן שבו נמסרת הודעה על שינוי מען במרשם האוכלוסין, ולאר יאוחר מהיום ה-74 שלפני יום הבחירות.</w:t>
            </w:r>
          </w:p>
        </w:tc>
      </w:tr>
      <w:tr w:rsidR="00AF57F3" w14:paraId="72B713F2" w14:textId="77777777" w:rsidTr="00AB419E">
        <w:trPr>
          <w:cantSplit/>
          <w:trHeight w:val="60"/>
        </w:trPr>
        <w:tc>
          <w:tcPr>
            <w:tcW w:w="1869" w:type="dxa"/>
          </w:tcPr>
          <w:p w14:paraId="56E2FE88" w14:textId="77777777" w:rsidR="00AF57F3" w:rsidRDefault="00AF57F3" w:rsidP="00AB419E">
            <w:pPr>
              <w:pStyle w:val="TableSideHeading"/>
            </w:pPr>
          </w:p>
        </w:tc>
        <w:tc>
          <w:tcPr>
            <w:tcW w:w="624" w:type="dxa"/>
          </w:tcPr>
          <w:p w14:paraId="5D4B9E9E" w14:textId="77777777" w:rsidR="00AF57F3" w:rsidRDefault="00AF57F3" w:rsidP="00AB419E">
            <w:pPr>
              <w:pStyle w:val="TableText"/>
            </w:pPr>
          </w:p>
        </w:tc>
        <w:tc>
          <w:tcPr>
            <w:tcW w:w="624" w:type="dxa"/>
          </w:tcPr>
          <w:p w14:paraId="3910ECDD" w14:textId="77777777" w:rsidR="00AF57F3" w:rsidRDefault="00AF57F3" w:rsidP="00AB419E">
            <w:pPr>
              <w:pStyle w:val="TableText"/>
            </w:pPr>
          </w:p>
        </w:tc>
        <w:tc>
          <w:tcPr>
            <w:tcW w:w="624" w:type="dxa"/>
          </w:tcPr>
          <w:p w14:paraId="595BAF7A" w14:textId="77777777" w:rsidR="00AF57F3" w:rsidRDefault="00AF57F3" w:rsidP="00AB419E">
            <w:pPr>
              <w:pStyle w:val="TableText"/>
            </w:pPr>
          </w:p>
        </w:tc>
        <w:tc>
          <w:tcPr>
            <w:tcW w:w="624" w:type="dxa"/>
          </w:tcPr>
          <w:p w14:paraId="2D67C951" w14:textId="77777777" w:rsidR="00AF57F3" w:rsidRDefault="00AF57F3" w:rsidP="00AB419E">
            <w:pPr>
              <w:pStyle w:val="TableText"/>
            </w:pPr>
          </w:p>
        </w:tc>
        <w:tc>
          <w:tcPr>
            <w:tcW w:w="624" w:type="dxa"/>
          </w:tcPr>
          <w:p w14:paraId="01A2F4C8" w14:textId="77777777" w:rsidR="00AF57F3" w:rsidRDefault="00AF57F3" w:rsidP="00AB419E">
            <w:pPr>
              <w:pStyle w:val="TableText"/>
            </w:pPr>
          </w:p>
        </w:tc>
        <w:tc>
          <w:tcPr>
            <w:tcW w:w="4649" w:type="dxa"/>
          </w:tcPr>
          <w:p w14:paraId="639553A7" w14:textId="54786A73" w:rsidR="00AF57F3" w:rsidRDefault="00AF57F3" w:rsidP="00AB419E">
            <w:pPr>
              <w:pStyle w:val="TableBlock"/>
              <w:rPr>
                <w:rtl/>
              </w:rPr>
            </w:pPr>
            <w:r>
              <w:rPr>
                <w:rFonts w:hint="cs"/>
                <w:rtl/>
              </w:rPr>
              <w:t>(ג)</w:t>
            </w:r>
            <w:r>
              <w:rPr>
                <w:rtl/>
              </w:rPr>
              <w:tab/>
            </w:r>
            <w:r>
              <w:rPr>
                <w:rFonts w:hint="cs"/>
                <w:rtl/>
              </w:rPr>
              <w:t>שר הפנים, בהסכמת ועדת הבחירות המרכזית לכנסת או לפי הצע</w:t>
            </w:r>
            <w:r w:rsidR="005A3511">
              <w:rPr>
                <w:rFonts w:hint="cs"/>
                <w:rtl/>
              </w:rPr>
              <w:t>ת</w:t>
            </w:r>
            <w:r>
              <w:rPr>
                <w:rFonts w:hint="cs"/>
                <w:rtl/>
              </w:rPr>
              <w:t>ה, יקבע את הפרטים שייכללו בהודעה כאמור בסעיף קטן (א) ואת מועדי הגשתה.</w:t>
            </w:r>
          </w:p>
        </w:tc>
      </w:tr>
      <w:tr w:rsidR="00AF57F3" w14:paraId="32D621D7" w14:textId="77777777" w:rsidTr="00AB419E">
        <w:trPr>
          <w:cantSplit/>
          <w:trHeight w:val="60"/>
        </w:trPr>
        <w:tc>
          <w:tcPr>
            <w:tcW w:w="1869" w:type="dxa"/>
          </w:tcPr>
          <w:p w14:paraId="74850DE4" w14:textId="77777777" w:rsidR="00AF57F3" w:rsidRDefault="00AF57F3" w:rsidP="00AB419E">
            <w:pPr>
              <w:pStyle w:val="TableSideHeading"/>
            </w:pPr>
          </w:p>
        </w:tc>
        <w:tc>
          <w:tcPr>
            <w:tcW w:w="624" w:type="dxa"/>
          </w:tcPr>
          <w:p w14:paraId="2F72E215" w14:textId="77777777" w:rsidR="00AF57F3" w:rsidRDefault="00AF57F3" w:rsidP="00AB419E">
            <w:pPr>
              <w:pStyle w:val="TableText"/>
            </w:pPr>
          </w:p>
        </w:tc>
        <w:tc>
          <w:tcPr>
            <w:tcW w:w="1872" w:type="dxa"/>
            <w:gridSpan w:val="3"/>
          </w:tcPr>
          <w:p w14:paraId="65581C03" w14:textId="77777777" w:rsidR="00AF57F3" w:rsidRDefault="00AF57F3" w:rsidP="00AB419E">
            <w:pPr>
              <w:pStyle w:val="TableText"/>
            </w:pPr>
            <w:r>
              <w:rPr>
                <w:rFonts w:hint="cs"/>
                <w:rtl/>
              </w:rPr>
              <w:t>רישום כתובת לצורכי בחירות בפנקס הבוחרים וברשימת הבוחרים</w:t>
            </w:r>
          </w:p>
        </w:tc>
        <w:tc>
          <w:tcPr>
            <w:tcW w:w="624" w:type="dxa"/>
          </w:tcPr>
          <w:p w14:paraId="00379DDF" w14:textId="77777777" w:rsidR="00AF57F3" w:rsidRDefault="00AF57F3" w:rsidP="00AB419E">
            <w:pPr>
              <w:pStyle w:val="TableText"/>
            </w:pPr>
            <w:r>
              <w:rPr>
                <w:rFonts w:hint="cs"/>
                <w:rtl/>
              </w:rPr>
              <w:t>30ב.</w:t>
            </w:r>
          </w:p>
        </w:tc>
        <w:tc>
          <w:tcPr>
            <w:tcW w:w="4649" w:type="dxa"/>
          </w:tcPr>
          <w:p w14:paraId="70B0345F" w14:textId="77777777" w:rsidR="00AF57F3" w:rsidRDefault="00AF57F3" w:rsidP="00AB419E">
            <w:pPr>
              <w:pStyle w:val="TableBlock"/>
              <w:rPr>
                <w:rtl/>
              </w:rPr>
            </w:pPr>
            <w:r>
              <w:rPr>
                <w:rFonts w:hint="cs"/>
                <w:rtl/>
              </w:rPr>
              <w:t>(א)</w:t>
            </w:r>
            <w:r>
              <w:rPr>
                <w:rtl/>
              </w:rPr>
              <w:tab/>
            </w:r>
            <w:r>
              <w:rPr>
                <w:rFonts w:hint="cs"/>
                <w:rtl/>
              </w:rPr>
              <w:t>כתובת לצורכי בחירות שנרשמה לבוחר לפי הוראות סעיף 30א תשמש להכנת פנקס הבוחרים ורשימת הבוחרים לפי סעיף 26; ואולם, מצא יושב ראש הוועדה המרכזית או עובד הוועדה שהוא הסמיך לכך כי אזור קלפי שבו רשום אותו בוחר כולל יותר ממספר הבוחרים לפי סעיף 11, רשאי הוא לכלול את הבוחר ברשימת הבוחרים של אזור קלפי סמוך באותו יישוב, ולבוחר תימסר הודעה על כך בדרך שיקבע היושב ראש.</w:t>
            </w:r>
          </w:p>
        </w:tc>
      </w:tr>
      <w:tr w:rsidR="00AF57F3" w14:paraId="5421E7CB" w14:textId="77777777" w:rsidTr="00AB419E">
        <w:trPr>
          <w:cantSplit/>
          <w:trHeight w:val="60"/>
        </w:trPr>
        <w:tc>
          <w:tcPr>
            <w:tcW w:w="1869" w:type="dxa"/>
          </w:tcPr>
          <w:p w14:paraId="5BDD0A99" w14:textId="77777777" w:rsidR="00AF57F3" w:rsidRDefault="00AF57F3" w:rsidP="00AB419E">
            <w:pPr>
              <w:pStyle w:val="TableSideHeading"/>
            </w:pPr>
          </w:p>
        </w:tc>
        <w:tc>
          <w:tcPr>
            <w:tcW w:w="624" w:type="dxa"/>
          </w:tcPr>
          <w:p w14:paraId="49EC7316" w14:textId="77777777" w:rsidR="00AF57F3" w:rsidRDefault="00AF57F3" w:rsidP="00AB419E">
            <w:pPr>
              <w:pStyle w:val="TableText"/>
            </w:pPr>
          </w:p>
        </w:tc>
        <w:tc>
          <w:tcPr>
            <w:tcW w:w="624" w:type="dxa"/>
          </w:tcPr>
          <w:p w14:paraId="0F07F53A" w14:textId="77777777" w:rsidR="00AF57F3" w:rsidRDefault="00AF57F3" w:rsidP="00AB419E">
            <w:pPr>
              <w:pStyle w:val="TableText"/>
            </w:pPr>
          </w:p>
        </w:tc>
        <w:tc>
          <w:tcPr>
            <w:tcW w:w="624" w:type="dxa"/>
          </w:tcPr>
          <w:p w14:paraId="3F576A91" w14:textId="77777777" w:rsidR="00AF57F3" w:rsidRDefault="00AF57F3" w:rsidP="00AB419E">
            <w:pPr>
              <w:pStyle w:val="TableText"/>
            </w:pPr>
          </w:p>
        </w:tc>
        <w:tc>
          <w:tcPr>
            <w:tcW w:w="624" w:type="dxa"/>
          </w:tcPr>
          <w:p w14:paraId="17A014DF" w14:textId="77777777" w:rsidR="00AF57F3" w:rsidRDefault="00AF57F3" w:rsidP="00AB419E">
            <w:pPr>
              <w:pStyle w:val="TableText"/>
            </w:pPr>
          </w:p>
        </w:tc>
        <w:tc>
          <w:tcPr>
            <w:tcW w:w="624" w:type="dxa"/>
          </w:tcPr>
          <w:p w14:paraId="734D5A78" w14:textId="77777777" w:rsidR="00AF57F3" w:rsidRDefault="00AF57F3" w:rsidP="00AB419E">
            <w:pPr>
              <w:pStyle w:val="TableText"/>
              <w:rPr>
                <w:rtl/>
              </w:rPr>
            </w:pPr>
          </w:p>
        </w:tc>
        <w:tc>
          <w:tcPr>
            <w:tcW w:w="4649" w:type="dxa"/>
          </w:tcPr>
          <w:p w14:paraId="799494EB" w14:textId="77777777" w:rsidR="00AF57F3" w:rsidRDefault="00AF57F3" w:rsidP="00AB419E">
            <w:pPr>
              <w:pStyle w:val="TableBlock"/>
              <w:rPr>
                <w:rtl/>
              </w:rPr>
            </w:pPr>
            <w:r>
              <w:rPr>
                <w:rFonts w:hint="cs"/>
                <w:rtl/>
              </w:rPr>
              <w:t>(ב)</w:t>
            </w:r>
            <w:r>
              <w:rPr>
                <w:rtl/>
              </w:rPr>
              <w:tab/>
            </w:r>
            <w:r>
              <w:rPr>
                <w:rFonts w:hint="cs"/>
                <w:rtl/>
              </w:rPr>
              <w:t>נרשמה לבוחר כתובת לצורכי בחירות, תירשם כתובת זו ברשימת הבוחרים לפי סעיף 29 לצד מענו הרשום במרשם האוכלוסין.</w:t>
            </w:r>
          </w:p>
        </w:tc>
      </w:tr>
      <w:tr w:rsidR="00AF57F3" w14:paraId="31EB23BB" w14:textId="77777777" w:rsidTr="00AB419E">
        <w:trPr>
          <w:cantSplit/>
          <w:trHeight w:val="60"/>
        </w:trPr>
        <w:tc>
          <w:tcPr>
            <w:tcW w:w="1869" w:type="dxa"/>
          </w:tcPr>
          <w:p w14:paraId="33C62A4B" w14:textId="77777777" w:rsidR="00AF57F3" w:rsidRDefault="00AF57F3" w:rsidP="00AB419E">
            <w:pPr>
              <w:pStyle w:val="TableSideHeading"/>
            </w:pPr>
          </w:p>
        </w:tc>
        <w:tc>
          <w:tcPr>
            <w:tcW w:w="624" w:type="dxa"/>
          </w:tcPr>
          <w:p w14:paraId="54514707" w14:textId="77777777" w:rsidR="00AF57F3" w:rsidRDefault="00AF57F3" w:rsidP="00AB419E">
            <w:pPr>
              <w:pStyle w:val="TableText"/>
            </w:pPr>
          </w:p>
        </w:tc>
        <w:tc>
          <w:tcPr>
            <w:tcW w:w="1872" w:type="dxa"/>
            <w:gridSpan w:val="3"/>
          </w:tcPr>
          <w:p w14:paraId="4D1EB1D5" w14:textId="77777777" w:rsidR="00AF57F3" w:rsidRDefault="00AF57F3" w:rsidP="00AB419E">
            <w:pPr>
              <w:pStyle w:val="TableText"/>
            </w:pPr>
            <w:r>
              <w:rPr>
                <w:rFonts w:hint="cs"/>
                <w:rtl/>
              </w:rPr>
              <w:t>סודיות ואי-גריעת זכויות</w:t>
            </w:r>
          </w:p>
        </w:tc>
        <w:tc>
          <w:tcPr>
            <w:tcW w:w="624" w:type="dxa"/>
          </w:tcPr>
          <w:p w14:paraId="2D990D80" w14:textId="77777777" w:rsidR="00AF57F3" w:rsidRDefault="00AF57F3" w:rsidP="00AB419E">
            <w:pPr>
              <w:pStyle w:val="TableText"/>
              <w:rPr>
                <w:rtl/>
              </w:rPr>
            </w:pPr>
            <w:r>
              <w:rPr>
                <w:rFonts w:hint="cs"/>
                <w:rtl/>
              </w:rPr>
              <w:t>30ג.</w:t>
            </w:r>
          </w:p>
        </w:tc>
        <w:tc>
          <w:tcPr>
            <w:tcW w:w="4649" w:type="dxa"/>
          </w:tcPr>
          <w:p w14:paraId="63A7A829" w14:textId="77777777" w:rsidR="00AF57F3" w:rsidRDefault="00AF57F3" w:rsidP="00AB419E">
            <w:pPr>
              <w:pStyle w:val="TableBlock"/>
              <w:rPr>
                <w:rtl/>
              </w:rPr>
            </w:pPr>
            <w:r>
              <w:rPr>
                <w:rFonts w:hint="cs"/>
                <w:rtl/>
              </w:rPr>
              <w:t>(א)</w:t>
            </w:r>
            <w:r>
              <w:rPr>
                <w:rtl/>
              </w:rPr>
              <w:tab/>
            </w:r>
            <w:r>
              <w:rPr>
                <w:rFonts w:hint="cs"/>
                <w:rtl/>
              </w:rPr>
              <w:t>כתובת לצורכי בחירות לא תימסר ולא ייעשה בה שימוש אלא לעניין פרק זה.</w:t>
            </w:r>
          </w:p>
        </w:tc>
      </w:tr>
      <w:tr w:rsidR="00AF57F3" w14:paraId="16F7BBA9" w14:textId="77777777" w:rsidTr="00AB419E">
        <w:trPr>
          <w:cantSplit/>
          <w:trHeight w:val="60"/>
        </w:trPr>
        <w:tc>
          <w:tcPr>
            <w:tcW w:w="1869" w:type="dxa"/>
          </w:tcPr>
          <w:p w14:paraId="24C699EC" w14:textId="77777777" w:rsidR="00AF57F3" w:rsidRDefault="00AF57F3" w:rsidP="00AB419E">
            <w:pPr>
              <w:pStyle w:val="TableSideHeading"/>
            </w:pPr>
          </w:p>
        </w:tc>
        <w:tc>
          <w:tcPr>
            <w:tcW w:w="624" w:type="dxa"/>
          </w:tcPr>
          <w:p w14:paraId="720BB62B" w14:textId="77777777" w:rsidR="00AF57F3" w:rsidRDefault="00AF57F3" w:rsidP="00AB419E">
            <w:pPr>
              <w:pStyle w:val="TableText"/>
            </w:pPr>
          </w:p>
        </w:tc>
        <w:tc>
          <w:tcPr>
            <w:tcW w:w="624" w:type="dxa"/>
          </w:tcPr>
          <w:p w14:paraId="46587BBE" w14:textId="77777777" w:rsidR="00AF57F3" w:rsidRDefault="00AF57F3" w:rsidP="00AB419E">
            <w:pPr>
              <w:pStyle w:val="TableText"/>
            </w:pPr>
          </w:p>
        </w:tc>
        <w:tc>
          <w:tcPr>
            <w:tcW w:w="624" w:type="dxa"/>
          </w:tcPr>
          <w:p w14:paraId="4B90060F" w14:textId="77777777" w:rsidR="00AF57F3" w:rsidRDefault="00AF57F3" w:rsidP="00AB419E">
            <w:pPr>
              <w:pStyle w:val="TableText"/>
            </w:pPr>
          </w:p>
        </w:tc>
        <w:tc>
          <w:tcPr>
            <w:tcW w:w="624" w:type="dxa"/>
          </w:tcPr>
          <w:p w14:paraId="6F4545B6" w14:textId="77777777" w:rsidR="00AF57F3" w:rsidRDefault="00AF57F3" w:rsidP="00AB419E">
            <w:pPr>
              <w:pStyle w:val="TableText"/>
            </w:pPr>
          </w:p>
        </w:tc>
        <w:tc>
          <w:tcPr>
            <w:tcW w:w="624" w:type="dxa"/>
          </w:tcPr>
          <w:p w14:paraId="4F905645" w14:textId="77777777" w:rsidR="00AF57F3" w:rsidRDefault="00AF57F3" w:rsidP="00AB419E">
            <w:pPr>
              <w:pStyle w:val="TableText"/>
              <w:rPr>
                <w:rtl/>
              </w:rPr>
            </w:pPr>
          </w:p>
        </w:tc>
        <w:tc>
          <w:tcPr>
            <w:tcW w:w="4649" w:type="dxa"/>
          </w:tcPr>
          <w:p w14:paraId="6F4A7858" w14:textId="77777777" w:rsidR="00AF57F3" w:rsidRDefault="00AF57F3" w:rsidP="00AB419E">
            <w:pPr>
              <w:pStyle w:val="TableBlock"/>
              <w:rPr>
                <w:rtl/>
              </w:rPr>
            </w:pPr>
            <w:r>
              <w:rPr>
                <w:rFonts w:hint="cs"/>
                <w:rtl/>
              </w:rPr>
              <w:t>(ב)</w:t>
            </w:r>
            <w:r>
              <w:rPr>
                <w:rtl/>
              </w:rPr>
              <w:tab/>
            </w:r>
            <w:r>
              <w:rPr>
                <w:rFonts w:hint="cs"/>
                <w:rtl/>
              </w:rPr>
              <w:t>רישום כתובת לצורכי בחירות לא יגרע מכל דין לעניין המען הרשום במרשם האוכלוסין."</w:t>
            </w:r>
          </w:p>
        </w:tc>
      </w:tr>
    </w:tbl>
    <w:p w14:paraId="7F6961CA" w14:textId="77777777" w:rsidR="002D1EE3" w:rsidRDefault="002D1EE3" w:rsidP="002D1EE3">
      <w:pPr>
        <w:pStyle w:val="HeadDivreiHesber"/>
        <w:rPr>
          <w:rtl/>
        </w:rPr>
      </w:pPr>
      <w:r w:rsidRPr="0027450A">
        <w:rPr>
          <w:rFonts w:hint="cs"/>
          <w:rtl/>
        </w:rPr>
        <w:t>דברי הסבר</w:t>
      </w:r>
    </w:p>
    <w:p w14:paraId="700C93A5" w14:textId="3F9780F6" w:rsidR="00AF57F3" w:rsidRPr="00BC7CBB" w:rsidRDefault="00AF57F3" w:rsidP="00AD5C1A">
      <w:pPr>
        <w:pStyle w:val="Hesber"/>
        <w:spacing w:line="276" w:lineRule="auto"/>
        <w:rPr>
          <w:rtl/>
        </w:rPr>
      </w:pPr>
      <w:r w:rsidRPr="00BC7CBB">
        <w:rPr>
          <w:rFonts w:hint="cs"/>
          <w:rtl/>
        </w:rPr>
        <w:t xml:space="preserve">זכות הבחירה </w:t>
      </w:r>
      <w:r w:rsidR="005A3511">
        <w:rPr>
          <w:rFonts w:hint="cs"/>
          <w:rtl/>
        </w:rPr>
        <w:t>היא</w:t>
      </w:r>
      <w:r w:rsidRPr="00BC7CBB">
        <w:rPr>
          <w:rFonts w:hint="cs"/>
          <w:rtl/>
        </w:rPr>
        <w:t xml:space="preserve"> זכות יסוד מרכזית בכל מדינה דמוקרטית</w:t>
      </w:r>
      <w:r>
        <w:rPr>
          <w:rFonts w:hint="cs"/>
          <w:rtl/>
        </w:rPr>
        <w:t>.</w:t>
      </w:r>
      <w:r w:rsidRPr="00BC7CBB">
        <w:rPr>
          <w:rFonts w:hint="cs"/>
          <w:rtl/>
        </w:rPr>
        <w:t xml:space="preserve"> בסעיף 68(א) לחוק הבחירות לכנסת</w:t>
      </w:r>
      <w:r>
        <w:rPr>
          <w:rFonts w:hint="cs"/>
          <w:rtl/>
        </w:rPr>
        <w:t>,</w:t>
      </w:r>
      <w:r w:rsidR="005A3511">
        <w:rPr>
          <w:rFonts w:hint="cs"/>
          <w:rtl/>
        </w:rPr>
        <w:t xml:space="preserve"> התשכ"ט</w:t>
      </w:r>
      <w:r w:rsidR="005A3511">
        <w:rPr>
          <w:rtl/>
        </w:rPr>
        <w:t>–</w:t>
      </w:r>
      <w:r w:rsidR="005A3511">
        <w:rPr>
          <w:rFonts w:hint="cs"/>
          <w:rtl/>
        </w:rPr>
        <w:t>1969</w:t>
      </w:r>
      <w:r w:rsidRPr="00BC7CBB">
        <w:rPr>
          <w:rFonts w:hint="cs"/>
          <w:rtl/>
        </w:rPr>
        <w:t xml:space="preserve"> </w:t>
      </w:r>
      <w:r w:rsidR="005A3511">
        <w:rPr>
          <w:rFonts w:hint="cs"/>
          <w:rtl/>
        </w:rPr>
        <w:t>יש</w:t>
      </w:r>
      <w:r w:rsidRPr="00BC7CBB">
        <w:rPr>
          <w:rFonts w:hint="cs"/>
          <w:rtl/>
        </w:rPr>
        <w:t xml:space="preserve"> הוראה לפיה מיקום הקלפי ייקבע תוך מגמה להקטין את המרחק בין מיקום הקלפי לבוחר, וזו לשונה: </w:t>
      </w:r>
      <w:r w:rsidRPr="00BC7CBB">
        <w:rPr>
          <w:rtl/>
        </w:rPr>
        <w:t>"מקום הקלפי ייקבע, ככל האפשר, תוך מגמה להקטין את המרחק בין הקלפי לבין מקום המגורים של הזכאים לבחור בה".</w:t>
      </w:r>
      <w:r w:rsidRPr="00BC7CBB">
        <w:rPr>
          <w:rFonts w:hint="cs"/>
        </w:rPr>
        <w:t xml:space="preserve"> </w:t>
      </w:r>
      <w:r w:rsidRPr="00BC7CBB">
        <w:rPr>
          <w:rFonts w:hint="cs"/>
          <w:rtl/>
        </w:rPr>
        <w:t xml:space="preserve"> </w:t>
      </w:r>
    </w:p>
    <w:p w14:paraId="2D8906C5" w14:textId="7C765AEA" w:rsidR="00AF57F3" w:rsidRPr="00BC7CBB" w:rsidRDefault="00AF57F3" w:rsidP="005A0981">
      <w:pPr>
        <w:pStyle w:val="Hesber"/>
        <w:spacing w:line="276" w:lineRule="auto"/>
        <w:rPr>
          <w:rtl/>
        </w:rPr>
      </w:pPr>
      <w:r w:rsidRPr="00BC7CBB">
        <w:rPr>
          <w:rFonts w:hint="cs"/>
          <w:rtl/>
        </w:rPr>
        <w:t>ישנם מקרים רבים בהם קלפי מוצבת במרחק רב ממקום מגוריו של הבוחר</w:t>
      </w:r>
      <w:r>
        <w:rPr>
          <w:rFonts w:hint="cs"/>
          <w:rtl/>
        </w:rPr>
        <w:t>, ולעיתים הוא</w:t>
      </w:r>
      <w:r w:rsidRPr="00BC7CBB">
        <w:rPr>
          <w:rFonts w:hint="cs"/>
          <w:rtl/>
        </w:rPr>
        <w:t xml:space="preserve"> נאלץ לנסוע</w:t>
      </w:r>
      <w:r>
        <w:rPr>
          <w:rFonts w:hint="cs"/>
          <w:rtl/>
        </w:rPr>
        <w:t xml:space="preserve"> יותר מ-40 דקות כדי להגיע לקלפי. </w:t>
      </w:r>
      <w:r w:rsidR="00E60947">
        <w:rPr>
          <w:rFonts w:hint="cs"/>
          <w:rtl/>
        </w:rPr>
        <w:t>תופעה</w:t>
      </w:r>
      <w:r w:rsidRPr="00BC7CBB">
        <w:rPr>
          <w:rFonts w:hint="cs"/>
          <w:rtl/>
        </w:rPr>
        <w:t xml:space="preserve"> זו קיימת בעיקרה בכפרים בנגב, והנפגעים העיקריים </w:t>
      </w:r>
      <w:r w:rsidR="005A3511">
        <w:rPr>
          <w:rFonts w:hint="cs"/>
          <w:rtl/>
        </w:rPr>
        <w:t xml:space="preserve">הם תושבי הכפרים הלא מוכרים שם, </w:t>
      </w:r>
      <w:r>
        <w:rPr>
          <w:rFonts w:hint="cs"/>
          <w:rtl/>
        </w:rPr>
        <w:t>ה</w:t>
      </w:r>
      <w:r w:rsidRPr="00BC7CBB">
        <w:rPr>
          <w:rFonts w:hint="cs"/>
          <w:rtl/>
        </w:rPr>
        <w:t>נאלצים בעל כורחם לוותר על זכות ההצבעה כתוצאה מהמרחק ב</w:t>
      </w:r>
      <w:r>
        <w:rPr>
          <w:rFonts w:hint="cs"/>
          <w:rtl/>
        </w:rPr>
        <w:t>ין מקום מגור</w:t>
      </w:r>
      <w:r w:rsidR="005A3511">
        <w:rPr>
          <w:rFonts w:hint="cs"/>
          <w:rtl/>
        </w:rPr>
        <w:t>יה</w:t>
      </w:r>
      <w:r w:rsidR="00AD5C1A">
        <w:rPr>
          <w:rFonts w:hint="cs"/>
          <w:rtl/>
        </w:rPr>
        <w:t>ם לבין הקלפי אליו הם משוי</w:t>
      </w:r>
      <w:r>
        <w:rPr>
          <w:rFonts w:hint="cs"/>
          <w:rtl/>
        </w:rPr>
        <w:t>כים, הנקבע לפי השתייכותם השבטית הרשומה כמען בהתאם להוראות חוק מרשם האוכלוסין</w:t>
      </w:r>
      <w:r w:rsidR="005A3511">
        <w:rPr>
          <w:rFonts w:hint="cs"/>
          <w:rtl/>
        </w:rPr>
        <w:t>, התשכ"ה</w:t>
      </w:r>
      <w:r w:rsidR="005A3511">
        <w:rPr>
          <w:rtl/>
        </w:rPr>
        <w:t>–</w:t>
      </w:r>
      <w:r w:rsidR="005A3511">
        <w:rPr>
          <w:rFonts w:hint="cs"/>
          <w:rtl/>
        </w:rPr>
        <w:t>1965</w:t>
      </w:r>
      <w:r>
        <w:rPr>
          <w:rFonts w:hint="cs"/>
          <w:rtl/>
        </w:rPr>
        <w:t>.</w:t>
      </w:r>
    </w:p>
    <w:p w14:paraId="7CD587B5" w14:textId="4E156897" w:rsidR="00AF57F3" w:rsidRDefault="00AF57F3" w:rsidP="00AD5C1A">
      <w:pPr>
        <w:pStyle w:val="Hesber"/>
        <w:spacing w:line="276" w:lineRule="auto"/>
        <w:rPr>
          <w:rtl/>
        </w:rPr>
      </w:pPr>
      <w:r w:rsidRPr="00BC7CBB">
        <w:rPr>
          <w:rFonts w:hint="cs"/>
          <w:rtl/>
        </w:rPr>
        <w:t>הצ</w:t>
      </w:r>
      <w:r>
        <w:rPr>
          <w:rFonts w:hint="cs"/>
          <w:rtl/>
        </w:rPr>
        <w:t>עת החוק באה להסדיר את הנושא. ראשית, ההצעה קובעת הסדר כללי של כתובת לצורכי בחירות, לפיו יהיה רשאי הבוחר למסור לשר הפנים או לגורם המוסמך במשרדו הודעה על כתובת שניתן לרשום כמען במרשם האוכלוסין לצורכי הצבעה בבחירות לכנסת. שנית, קוב</w:t>
      </w:r>
      <w:r w:rsidR="003F5210">
        <w:rPr>
          <w:rFonts w:hint="cs"/>
          <w:rtl/>
        </w:rPr>
        <w:t>עת ההצעה כי במרכזי שירות יקבע א</w:t>
      </w:r>
      <w:bookmarkStart w:id="8" w:name="_GoBack"/>
      <w:bookmarkEnd w:id="8"/>
      <w:r>
        <w:rPr>
          <w:rFonts w:hint="cs"/>
          <w:rtl/>
        </w:rPr>
        <w:t>זור קלפי במידה ויותר ממאה בעלי זכות בחירה יקבעו בהם את כתובתם לצורכי בחירות. מרכזי שירות הם מבנים המשמשים למתן שירות ממלכתי חיוני, כגון שירותי חינוך ובריאות, בעבור מי שמענו רשום על פי השתייכותו השבטית במרשם האוכלוסין.</w:t>
      </w:r>
    </w:p>
    <w:p w14:paraId="440DCD68" w14:textId="3122E44B" w:rsidR="00C268C6" w:rsidRDefault="00C268C6" w:rsidP="00AD5C1A">
      <w:pPr>
        <w:pStyle w:val="Hesber"/>
        <w:spacing w:line="276" w:lineRule="auto"/>
        <w:rPr>
          <w:rtl/>
        </w:rPr>
      </w:pPr>
    </w:p>
    <w:p w14:paraId="229CEACA" w14:textId="77777777" w:rsidR="005A0981" w:rsidRPr="00BC7CBB" w:rsidRDefault="005A0981" w:rsidP="00AD5C1A">
      <w:pPr>
        <w:pStyle w:val="Hesber"/>
        <w:spacing w:line="276" w:lineRule="auto"/>
        <w:rPr>
          <w:rtl/>
        </w:rPr>
      </w:pPr>
    </w:p>
    <w:p w14:paraId="11EA9E18" w14:textId="77777777" w:rsidR="004D72D3" w:rsidRDefault="003F5210" w:rsidP="00AD5C1A">
      <w:pPr>
        <w:spacing w:before="0" w:line="276" w:lineRule="auto"/>
        <w:jc w:val="left"/>
      </w:pPr>
      <w:bookmarkStart w:id="9" w:name="selectedDocDateB"/>
      <w:bookmarkEnd w:id="9"/>
      <w:r>
        <w:rPr>
          <w:rFonts w:ascii="David" w:eastAsia="David" w:hAnsi="David" w:cs="David" w:hint="cs"/>
          <w:sz w:val="26"/>
          <w:szCs w:val="26"/>
          <w:rtl/>
        </w:rPr>
        <w:t>--------------------------------</w:t>
      </w:r>
    </w:p>
    <w:p w14:paraId="70BFB75D" w14:textId="77777777" w:rsidR="004D72D3" w:rsidRDefault="003F5210" w:rsidP="00AD5C1A">
      <w:pPr>
        <w:spacing w:before="0" w:line="276" w:lineRule="auto"/>
        <w:jc w:val="left"/>
      </w:pPr>
      <w:r>
        <w:rPr>
          <w:rFonts w:ascii="David" w:eastAsia="David" w:hAnsi="David" w:cs="David" w:hint="cs"/>
          <w:sz w:val="26"/>
          <w:szCs w:val="26"/>
          <w:rtl/>
        </w:rPr>
        <w:t>הוגשה ליו"ר הכנסת והסגנים</w:t>
      </w:r>
    </w:p>
    <w:p w14:paraId="05EA50EB" w14:textId="77777777" w:rsidR="004D72D3" w:rsidRDefault="003F5210" w:rsidP="00AD5C1A">
      <w:pPr>
        <w:spacing w:before="0" w:line="276" w:lineRule="auto"/>
        <w:jc w:val="left"/>
      </w:pPr>
      <w:r>
        <w:rPr>
          <w:rFonts w:ascii="David" w:eastAsia="David" w:hAnsi="David" w:cs="David" w:hint="cs"/>
          <w:sz w:val="26"/>
          <w:szCs w:val="26"/>
          <w:rtl/>
        </w:rPr>
        <w:t>והונחה על שולחן הכנסת בי</w:t>
      </w:r>
      <w:r>
        <w:rPr>
          <w:rFonts w:ascii="David" w:eastAsia="David" w:hAnsi="David" w:cs="David" w:hint="cs"/>
          <w:sz w:val="26"/>
          <w:szCs w:val="26"/>
          <w:rtl/>
        </w:rPr>
        <w:t>ום</w:t>
      </w:r>
    </w:p>
    <w:p w14:paraId="092EEAAA" w14:textId="77777777" w:rsidR="004D72D3" w:rsidRDefault="003F5210" w:rsidP="00AD5C1A">
      <w:pPr>
        <w:spacing w:before="0" w:line="276" w:lineRule="auto"/>
        <w:jc w:val="left"/>
      </w:pPr>
      <w:r>
        <w:rPr>
          <w:rFonts w:ascii="David" w:eastAsia="David" w:hAnsi="David" w:cs="David" w:hint="cs"/>
          <w:sz w:val="26"/>
          <w:szCs w:val="26"/>
          <w:rtl/>
        </w:rPr>
        <w:t xml:space="preserve">י"ח בתמוז התשפ"ד (24.07.2024) </w:t>
      </w:r>
    </w:p>
    <w:p w14:paraId="6411976A" w14:textId="77777777" w:rsidR="004D72D3" w:rsidRDefault="004D72D3">
      <w:pPr>
        <w:spacing w:before="0" w:line="276" w:lineRule="auto"/>
        <w:jc w:val="left"/>
      </w:pPr>
    </w:p>
    <w:sectPr w:rsidR="004D72D3"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D96A80B"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3F5210">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4813"/>
    <w:rsid w:val="00063A3E"/>
    <w:rsid w:val="00072CAC"/>
    <w:rsid w:val="0007681A"/>
    <w:rsid w:val="00085741"/>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16083"/>
    <w:rsid w:val="003232A2"/>
    <w:rsid w:val="00325C14"/>
    <w:rsid w:val="0036422C"/>
    <w:rsid w:val="003710F6"/>
    <w:rsid w:val="00386E88"/>
    <w:rsid w:val="00396585"/>
    <w:rsid w:val="003D6E38"/>
    <w:rsid w:val="003D74A0"/>
    <w:rsid w:val="003F5210"/>
    <w:rsid w:val="004033D8"/>
    <w:rsid w:val="004073F0"/>
    <w:rsid w:val="00412A7D"/>
    <w:rsid w:val="00416B4D"/>
    <w:rsid w:val="00417CFC"/>
    <w:rsid w:val="004A06DC"/>
    <w:rsid w:val="004B24ED"/>
    <w:rsid w:val="004B6625"/>
    <w:rsid w:val="004D2D82"/>
    <w:rsid w:val="004D3876"/>
    <w:rsid w:val="004D72D3"/>
    <w:rsid w:val="004E4552"/>
    <w:rsid w:val="004E6CDF"/>
    <w:rsid w:val="00553C9D"/>
    <w:rsid w:val="00562A66"/>
    <w:rsid w:val="005A0981"/>
    <w:rsid w:val="005A3511"/>
    <w:rsid w:val="005B064E"/>
    <w:rsid w:val="005B4835"/>
    <w:rsid w:val="005D51AE"/>
    <w:rsid w:val="005F6448"/>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D2A0A"/>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D5C1A"/>
    <w:rsid w:val="00AE1396"/>
    <w:rsid w:val="00AF57F3"/>
    <w:rsid w:val="00B10265"/>
    <w:rsid w:val="00B16A99"/>
    <w:rsid w:val="00B21211"/>
    <w:rsid w:val="00B35784"/>
    <w:rsid w:val="00B733A7"/>
    <w:rsid w:val="00B75C91"/>
    <w:rsid w:val="00B975AD"/>
    <w:rsid w:val="00BC45FB"/>
    <w:rsid w:val="00BC7CBB"/>
    <w:rsid w:val="00BF148D"/>
    <w:rsid w:val="00C23B1A"/>
    <w:rsid w:val="00C268C6"/>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0947"/>
    <w:rsid w:val="00E62778"/>
    <w:rsid w:val="00E635A2"/>
    <w:rsid w:val="00E63D38"/>
    <w:rsid w:val="00E665B9"/>
    <w:rsid w:val="00EA01E6"/>
    <w:rsid w:val="00EA3DE8"/>
    <w:rsid w:val="00EA758F"/>
    <w:rsid w:val="00ED4A6F"/>
    <w:rsid w:val="00EF3A3A"/>
    <w:rsid w:val="00F628D6"/>
    <w:rsid w:val="00F67051"/>
    <w:rsid w:val="00F86A1E"/>
    <w:rsid w:val="00FA5E88"/>
    <w:rsid w:val="00FB77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60A32A2-21C6-46F9-BF25-BF90094C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290d5b49-c690-4c6f-bbb9-1e50dab33eee"/>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13E223EA-0441-48CA-B4E0-F6B97BAEF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46685-8662-42D3-AD16-363B4AA6A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553</Words>
  <Characters>2767</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14</cp:revision>
  <cp:lastPrinted>2024-07-23T14:11:00Z</cp:lastPrinted>
  <dcterms:created xsi:type="dcterms:W3CDTF">2015-04-20T09:58:00Z</dcterms:created>
  <dcterms:modified xsi:type="dcterms:W3CDTF">2024-07-23T14:12:00Z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2220649</vt:r8>
  </property>
</Properties>
</file>