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55D8E" w:rsidRDefault="004033D8" w:rsidP="00E635A2">
      <w:pPr>
        <w:jc w:val="right"/>
        <w:rPr>
          <w:b/>
          <w:bCs/>
          <w:sz w:val="20"/>
          <w:szCs w:val="20"/>
        </w:rPr>
      </w:pPr>
      <w:r w:rsidRPr="00055D8E">
        <w:rPr>
          <w:sz w:val="20"/>
          <w:szCs w:val="20"/>
          <w:rtl/>
        </w:rPr>
        <w:t xml:space="preserve">מספר פנימי: </w:t>
      </w:r>
      <w:bookmarkStart w:id="0" w:name="LGS_Internal_ID"/>
      <w:r w:rsidRPr="00055D8E">
        <w:rPr>
          <w:sz w:val="20"/>
          <w:szCs w:val="20"/>
          <w:rtl/>
        </w:rPr>
        <w:t>2218881</w:t>
      </w:r>
      <w:bookmarkEnd w:id="0"/>
    </w:p>
    <w:p w14:paraId="7F6961A2" w14:textId="53D639AE" w:rsidR="00E13C27" w:rsidRPr="00055D8E" w:rsidRDefault="00E13C27" w:rsidP="00A443CF">
      <w:pPr>
        <w:pStyle w:val="HeadHatzaotHok"/>
        <w:rPr>
          <w:rFonts w:ascii="David" w:hAnsi="David"/>
          <w:sz w:val="28"/>
          <w:szCs w:val="28"/>
          <w:rtl/>
        </w:rPr>
      </w:pPr>
      <w:r w:rsidRPr="00055D8E">
        <w:rPr>
          <w:rFonts w:ascii="David" w:hAnsi="David"/>
          <w:sz w:val="28"/>
          <w:szCs w:val="28"/>
          <w:rtl/>
        </w:rPr>
        <w:t xml:space="preserve">הכנסת </w:t>
      </w:r>
      <w:bookmarkStart w:id="1" w:name="LGS_Knesset_Num"/>
      <w:r w:rsidRPr="00055D8E">
        <w:rPr>
          <w:rFonts w:ascii="David" w:hAnsi="David"/>
          <w:sz w:val="28"/>
          <w:szCs w:val="28"/>
          <w:rtl/>
        </w:rPr>
        <w:t>העשרים וחמש</w:t>
      </w:r>
      <w:bookmarkEnd w:id="1"/>
    </w:p>
    <w:p w14:paraId="7F6961A3" w14:textId="77777777" w:rsidR="00E13C27" w:rsidRPr="00055D8E" w:rsidRDefault="00E13C27" w:rsidP="00E13C27">
      <w:pPr>
        <w:rPr>
          <w:b/>
          <w:bCs/>
          <w:sz w:val="26"/>
          <w:szCs w:val="26"/>
          <w:rtl/>
        </w:rPr>
      </w:pPr>
    </w:p>
    <w:p w14:paraId="7F6961AA" w14:textId="6ACF1644" w:rsidR="00E13C27" w:rsidRPr="00055D8E" w:rsidRDefault="008F6665" w:rsidP="003C2E14">
      <w:pPr>
        <w:pStyle w:val="David"/>
        <w:ind w:left="3544"/>
        <w:rPr>
          <w:b/>
          <w:bCs/>
          <w:sz w:val="16"/>
          <w:szCs w:val="16"/>
          <w:rtl/>
        </w:rPr>
      </w:pPr>
      <w:bookmarkStart w:id="2" w:name="LGS_Initiators_List"/>
      <w:r w:rsidRPr="00055D8E">
        <w:rPr>
          <w:b/>
          <w:bCs/>
          <w:rtl/>
        </w:rPr>
        <w:t>יוזמת:</w:t>
      </w:r>
      <w:r w:rsidRPr="00055D8E">
        <w:tab/>
      </w:r>
      <w:r w:rsidRPr="00055D8E">
        <w:rPr>
          <w:b/>
          <w:bCs/>
          <w:rtl/>
        </w:rPr>
        <w:t xml:space="preserve">      חברת הכנסת</w:t>
      </w:r>
      <w:bookmarkEnd w:id="2"/>
      <w:r w:rsidR="00B35784" w:rsidRPr="00055D8E">
        <w:rPr>
          <w:b/>
          <w:bCs/>
        </w:rPr>
        <w:tab/>
      </w:r>
      <w:bookmarkStart w:id="3" w:name="LGS_PM_Names"/>
      <w:r w:rsidRPr="00055D8E">
        <w:rPr>
          <w:b/>
          <w:bCs/>
          <w:rtl/>
        </w:rPr>
        <w:t>חוה אתי עטייה</w:t>
      </w:r>
      <w:bookmarkStart w:id="4" w:name="LGS_Join_List"/>
      <w:bookmarkEnd w:id="3"/>
      <w:r w:rsidR="007D585A" w:rsidRPr="00055D8E">
        <w:rPr>
          <w:rtl/>
        </w:rPr>
        <w:t xml:space="preserve"> </w:t>
      </w:r>
      <w:bookmarkEnd w:id="4"/>
      <w:r w:rsidR="002200A1" w:rsidRPr="00055D8E">
        <w:rPr>
          <w:rtl/>
        </w:rPr>
        <w:tab/>
      </w:r>
      <w:bookmarkStart w:id="5" w:name="LGS_PM_NamesJoin"/>
      <w:r w:rsidR="007D585A" w:rsidRPr="00055D8E">
        <w:rPr>
          <w:rtl/>
        </w:rPr>
        <w:t xml:space="preserve"> </w:t>
      </w:r>
      <w:bookmarkEnd w:id="5"/>
    </w:p>
    <w:p w14:paraId="34DB4103" w14:textId="77777777" w:rsidR="00904591" w:rsidRPr="00055D8E" w:rsidRDefault="00266D86" w:rsidP="0036422C">
      <w:pPr>
        <w:pStyle w:val="David"/>
        <w:ind w:left="3544"/>
        <w:rPr>
          <w:sz w:val="4"/>
          <w:szCs w:val="4"/>
          <w:rtl/>
        </w:rPr>
      </w:pPr>
      <w:r w:rsidRPr="00055D8E">
        <w:t>____</w:t>
      </w:r>
      <w:r w:rsidR="00E374F2" w:rsidRPr="00055D8E">
        <w:t>__</w:t>
      </w:r>
      <w:r w:rsidRPr="00055D8E">
        <w:t>________________________________________</w:t>
      </w:r>
      <w:r w:rsidR="00E06736" w:rsidRPr="00055D8E">
        <w:tab/>
      </w:r>
      <w:r w:rsidR="00E13C27" w:rsidRPr="00055D8E">
        <w:rPr>
          <w:rtl/>
        </w:rPr>
        <w:tab/>
      </w:r>
      <w:r w:rsidR="00E13C27" w:rsidRPr="00055D8E">
        <w:rPr>
          <w:rtl/>
        </w:rPr>
        <w:tab/>
      </w:r>
      <w:r w:rsidR="00E13C27" w:rsidRPr="00055D8E">
        <w:rPr>
          <w:rtl/>
        </w:rPr>
        <w:tab/>
      </w:r>
      <w:r w:rsidR="00904591" w:rsidRPr="00055D8E">
        <w:t xml:space="preserve">           </w:t>
      </w:r>
    </w:p>
    <w:p w14:paraId="7F6961AC" w14:textId="142A02F1" w:rsidR="00E13C27" w:rsidRPr="00055D8E" w:rsidRDefault="00904591" w:rsidP="005C464E">
      <w:pPr>
        <w:pStyle w:val="David"/>
        <w:spacing w:line="240" w:lineRule="auto"/>
        <w:ind w:left="6424" w:firstLine="56"/>
        <w:rPr>
          <w:rtl/>
        </w:rPr>
      </w:pPr>
      <w:bookmarkStart w:id="6" w:name="Private_Number"/>
      <w:r>
        <w:rPr>
          <w:rtl/>
        </w:rPr>
        <w:t>פ/4696/25</w:t>
      </w:r>
      <w:bookmarkStart w:id="7" w:name="_GoBack"/>
      <w:bookmarkEnd w:id="6"/>
      <w:bookmarkEnd w:id="7"/>
    </w:p>
    <w:p w14:paraId="7F6961AD" w14:textId="4436875A" w:rsidR="00E13C27" w:rsidRPr="00055D8E" w:rsidRDefault="00A443CF" w:rsidP="00C05C9E">
      <w:pPr>
        <w:pStyle w:val="HeadHatzaotHok"/>
        <w:rPr>
          <w:rFonts w:ascii="David" w:hAnsi="David"/>
          <w:rtl/>
        </w:rPr>
      </w:pPr>
      <w:bookmarkStart w:id="8" w:name="LGS_Subject"/>
      <w:r w:rsidRPr="00055D8E">
        <w:rPr>
          <w:rFonts w:ascii="David" w:hAnsi="David"/>
          <w:rtl/>
        </w:rPr>
        <w:t>הצעת חוק הרשויות המקומיות (פטור חיילים, נפגעי מלחמה ושוטרים מארנונה) (תיקון – סיוע לחיילים בודדים), התשפ"ד</w:t>
      </w:r>
      <w:r w:rsidR="00C05C9E" w:rsidRPr="00C05C9E">
        <w:rPr>
          <w:rFonts w:ascii="David" w:hAnsi="David"/>
          <w:rtl/>
        </w:rPr>
        <w:t>–</w:t>
      </w:r>
      <w:r w:rsidRPr="00055D8E">
        <w:rPr>
          <w:rFonts w:ascii="David" w:hAnsi="David"/>
          <w:rtl/>
        </w:rPr>
        <w:t>2024</w:t>
      </w:r>
      <w:bookmarkEnd w:id="8"/>
    </w:p>
    <w:p w14:paraId="7F6961AE" w14:textId="77777777" w:rsidR="00E13C27" w:rsidRPr="00055D8E" w:rsidRDefault="00E13C27" w:rsidP="0021633A">
      <w:pPr>
        <w:pStyle w:val="HeadDivreiHesber"/>
        <w:spacing w:before="0" w:after="0"/>
        <w:rPr>
          <w:rFonts w:ascii="David" w:hAnsi="David"/>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6B4D84" w:rsidRPr="00055D8E" w14:paraId="37F443F4" w14:textId="77777777" w:rsidTr="003C2E14">
        <w:trPr>
          <w:cantSplit/>
        </w:trPr>
        <w:tc>
          <w:tcPr>
            <w:tcW w:w="1871" w:type="dxa"/>
          </w:tcPr>
          <w:p w14:paraId="47D44D87" w14:textId="77777777" w:rsidR="006B4D84" w:rsidRPr="00055D8E" w:rsidRDefault="006B4D84" w:rsidP="00C13783">
            <w:pPr>
              <w:pStyle w:val="TableSideHeading"/>
              <w:keepLines w:val="0"/>
              <w:rPr>
                <w:rFonts w:ascii="David" w:hAnsi="David"/>
              </w:rPr>
            </w:pPr>
            <w:r w:rsidRPr="00055D8E">
              <w:rPr>
                <w:rFonts w:ascii="David" w:hAnsi="David"/>
                <w:rtl/>
              </w:rPr>
              <w:t>תיקון סעיף 2</w:t>
            </w:r>
          </w:p>
        </w:tc>
        <w:tc>
          <w:tcPr>
            <w:tcW w:w="624" w:type="dxa"/>
          </w:tcPr>
          <w:p w14:paraId="36AF1F44" w14:textId="77777777" w:rsidR="006B4D84" w:rsidRPr="00055D8E" w:rsidRDefault="006B4D84" w:rsidP="00C13783">
            <w:pPr>
              <w:pStyle w:val="TableText"/>
              <w:keepLines w:val="0"/>
              <w:rPr>
                <w:rFonts w:ascii="David" w:hAnsi="David"/>
              </w:rPr>
            </w:pPr>
            <w:r w:rsidRPr="00055D8E">
              <w:rPr>
                <w:rFonts w:ascii="David" w:hAnsi="David"/>
                <w:rtl/>
              </w:rPr>
              <w:t>1.</w:t>
            </w:r>
          </w:p>
        </w:tc>
        <w:tc>
          <w:tcPr>
            <w:tcW w:w="7143" w:type="dxa"/>
          </w:tcPr>
          <w:p w14:paraId="774F4AC4" w14:textId="7CB44171" w:rsidR="006B4D84" w:rsidRPr="00055D8E" w:rsidRDefault="006B4D84" w:rsidP="003C2E14">
            <w:pPr>
              <w:pStyle w:val="TableBlock"/>
              <w:rPr>
                <w:rFonts w:ascii="David" w:hAnsi="David"/>
                <w:rtl/>
              </w:rPr>
            </w:pPr>
            <w:r w:rsidRPr="00055D8E">
              <w:rPr>
                <w:rFonts w:ascii="David" w:hAnsi="David"/>
                <w:rtl/>
              </w:rPr>
              <w:t>בחוק הרשויות המקומיות (פטור חיילים, נפגעי מלחמה ושוטרים מארנונה), התשי"ג–1953</w:t>
            </w:r>
            <w:r w:rsidRPr="003C2E14">
              <w:rPr>
                <w:rStyle w:val="a6"/>
                <w:rFonts w:ascii="David" w:hAnsi="David"/>
                <w:sz w:val="26"/>
                <w:rtl/>
              </w:rPr>
              <w:footnoteReference w:id="2"/>
            </w:r>
            <w:r w:rsidR="003C2E14">
              <w:rPr>
                <w:rFonts w:ascii="David" w:hAnsi="David" w:hint="cs"/>
                <w:rtl/>
              </w:rPr>
              <w:t xml:space="preserve"> (להלן </w:t>
            </w:r>
            <w:r w:rsidR="003C2E14">
              <w:rPr>
                <w:rFonts w:ascii="David" w:hAnsi="David"/>
                <w:rtl/>
              </w:rPr>
              <w:t>–</w:t>
            </w:r>
            <w:r w:rsidR="003C2E14">
              <w:rPr>
                <w:rFonts w:ascii="David" w:hAnsi="David" w:hint="cs"/>
                <w:rtl/>
              </w:rPr>
              <w:t xml:space="preserve"> החוק העיקרי)</w:t>
            </w:r>
            <w:r w:rsidRPr="00055D8E">
              <w:rPr>
                <w:rFonts w:ascii="David" w:hAnsi="David"/>
                <w:rtl/>
              </w:rPr>
              <w:t>, בסעיף 2, אחרי פסקה (1) יבוא:</w:t>
            </w:r>
          </w:p>
        </w:tc>
      </w:tr>
      <w:tr w:rsidR="006B4D84" w:rsidRPr="00055D8E" w14:paraId="1AB7775B" w14:textId="77777777" w:rsidTr="003C2E14">
        <w:trPr>
          <w:cantSplit/>
        </w:trPr>
        <w:tc>
          <w:tcPr>
            <w:tcW w:w="1871" w:type="dxa"/>
          </w:tcPr>
          <w:p w14:paraId="30DFC022" w14:textId="77777777" w:rsidR="006B4D84" w:rsidRPr="00055D8E" w:rsidRDefault="006B4D84" w:rsidP="00C13783">
            <w:pPr>
              <w:pStyle w:val="TableSideHeading"/>
              <w:keepLines w:val="0"/>
              <w:rPr>
                <w:rFonts w:ascii="David" w:hAnsi="David"/>
              </w:rPr>
            </w:pPr>
          </w:p>
        </w:tc>
        <w:tc>
          <w:tcPr>
            <w:tcW w:w="624" w:type="dxa"/>
          </w:tcPr>
          <w:p w14:paraId="12DA9FB0" w14:textId="77777777" w:rsidR="006B4D84" w:rsidRPr="00055D8E" w:rsidRDefault="006B4D84" w:rsidP="00C13783">
            <w:pPr>
              <w:pStyle w:val="TableText"/>
              <w:rPr>
                <w:rFonts w:ascii="David" w:hAnsi="David"/>
              </w:rPr>
            </w:pPr>
          </w:p>
        </w:tc>
        <w:tc>
          <w:tcPr>
            <w:tcW w:w="7143" w:type="dxa"/>
          </w:tcPr>
          <w:p w14:paraId="682CD36A" w14:textId="3D93CA6D" w:rsidR="006B4D84" w:rsidRPr="00055D8E" w:rsidRDefault="006B4D84" w:rsidP="003C2E14">
            <w:pPr>
              <w:pStyle w:val="TableBlock"/>
              <w:rPr>
                <w:rFonts w:ascii="David" w:hAnsi="David"/>
                <w:rtl/>
              </w:rPr>
            </w:pPr>
            <w:r w:rsidRPr="00055D8E">
              <w:rPr>
                <w:rFonts w:ascii="David" w:hAnsi="David"/>
                <w:rtl/>
              </w:rPr>
              <w:t>"(1א)</w:t>
            </w:r>
            <w:r w:rsidRPr="00055D8E">
              <w:rPr>
                <w:rFonts w:ascii="David" w:hAnsi="David"/>
                <w:rtl/>
              </w:rPr>
              <w:tab/>
              <w:t>על אף האמור בפסקה (1), חייל שהוכר כחייל בודד לפי פקודות הצבא, כל עוד הוא חייל בודד כאמור ועד תום שניים עשר חודשים מיום שחרורו;".</w:t>
            </w:r>
          </w:p>
        </w:tc>
      </w:tr>
      <w:tr w:rsidR="006B4D84" w:rsidRPr="00055D8E" w14:paraId="383449C1" w14:textId="77777777" w:rsidTr="003C2E14">
        <w:trPr>
          <w:cantSplit/>
        </w:trPr>
        <w:tc>
          <w:tcPr>
            <w:tcW w:w="1871" w:type="dxa"/>
          </w:tcPr>
          <w:p w14:paraId="44F31E19" w14:textId="736A6DD7" w:rsidR="006B4D84" w:rsidRPr="00055D8E" w:rsidRDefault="006B4D84" w:rsidP="006B4D84">
            <w:pPr>
              <w:pStyle w:val="TableSideHeading"/>
              <w:keepLines w:val="0"/>
              <w:rPr>
                <w:rFonts w:ascii="David" w:hAnsi="David"/>
              </w:rPr>
            </w:pPr>
            <w:r w:rsidRPr="00055D8E">
              <w:rPr>
                <w:rFonts w:ascii="David" w:hAnsi="David"/>
                <w:rtl/>
              </w:rPr>
              <w:t>תיקון סעיף 6</w:t>
            </w:r>
          </w:p>
        </w:tc>
        <w:tc>
          <w:tcPr>
            <w:tcW w:w="624" w:type="dxa"/>
          </w:tcPr>
          <w:p w14:paraId="3DD684B1" w14:textId="443FDE7D" w:rsidR="006B4D84" w:rsidRPr="00055D8E" w:rsidRDefault="006B4D84" w:rsidP="006B4D84">
            <w:pPr>
              <w:pStyle w:val="TableText"/>
              <w:rPr>
                <w:rFonts w:ascii="David" w:hAnsi="David"/>
              </w:rPr>
            </w:pPr>
            <w:r w:rsidRPr="00055D8E">
              <w:rPr>
                <w:rFonts w:ascii="David" w:hAnsi="David"/>
                <w:rtl/>
              </w:rPr>
              <w:t>2.</w:t>
            </w:r>
          </w:p>
        </w:tc>
        <w:tc>
          <w:tcPr>
            <w:tcW w:w="7143" w:type="dxa"/>
          </w:tcPr>
          <w:p w14:paraId="69AD4B72" w14:textId="2A3F86C9" w:rsidR="006B4D84" w:rsidRPr="00055D8E" w:rsidRDefault="006B4D84" w:rsidP="003C2E14">
            <w:pPr>
              <w:pStyle w:val="TableBlock"/>
              <w:rPr>
                <w:rFonts w:ascii="David" w:hAnsi="David"/>
                <w:rtl/>
              </w:rPr>
            </w:pPr>
            <w:r w:rsidRPr="00055D8E">
              <w:rPr>
                <w:rFonts w:ascii="David" w:hAnsi="David"/>
                <w:sz w:val="26"/>
                <w:rtl/>
              </w:rPr>
              <w:t>בסעיף 6</w:t>
            </w:r>
            <w:r w:rsidR="003C2E14">
              <w:rPr>
                <w:rFonts w:ascii="David" w:hAnsi="David" w:hint="cs"/>
                <w:sz w:val="26"/>
                <w:rtl/>
              </w:rPr>
              <w:t xml:space="preserve"> לחוק העיקרי</w:t>
            </w:r>
            <w:r w:rsidRPr="00055D8E">
              <w:rPr>
                <w:rFonts w:ascii="David" w:hAnsi="David"/>
                <w:sz w:val="26"/>
                <w:rtl/>
              </w:rPr>
              <w:t>, האמור בו יסומן "(א)" ואחריו יבוא:</w:t>
            </w:r>
          </w:p>
        </w:tc>
      </w:tr>
      <w:tr w:rsidR="006B4D84" w:rsidRPr="00055D8E" w14:paraId="010EDDAB" w14:textId="77777777" w:rsidTr="003C2E14">
        <w:trPr>
          <w:cantSplit/>
        </w:trPr>
        <w:tc>
          <w:tcPr>
            <w:tcW w:w="1871" w:type="dxa"/>
          </w:tcPr>
          <w:p w14:paraId="140A8503" w14:textId="77777777" w:rsidR="006B4D84" w:rsidRPr="00055D8E" w:rsidRDefault="006B4D84" w:rsidP="006B4D84">
            <w:pPr>
              <w:pStyle w:val="TableSideHeading"/>
              <w:keepLines w:val="0"/>
              <w:rPr>
                <w:rFonts w:ascii="David" w:hAnsi="David"/>
                <w:rtl/>
              </w:rPr>
            </w:pPr>
          </w:p>
        </w:tc>
        <w:tc>
          <w:tcPr>
            <w:tcW w:w="624" w:type="dxa"/>
          </w:tcPr>
          <w:p w14:paraId="729D84AD" w14:textId="77777777" w:rsidR="006B4D84" w:rsidRPr="00055D8E" w:rsidRDefault="006B4D84" w:rsidP="006B4D84">
            <w:pPr>
              <w:pStyle w:val="TableText"/>
              <w:rPr>
                <w:rFonts w:ascii="David" w:hAnsi="David"/>
                <w:rtl/>
              </w:rPr>
            </w:pPr>
          </w:p>
        </w:tc>
        <w:tc>
          <w:tcPr>
            <w:tcW w:w="7143" w:type="dxa"/>
          </w:tcPr>
          <w:p w14:paraId="1FF7D0B8" w14:textId="325A8CCA" w:rsidR="006B4D84" w:rsidRPr="00055D8E" w:rsidRDefault="006B4D84" w:rsidP="003C2E14">
            <w:pPr>
              <w:pStyle w:val="TableBlock"/>
              <w:rPr>
                <w:rFonts w:ascii="David" w:hAnsi="David"/>
                <w:sz w:val="26"/>
                <w:rtl/>
              </w:rPr>
            </w:pPr>
            <w:r w:rsidRPr="00055D8E">
              <w:rPr>
                <w:rFonts w:ascii="David" w:hAnsi="David"/>
                <w:sz w:val="26"/>
                <w:rtl/>
              </w:rPr>
              <w:t>"(ב)</w:t>
            </w:r>
            <w:r w:rsidRPr="00055D8E">
              <w:rPr>
                <w:rFonts w:ascii="David" w:hAnsi="David"/>
                <w:sz w:val="26"/>
                <w:rtl/>
              </w:rPr>
              <w:tab/>
              <w:t>חיילים שהוכרו כחיילים בודדים על פי פקודות הצבא, המתגוררים בדירה ששטחה עולה על 70 מ"ר, לעניין סעיף קטן (א), יהיו זכאים לפטור כאמור לגבי 70 מ"ר מתוך שטח הדירה הכולל עבור כל חייל."</w:t>
            </w:r>
          </w:p>
        </w:tc>
      </w:tr>
    </w:tbl>
    <w:p w14:paraId="0B6A9C7A" w14:textId="77777777" w:rsidR="006B4D84" w:rsidRPr="00055D8E" w:rsidRDefault="006B4D84" w:rsidP="006B4D84">
      <w:pPr>
        <w:pStyle w:val="HeadDivreiHesber"/>
        <w:spacing w:before="0" w:after="0"/>
        <w:rPr>
          <w:rFonts w:ascii="David" w:hAnsi="David"/>
          <w:rtl/>
        </w:rPr>
      </w:pPr>
    </w:p>
    <w:p w14:paraId="1401B390" w14:textId="77777777" w:rsidR="006B4D84" w:rsidRPr="00055D8E" w:rsidRDefault="006B4D84" w:rsidP="006B4D84">
      <w:pPr>
        <w:pStyle w:val="HeadDivreiHesber"/>
        <w:rPr>
          <w:rFonts w:ascii="David" w:hAnsi="David"/>
          <w:rtl/>
        </w:rPr>
      </w:pPr>
      <w:r w:rsidRPr="00055D8E">
        <w:rPr>
          <w:rFonts w:ascii="David" w:hAnsi="David"/>
          <w:rtl/>
        </w:rPr>
        <w:t>דברי הסבר</w:t>
      </w:r>
    </w:p>
    <w:p w14:paraId="20525A7B" w14:textId="77777777" w:rsidR="006B4D84" w:rsidRPr="00055D8E" w:rsidRDefault="006B4D84" w:rsidP="006B4D84">
      <w:pPr>
        <w:pStyle w:val="Hesber"/>
        <w:rPr>
          <w:rFonts w:ascii="David" w:hAnsi="David"/>
          <w:rtl/>
        </w:rPr>
      </w:pPr>
      <w:r w:rsidRPr="00055D8E">
        <w:rPr>
          <w:rFonts w:ascii="David" w:hAnsi="David"/>
          <w:rtl/>
        </w:rPr>
        <w:t>חוק הרשויות המקומיות (פטור חיילים, נפגעי מלחמה ושוטרים מארנונה), התשי"ג–1953 (להלן – החוק), קובע פטור מתשלומי ארנונה לחיילים בשירות סדיר. החוק אינו מבחין בין חיילים בודדים בשירות סדיר לכלל החיילים.</w:t>
      </w:r>
    </w:p>
    <w:p w14:paraId="1265D8E2" w14:textId="77777777" w:rsidR="006B4D84" w:rsidRPr="00055D8E" w:rsidRDefault="006B4D84" w:rsidP="006B4D84">
      <w:pPr>
        <w:pStyle w:val="Hesber"/>
        <w:rPr>
          <w:rFonts w:ascii="David" w:hAnsi="David"/>
          <w:rtl/>
        </w:rPr>
      </w:pPr>
      <w:r w:rsidRPr="00055D8E">
        <w:rPr>
          <w:rFonts w:ascii="David" w:hAnsi="David"/>
          <w:rtl/>
        </w:rPr>
        <w:t>חיילים בודדים שוכרים דירות באופן עצמאי ברחבי הארץ, מכלכלים עצמם, לעיתים בדירות שותפים ולעיתים לבד בדירות קטנות. במרבית המקרים מתקשים החיילים הבודדים לעמוד בכלל הוצאות המחייה ובד בבד להחזיק את ראשם מעל המים.</w:t>
      </w:r>
    </w:p>
    <w:p w14:paraId="683E126B" w14:textId="77777777" w:rsidR="006B4D84" w:rsidRPr="00055D8E" w:rsidRDefault="006B4D84" w:rsidP="006B4D84">
      <w:pPr>
        <w:pStyle w:val="Hesber"/>
        <w:rPr>
          <w:rFonts w:ascii="David" w:hAnsi="David"/>
          <w:rtl/>
        </w:rPr>
      </w:pPr>
      <w:r w:rsidRPr="00055D8E">
        <w:rPr>
          <w:rFonts w:ascii="David" w:hAnsi="David"/>
          <w:rtl/>
        </w:rPr>
        <w:t xml:space="preserve">לפיכך, מוצע לקבוע פטור מיוחד, כך שחיילים השוכרים דירה שהוכרו כחיילים בודדים יהיו זכאים לפטור מארנונה למשך שירותם הצבאי כפי שקובע החוק כיום. כמו כן, מוצע להאריך את תקופת הפטור לאחר שחרורם לשניים עשר החודשים שלאחר מכן ולא לארבעה חודשים בלבד. מטרת ההארכה כאמור לעזור לאותם חיילים בודדים להתחיל את חייהם העצמאיים ביתר קלות ולהתמודד עם התקופה שלאחר השחרור. </w:t>
      </w:r>
    </w:p>
    <w:p w14:paraId="204E8CA2" w14:textId="77777777" w:rsidR="006B4D84" w:rsidRPr="007C576B" w:rsidRDefault="006B4D84" w:rsidP="007C576B">
      <w:pPr>
        <w:pStyle w:val="Hesber"/>
        <w:rPr>
          <w:rtl/>
        </w:rPr>
      </w:pPr>
      <w:r w:rsidRPr="007C576B">
        <w:rPr>
          <w:rtl/>
        </w:rPr>
        <w:t xml:space="preserve">בנוסף, החוק קובע פטור מתשלומי ארנונה לחיילים בשירות סדיר. החוק מגביל את הפטור וקובע כי </w:t>
      </w:r>
      <w:r w:rsidRPr="007C576B">
        <w:rPr>
          <w:rtl/>
        </w:rPr>
        <w:lastRenderedPageBreak/>
        <w:t>אם שטח הדירה עולה על 70 מ"ר, יינתן הפטור רק לגבי 70 מ"ר משטחה הכולל של הדירה.</w:t>
      </w:r>
    </w:p>
    <w:p w14:paraId="0075EAA3" w14:textId="77777777" w:rsidR="006B4D84" w:rsidRPr="007C576B" w:rsidRDefault="006B4D84" w:rsidP="007C576B">
      <w:pPr>
        <w:pStyle w:val="Hesber"/>
        <w:rPr>
          <w:rtl/>
        </w:rPr>
      </w:pPr>
      <w:r w:rsidRPr="007C576B">
        <w:rPr>
          <w:rtl/>
        </w:rPr>
        <w:t>חיילים בודדים שוכרים דירות באופן עצמאי ברחבי הארץ, ולעתים קרובות שוכרים מספר חיילים בודדים יחד דירה משותפת. במקרים אלו, שטח הדירה לרוב הוא מעל 70 מ"ר, ולכן החיילים חייבים בתשלום ארנונה, וזאת על אף שמדובר בדירה בה מתגוררים חיילים בודדים שהיו זכאים לפטור מתשלום ארנונה אילו היו שוכרים דירות קטנות יותר, כל אחד לחוד.</w:t>
      </w:r>
    </w:p>
    <w:p w14:paraId="46B72324" w14:textId="77777777" w:rsidR="006B4D84" w:rsidRPr="007C576B" w:rsidRDefault="006B4D84" w:rsidP="007C576B">
      <w:pPr>
        <w:pStyle w:val="Hesber"/>
        <w:rPr>
          <w:rtl/>
        </w:rPr>
      </w:pPr>
      <w:r w:rsidRPr="007C576B">
        <w:rPr>
          <w:rtl/>
        </w:rPr>
        <w:t>בהצעת חוק זו מוצע לקבוע חריג לסייג בחוק לגבי דירות ששטחן עולה על 70 מ"ר, כך שחיילים שהוכרו בודדים השוכרים יחד דירה ששטחה עולה על 70 מ"ר, יהיו זכאים לפטור מארנונה לגבי 70 מ"ר עבור כל אחד.</w:t>
      </w:r>
    </w:p>
    <w:p w14:paraId="6D91DB81" w14:textId="77777777" w:rsidR="00055D8E" w:rsidRPr="007C576B" w:rsidRDefault="006B4D84" w:rsidP="007C576B">
      <w:pPr>
        <w:pStyle w:val="Hesber"/>
        <w:rPr>
          <w:rtl/>
        </w:rPr>
      </w:pPr>
      <w:r w:rsidRPr="007C576B">
        <w:rPr>
          <w:rtl/>
        </w:rPr>
        <w:t xml:space="preserve">תיקון מוצע זה נועד לתת מענה למצב המתואר מאחר שבהתאם לחוק, הרשות המקומית מעניקה פטור אך ורק לגבי 70 מ"ר משטח הדירה, תוך פירוש דווקני של החוק שלא לוקח בחשבון את כוונת המחוקק, להעניק לכל חייל בשירות סדיר את הזכות לפטור מארנונה לשטח של עד 70 מ"ר. </w:t>
      </w:r>
    </w:p>
    <w:p w14:paraId="606273B2" w14:textId="69C98406" w:rsidR="00055D8E" w:rsidRPr="007C576B" w:rsidRDefault="00055D8E" w:rsidP="007C576B">
      <w:pPr>
        <w:pStyle w:val="Hesber"/>
        <w:rPr>
          <w:rtl/>
        </w:rPr>
      </w:pPr>
    </w:p>
    <w:p w14:paraId="1ECF3D17" w14:textId="77777777" w:rsidR="00605CF7" w:rsidRDefault="00923203">
      <w:pPr>
        <w:jc w:val="left"/>
      </w:pPr>
      <w:bookmarkStart w:id="9" w:name="selectedDocDateB"/>
      <w:bookmarkEnd w:id="9"/>
      <w:r>
        <w:rPr>
          <w:rFonts w:eastAsia="David" w:hint="cs"/>
          <w:sz w:val="26"/>
          <w:szCs w:val="26"/>
          <w:rtl/>
        </w:rPr>
        <w:t>--------------------------------</w:t>
      </w:r>
    </w:p>
    <w:p w14:paraId="0F675FD8" w14:textId="77777777" w:rsidR="00605CF7" w:rsidRDefault="00923203">
      <w:pPr>
        <w:jc w:val="left"/>
      </w:pPr>
      <w:r>
        <w:rPr>
          <w:rFonts w:eastAsia="David" w:hint="cs"/>
          <w:sz w:val="26"/>
          <w:szCs w:val="26"/>
          <w:rtl/>
        </w:rPr>
        <w:t>הוגשה ליו"ר הכנסת והסגנים</w:t>
      </w:r>
    </w:p>
    <w:p w14:paraId="0BD495B3" w14:textId="77777777" w:rsidR="00605CF7" w:rsidRDefault="00923203">
      <w:pPr>
        <w:jc w:val="left"/>
      </w:pPr>
      <w:r>
        <w:rPr>
          <w:rFonts w:eastAsia="David" w:hint="cs"/>
          <w:sz w:val="26"/>
          <w:szCs w:val="26"/>
          <w:rtl/>
        </w:rPr>
        <w:t>והונחה על שולחן הכנסת ביום</w:t>
      </w:r>
    </w:p>
    <w:p w14:paraId="757F984A" w14:textId="77777777" w:rsidR="00605CF7" w:rsidRDefault="00923203">
      <w:pPr>
        <w:jc w:val="left"/>
      </w:pPr>
      <w:r>
        <w:rPr>
          <w:rFonts w:eastAsia="David" w:hint="cs"/>
          <w:sz w:val="26"/>
          <w:szCs w:val="26"/>
          <w:rtl/>
        </w:rPr>
        <w:t xml:space="preserve">כ"ה בסיוון התשפ"ד (01.07.2024) </w:t>
      </w:r>
    </w:p>
    <w:p w14:paraId="372197F4" w14:textId="77777777" w:rsidR="00605CF7" w:rsidRDefault="00605CF7">
      <w:pPr>
        <w:spacing w:line="276" w:lineRule="auto"/>
        <w:jc w:val="left"/>
      </w:pPr>
    </w:p>
    <w:sectPr w:rsidR="00605CF7" w:rsidSect="003C2E1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5096EA3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C464E">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3C2E14">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108036B" w14:textId="77777777" w:rsidR="006B4D84" w:rsidRDefault="006B4D84" w:rsidP="006B4D84">
      <w:pPr>
        <w:pStyle w:val="a4"/>
      </w:pPr>
      <w:r>
        <w:rPr>
          <w:rStyle w:val="a6"/>
        </w:rPr>
        <w:footnoteRef/>
      </w:r>
      <w:r>
        <w:rPr>
          <w:rtl/>
        </w:rPr>
        <w:t xml:space="preserve"> </w:t>
      </w:r>
      <w:r>
        <w:rPr>
          <w:rFonts w:hint="cs"/>
          <w:rtl/>
        </w:rPr>
        <w:t>ס"ח תשי"ג, עמ'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5D8E"/>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82"/>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C2E14"/>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C464E"/>
    <w:rsid w:val="005D51AE"/>
    <w:rsid w:val="00605CF7"/>
    <w:rsid w:val="0062674B"/>
    <w:rsid w:val="006363B2"/>
    <w:rsid w:val="00644940"/>
    <w:rsid w:val="006818A9"/>
    <w:rsid w:val="006A2D81"/>
    <w:rsid w:val="006B4D84"/>
    <w:rsid w:val="006C1D0D"/>
    <w:rsid w:val="0070601E"/>
    <w:rsid w:val="00712C72"/>
    <w:rsid w:val="00735FE9"/>
    <w:rsid w:val="00763CAA"/>
    <w:rsid w:val="00765F66"/>
    <w:rsid w:val="0078664F"/>
    <w:rsid w:val="007A27CE"/>
    <w:rsid w:val="007C3FA6"/>
    <w:rsid w:val="007C576B"/>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203"/>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C4C72"/>
    <w:rsid w:val="00BF148D"/>
    <w:rsid w:val="00C05C9E"/>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1E62EB9-B4CF-4D84-AA6F-D76785F9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E14"/>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C2E14"/>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C2E14"/>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C2E14"/>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C2E14"/>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C2E14"/>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C2E14"/>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C2E14"/>
    <w:rPr>
      <w:sz w:val="36"/>
      <w:szCs w:val="52"/>
    </w:rPr>
  </w:style>
  <w:style w:type="paragraph" w:customStyle="1" w:styleId="Cover3-Haknesset">
    <w:name w:val="Cover 3-Haknesset"/>
    <w:basedOn w:val="Cover1-Reshumot"/>
    <w:rsid w:val="003C2E14"/>
    <w:rPr>
      <w:b/>
      <w:bCs/>
      <w:spacing w:val="60"/>
    </w:rPr>
  </w:style>
  <w:style w:type="paragraph" w:customStyle="1" w:styleId="Cover4-Date">
    <w:name w:val="Cover 4-Date"/>
    <w:basedOn w:val="a"/>
    <w:rsid w:val="003C2E14"/>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C2E14"/>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C2E14"/>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C2E14"/>
    <w:pPr>
      <w:spacing w:before="120" w:after="120"/>
    </w:pPr>
    <w:rPr>
      <w:color w:val="FF0000"/>
      <w:w w:val="80"/>
    </w:rPr>
  </w:style>
  <w:style w:type="paragraph" w:styleId="a3">
    <w:name w:val="endnote text"/>
    <w:basedOn w:val="a"/>
    <w:semiHidden/>
    <w:rsid w:val="003C2E14"/>
    <w:pPr>
      <w:ind w:left="227" w:hanging="227"/>
    </w:pPr>
    <w:rPr>
      <w:sz w:val="14"/>
      <w:szCs w:val="22"/>
    </w:rPr>
  </w:style>
  <w:style w:type="paragraph" w:customStyle="1" w:styleId="TableText">
    <w:name w:val="Table Text"/>
    <w:basedOn w:val="a"/>
    <w:rsid w:val="003C2E14"/>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C2E14"/>
    <w:pPr>
      <w:outlineLvl w:val="2"/>
    </w:pPr>
  </w:style>
  <w:style w:type="paragraph" w:customStyle="1" w:styleId="TableBlock">
    <w:name w:val="Table Block"/>
    <w:basedOn w:val="TableText"/>
    <w:rsid w:val="003C2E14"/>
    <w:pPr>
      <w:jc w:val="both"/>
    </w:pPr>
  </w:style>
  <w:style w:type="paragraph" w:customStyle="1" w:styleId="TableHead">
    <w:name w:val="Table Head"/>
    <w:basedOn w:val="TableText"/>
    <w:rsid w:val="003C2E14"/>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C2E14"/>
    <w:pPr>
      <w:outlineLvl w:val="9"/>
    </w:pPr>
  </w:style>
  <w:style w:type="paragraph" w:customStyle="1" w:styleId="Hesber">
    <w:name w:val="Hesber"/>
    <w:basedOn w:val="a"/>
    <w:rsid w:val="003C2E14"/>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3C2E14"/>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3C2E14"/>
    <w:rPr>
      <w:vertAlign w:val="superscript"/>
    </w:rPr>
  </w:style>
  <w:style w:type="paragraph" w:customStyle="1" w:styleId="HesberHeading">
    <w:name w:val="Hesber Heading"/>
    <w:basedOn w:val="Hesber"/>
    <w:rsid w:val="003C2E14"/>
    <w:pPr>
      <w:tabs>
        <w:tab w:val="left" w:pos="624"/>
        <w:tab w:val="left" w:pos="1247"/>
      </w:tabs>
    </w:pPr>
    <w:rPr>
      <w:b/>
      <w:bCs/>
    </w:rPr>
  </w:style>
  <w:style w:type="paragraph" w:customStyle="1" w:styleId="HesberWriters">
    <w:name w:val="Hesber Writers"/>
    <w:basedOn w:val="Hesber"/>
    <w:rsid w:val="003C2E14"/>
    <w:pPr>
      <w:spacing w:before="120" w:after="120"/>
      <w:ind w:left="1418"/>
      <w:jc w:val="right"/>
    </w:pPr>
    <w:rPr>
      <w:b/>
      <w:bCs/>
    </w:rPr>
  </w:style>
  <w:style w:type="paragraph" w:customStyle="1" w:styleId="Hesber1st">
    <w:name w:val="Hesber 1st"/>
    <w:basedOn w:val="Hesber"/>
    <w:rsid w:val="003C2E14"/>
    <w:pPr>
      <w:tabs>
        <w:tab w:val="left" w:pos="680"/>
        <w:tab w:val="left" w:pos="1020"/>
      </w:tabs>
      <w:ind w:firstLine="0"/>
    </w:pPr>
  </w:style>
  <w:style w:type="character" w:styleId="a7">
    <w:name w:val="endnote reference"/>
    <w:basedOn w:val="a0"/>
    <w:semiHidden/>
    <w:rsid w:val="003C2E14"/>
    <w:rPr>
      <w:vertAlign w:val="superscript"/>
    </w:rPr>
  </w:style>
  <w:style w:type="paragraph" w:customStyle="1" w:styleId="TableBlockOutdent">
    <w:name w:val="Table BlockOutdent"/>
    <w:basedOn w:val="TableBlock"/>
    <w:rsid w:val="003C2E14"/>
    <w:pPr>
      <w:ind w:left="624" w:hanging="624"/>
    </w:pPr>
  </w:style>
  <w:style w:type="paragraph" w:styleId="a8">
    <w:name w:val="header"/>
    <w:basedOn w:val="a"/>
    <w:rsid w:val="003C2E14"/>
    <w:pPr>
      <w:tabs>
        <w:tab w:val="center" w:pos="4153"/>
        <w:tab w:val="right" w:pos="8306"/>
      </w:tabs>
    </w:pPr>
  </w:style>
  <w:style w:type="paragraph" w:styleId="a9">
    <w:name w:val="footer"/>
    <w:basedOn w:val="a"/>
    <w:rsid w:val="003C2E14"/>
    <w:pPr>
      <w:tabs>
        <w:tab w:val="center" w:pos="4153"/>
        <w:tab w:val="right" w:pos="8306"/>
      </w:tabs>
    </w:pPr>
  </w:style>
  <w:style w:type="paragraph" w:customStyle="1" w:styleId="HeadDivreiHesber">
    <w:name w:val="Head DivreiHesber"/>
    <w:basedOn w:val="a"/>
    <w:rsid w:val="003C2E14"/>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C2E14"/>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3C2E14"/>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6B4D84"/>
    <w:rPr>
      <w:rFonts w:ascii="Arial" w:eastAsia="Arial Unicode MS" w:hAnsi="Arial" w:cs="David"/>
      <w:snapToGrid w:val="0"/>
      <w:sz w:val="14"/>
    </w:rPr>
  </w:style>
  <w:style w:type="character" w:styleId="Hyperlink">
    <w:name w:val="Hyperlink"/>
    <w:basedOn w:val="a0"/>
    <w:uiPriority w:val="99"/>
    <w:unhideWhenUsed/>
    <w:rsid w:val="003C2E14"/>
    <w:rPr>
      <w:color w:val="0000FF" w:themeColor="hyperlink"/>
      <w:u w:val="single"/>
    </w:rPr>
  </w:style>
  <w:style w:type="character" w:customStyle="1" w:styleId="10">
    <w:name w:val="כותרת 1 תו"/>
    <w:basedOn w:val="a0"/>
    <w:link w:val="1"/>
    <w:uiPriority w:val="9"/>
    <w:rsid w:val="003C2E14"/>
    <w:rPr>
      <w:rFonts w:asciiTheme="majorHAnsi" w:eastAsiaTheme="majorEastAsia" w:hAnsiTheme="majorHAnsi" w:cs="David"/>
      <w:bCs/>
      <w:sz w:val="32"/>
      <w:szCs w:val="36"/>
    </w:rPr>
  </w:style>
  <w:style w:type="character" w:customStyle="1" w:styleId="20">
    <w:name w:val="כותרת 2 תו"/>
    <w:basedOn w:val="a0"/>
    <w:link w:val="2"/>
    <w:rsid w:val="003C2E14"/>
    <w:rPr>
      <w:rFonts w:asciiTheme="majorHAnsi" w:eastAsiaTheme="majorEastAsia" w:hAnsiTheme="majorHAnsi" w:cs="David"/>
      <w:bCs/>
      <w:sz w:val="26"/>
      <w:szCs w:val="36"/>
      <w:u w:val="single"/>
    </w:rPr>
  </w:style>
  <w:style w:type="character" w:customStyle="1" w:styleId="30">
    <w:name w:val="כותרת 3 תו"/>
    <w:basedOn w:val="a0"/>
    <w:link w:val="3"/>
    <w:rsid w:val="003C2E14"/>
    <w:rPr>
      <w:rFonts w:asciiTheme="majorHAnsi" w:eastAsiaTheme="majorEastAsia" w:hAnsiTheme="majorHAnsi" w:cs="David"/>
      <w:sz w:val="24"/>
      <w:szCs w:val="28"/>
      <w:u w:val="double"/>
    </w:rPr>
  </w:style>
  <w:style w:type="character" w:customStyle="1" w:styleId="40">
    <w:name w:val="כותרת 4 תו"/>
    <w:basedOn w:val="a0"/>
    <w:link w:val="4"/>
    <w:uiPriority w:val="9"/>
    <w:rsid w:val="003C2E14"/>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C2E14"/>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3C2E14"/>
    <w:pPr>
      <w:widowControl/>
      <w:spacing w:before="120" w:after="120"/>
      <w:outlineLvl w:val="9"/>
    </w:pPr>
    <w:rPr>
      <w:rtl/>
      <w:cs/>
    </w:rPr>
  </w:style>
  <w:style w:type="paragraph" w:styleId="TOC1">
    <w:name w:val="toc 1"/>
    <w:basedOn w:val="a"/>
    <w:next w:val="a"/>
    <w:autoRedefine/>
    <w:uiPriority w:val="39"/>
    <w:unhideWhenUsed/>
    <w:rsid w:val="003C2E14"/>
    <w:pPr>
      <w:tabs>
        <w:tab w:val="right" w:leader="dot" w:pos="9629"/>
      </w:tabs>
      <w:spacing w:after="100"/>
    </w:pPr>
    <w:rPr>
      <w:bCs/>
      <w:szCs w:val="22"/>
    </w:rPr>
  </w:style>
  <w:style w:type="paragraph" w:styleId="TOC2">
    <w:name w:val="toc 2"/>
    <w:basedOn w:val="a"/>
    <w:next w:val="a"/>
    <w:uiPriority w:val="39"/>
    <w:unhideWhenUsed/>
    <w:rsid w:val="003C2E14"/>
    <w:pPr>
      <w:tabs>
        <w:tab w:val="right" w:leader="dot" w:pos="9628"/>
      </w:tabs>
      <w:spacing w:after="100"/>
    </w:pPr>
    <w:rPr>
      <w:szCs w:val="22"/>
    </w:rPr>
  </w:style>
  <w:style w:type="paragraph" w:styleId="TOC3">
    <w:name w:val="toc 3"/>
    <w:basedOn w:val="a"/>
    <w:next w:val="a"/>
    <w:uiPriority w:val="39"/>
    <w:unhideWhenUsed/>
    <w:rsid w:val="003C2E14"/>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C2E14"/>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C2E14"/>
    <w:pPr>
      <w:tabs>
        <w:tab w:val="right" w:leader="dot" w:pos="9628"/>
      </w:tabs>
      <w:spacing w:after="100"/>
      <w:ind w:left="567"/>
    </w:pPr>
    <w:rPr>
      <w:szCs w:val="22"/>
    </w:rPr>
  </w:style>
  <w:style w:type="paragraph" w:styleId="TOC6">
    <w:name w:val="toc 6"/>
    <w:basedOn w:val="a"/>
    <w:next w:val="a"/>
    <w:autoRedefine/>
    <w:semiHidden/>
    <w:unhideWhenUsed/>
    <w:rsid w:val="003C2E14"/>
    <w:pPr>
      <w:spacing w:after="100"/>
      <w:ind w:left="850"/>
    </w:pPr>
  </w:style>
  <w:style w:type="paragraph" w:styleId="TOC7">
    <w:name w:val="toc 7"/>
    <w:basedOn w:val="a"/>
    <w:next w:val="a"/>
    <w:autoRedefine/>
    <w:semiHidden/>
    <w:unhideWhenUsed/>
    <w:rsid w:val="003C2E14"/>
    <w:pPr>
      <w:spacing w:after="100"/>
      <w:ind w:left="1020"/>
    </w:pPr>
  </w:style>
  <w:style w:type="paragraph" w:styleId="TOC8">
    <w:name w:val="toc 8"/>
    <w:basedOn w:val="a"/>
    <w:next w:val="a"/>
    <w:autoRedefine/>
    <w:semiHidden/>
    <w:unhideWhenUsed/>
    <w:rsid w:val="003C2E14"/>
    <w:pPr>
      <w:spacing w:after="100"/>
      <w:ind w:left="1190"/>
    </w:pPr>
  </w:style>
  <w:style w:type="paragraph" w:styleId="TOC9">
    <w:name w:val="toc 9"/>
    <w:basedOn w:val="a"/>
    <w:next w:val="a"/>
    <w:autoRedefine/>
    <w:semiHidden/>
    <w:unhideWhenUsed/>
    <w:rsid w:val="003C2E14"/>
    <w:pPr>
      <w:spacing w:after="100"/>
      <w:ind w:left="1360"/>
    </w:pPr>
  </w:style>
  <w:style w:type="paragraph" w:customStyle="1" w:styleId="TableHead2">
    <w:name w:val="Table Head2"/>
    <w:basedOn w:val="TableHead"/>
    <w:qFormat/>
    <w:rsid w:val="003C2E14"/>
    <w:pPr>
      <w:outlineLvl w:val="9"/>
    </w:pPr>
  </w:style>
  <w:style w:type="paragraph" w:customStyle="1" w:styleId="TableSideHeading2">
    <w:name w:val="Table SideHeading2"/>
    <w:basedOn w:val="TableSideHeading"/>
    <w:autoRedefine/>
    <w:qFormat/>
    <w:rsid w:val="003C2E14"/>
    <w:pPr>
      <w:keepLines w:val="0"/>
      <w:outlineLvl w:val="9"/>
    </w:pPr>
  </w:style>
  <w:style w:type="paragraph" w:customStyle="1" w:styleId="0">
    <w:name w:val="סגנון שורה ראשונה:  0  ס''מ"/>
    <w:basedOn w:val="2"/>
    <w:rsid w:val="003C2E14"/>
    <w:rPr>
      <w:rFonts w:eastAsia="Times New Roman"/>
    </w:rPr>
  </w:style>
  <w:style w:type="paragraph" w:styleId="af">
    <w:name w:val="List Paragraph"/>
    <w:basedOn w:val="a"/>
    <w:uiPriority w:val="34"/>
    <w:qFormat/>
    <w:rsid w:val="003C2E14"/>
    <w:pPr>
      <w:widowControl/>
      <w:spacing w:line="259" w:lineRule="auto"/>
    </w:pPr>
    <w:rPr>
      <w:rFonts w:asciiTheme="minorHAnsi" w:hAnsiTheme="minorHAnsi"/>
      <w:sz w:val="22"/>
    </w:rPr>
  </w:style>
  <w:style w:type="table" w:styleId="af0">
    <w:name w:val="Table Grid"/>
    <w:basedOn w:val="a1"/>
    <w:rsid w:val="003C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C2E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C2E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3C2E14"/>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C2E14"/>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CFDE-4B59-434A-B40F-36C6C1CA5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290d5b49-c690-4c6f-bbb9-1e50dab33ee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2D9AC664-FB37-403E-A54C-3473745A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389</Words>
  <Characters>2218</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10</cp:revision>
  <cp:lastPrinted>2013-07-04T08:25:00Z</cp:lastPrinted>
  <dcterms:created xsi:type="dcterms:W3CDTF">2015-04-20T09:58:00Z</dcterms:created>
  <dcterms:modified xsi:type="dcterms:W3CDTF">2024-07-01T04:52:00Z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2218881</vt:r8>
  </property>
</Properties>
</file>