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E635A2" w:rsidRDefault="004033D8" w:rsidP="00E635A2">
      <w:pPr>
        <w:jc w:val="right"/>
        <w:rPr>
          <w:b/>
          <w:bCs/>
          <w:sz w:val="20"/>
          <w:szCs w:val="20"/>
        </w:rPr>
      </w:pPr>
      <w:r w:rsidRPr="00E635A2">
        <w:rPr>
          <w:rFonts w:hint="cs"/>
          <w:sz w:val="20"/>
          <w:szCs w:val="20"/>
          <w:rtl/>
        </w:rPr>
        <w:t xml:space="preserve">מספר פנימי: </w:t>
      </w:r>
      <w:bookmarkStart w:id="0" w:name="LGS_Internal_ID"/>
      <w:r>
        <w:rPr>
          <w:rFonts w:hint="cs"/>
          <w:sz w:val="20"/>
          <w:szCs w:val="20"/>
          <w:rtl/>
        </w:rPr>
        <w:t>2219438</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וחמש</w:t>
      </w:r>
      <w:bookmarkEnd w:id="1"/>
    </w:p>
    <w:p w14:paraId="7F6961A3" w14:textId="77777777" w:rsidR="00E13C27" w:rsidRPr="00F67051" w:rsidRDefault="00E13C27" w:rsidP="00E13C27">
      <w:pPr>
        <w:rPr>
          <w:b/>
          <w:bCs/>
          <w:sz w:val="26"/>
          <w:szCs w:val="26"/>
          <w:rtl/>
        </w:rPr>
      </w:pPr>
    </w:p>
    <w:p w14:paraId="7F6961AA" w14:textId="051D39AA" w:rsidR="00E13C27" w:rsidRPr="00CF1AA2" w:rsidRDefault="008F6665" w:rsidP="00D416FC">
      <w:pPr>
        <w:pStyle w:val="David"/>
        <w:ind w:left="3544"/>
        <w:rPr>
          <w:b/>
          <w:bCs/>
          <w:sz w:val="16"/>
          <w:szCs w:val="16"/>
          <w:rtl/>
        </w:rPr>
      </w:pPr>
      <w:bookmarkStart w:id="2" w:name="LGS_Initiators_List"/>
      <w:r>
        <w:rPr>
          <w:b/>
          <w:bCs/>
          <w:rtl/>
        </w:rPr>
        <w:t>יוזם:</w:t>
      </w:r>
      <w:r>
        <w:tab/>
      </w:r>
      <w:r>
        <w:rPr>
          <w:b/>
          <w:bCs/>
          <w:rtl/>
        </w:rPr>
        <w:t xml:space="preserve">      חבר הכנסת</w:t>
      </w:r>
      <w:bookmarkEnd w:id="2"/>
      <w:r w:rsidR="00B35784" w:rsidRPr="00F67051">
        <w:rPr>
          <w:b/>
          <w:bCs/>
        </w:rPr>
        <w:tab/>
      </w:r>
      <w:bookmarkStart w:id="3" w:name="LGS_PM_Names"/>
      <w:r>
        <w:rPr>
          <w:rFonts w:hint="cs"/>
          <w:b/>
          <w:bCs/>
          <w:rtl/>
        </w:rPr>
        <w:t xml:space="preserve">שמחה </w:t>
      </w:r>
      <w:proofErr w:type="spellStart"/>
      <w:r>
        <w:rPr>
          <w:rFonts w:hint="cs"/>
          <w:b/>
          <w:bCs/>
          <w:rtl/>
        </w:rPr>
        <w:t>רוטמן</w:t>
      </w:r>
      <w:bookmarkStart w:id="4" w:name="LGS_Join_List"/>
      <w:bookmarkEnd w:id="3"/>
      <w:proofErr w:type="spellEnd"/>
      <w:r w:rsidR="007D585A">
        <w:rPr>
          <w:rtl/>
        </w:rPr>
        <w:t xml:space="preserve"> </w:t>
      </w:r>
      <w:bookmarkEnd w:id="4"/>
      <w:r w:rsidR="002200A1" w:rsidRPr="00CF1AA2">
        <w:rPr>
          <w:rFonts w:hint="cs"/>
          <w:rtl/>
        </w:rPr>
        <w:tab/>
      </w:r>
      <w:bookmarkStart w:id="5" w:name="LGS_PM_NamesJoin"/>
      <w:r w:rsidR="007D585A">
        <w:rPr>
          <w:rFonts w:hint="cs"/>
          <w:rtl/>
        </w:rPr>
        <w:t xml:space="preserve"> </w:t>
      </w:r>
      <w:bookmarkEnd w:id="5"/>
    </w:p>
    <w:p w14:paraId="34DB4103" w14:textId="77777777" w:rsidR="00904591" w:rsidRPr="00904591" w:rsidRDefault="00266D86" w:rsidP="0036422C">
      <w:pPr>
        <w:pStyle w:val="David"/>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304149D5" w:rsidR="00E13C27" w:rsidRPr="00E06736" w:rsidRDefault="00904591" w:rsidP="00D416FC">
      <w:pPr>
        <w:pStyle w:val="David"/>
        <w:spacing w:line="240" w:lineRule="auto"/>
        <w:ind w:left="6424" w:firstLine="56"/>
        <w:rPr>
          <w:rtl/>
        </w:rPr>
      </w:pPr>
      <w:bookmarkStart w:id="6" w:name="Private_Number"/>
      <w:r>
        <w:rPr>
          <w:rFonts w:hint="cs"/>
          <w:rtl/>
        </w:rPr>
        <w:t>פ/4691/25</w:t>
      </w:r>
      <w:bookmarkEnd w:id="6"/>
    </w:p>
    <w:p w14:paraId="7F6961AD" w14:textId="18940687" w:rsidR="00E13C27" w:rsidRDefault="00A443CF" w:rsidP="00D4778C">
      <w:pPr>
        <w:pStyle w:val="HeadHatzaotHok"/>
        <w:rPr>
          <w:rtl/>
        </w:rPr>
      </w:pPr>
      <w:bookmarkStart w:id="7" w:name="LGS_Subject"/>
      <w:r>
        <w:rPr>
          <w:rFonts w:hint="cs"/>
          <w:rtl/>
        </w:rPr>
        <w:t xml:space="preserve">הצעת חוק נציבות תלונות הציבור על שופטים (תיקון – מינוי הנציב), </w:t>
      </w:r>
      <w:proofErr w:type="spellStart"/>
      <w:r>
        <w:rPr>
          <w:rFonts w:hint="cs"/>
          <w:rtl/>
        </w:rPr>
        <w:t>התשפ"ד</w:t>
      </w:r>
      <w:proofErr w:type="spellEnd"/>
      <w:r>
        <w:rPr>
          <w:rFonts w:hint="cs"/>
          <w:rtl/>
        </w:rPr>
        <w:t>–2024</w:t>
      </w:r>
      <w:bookmarkEnd w:id="7"/>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19"/>
      </w:tblGrid>
      <w:tr w:rsidR="00D4778C" w14:paraId="1DCBF9F4" w14:textId="77777777" w:rsidTr="00D416FC">
        <w:trPr>
          <w:cantSplit/>
        </w:trPr>
        <w:tc>
          <w:tcPr>
            <w:tcW w:w="1871" w:type="dxa"/>
          </w:tcPr>
          <w:p w14:paraId="369EBBA8" w14:textId="77777777" w:rsidR="00D4778C" w:rsidRPr="004A6702" w:rsidRDefault="00D4778C" w:rsidP="00AD1EA2">
            <w:pPr>
              <w:pStyle w:val="TableSideHeading"/>
            </w:pPr>
            <w:r w:rsidRPr="004A6702">
              <w:rPr>
                <w:rFonts w:hint="cs"/>
                <w:rtl/>
              </w:rPr>
              <w:t xml:space="preserve">תיקון סעיף 3 </w:t>
            </w:r>
          </w:p>
        </w:tc>
        <w:tc>
          <w:tcPr>
            <w:tcW w:w="624" w:type="dxa"/>
          </w:tcPr>
          <w:p w14:paraId="0291EAC9" w14:textId="77777777" w:rsidR="00D4778C" w:rsidRDefault="00D4778C" w:rsidP="00AD1EA2">
            <w:pPr>
              <w:pStyle w:val="TableText"/>
              <w:keepLines w:val="0"/>
            </w:pPr>
            <w:r>
              <w:rPr>
                <w:rFonts w:hint="cs"/>
                <w:rtl/>
              </w:rPr>
              <w:t>1.</w:t>
            </w:r>
          </w:p>
        </w:tc>
        <w:tc>
          <w:tcPr>
            <w:tcW w:w="7143" w:type="dxa"/>
            <w:gridSpan w:val="2"/>
          </w:tcPr>
          <w:p w14:paraId="28A00426" w14:textId="0223F566" w:rsidR="00D4778C" w:rsidRPr="00D4778C" w:rsidRDefault="00D4778C" w:rsidP="00D416FC">
            <w:pPr>
              <w:pStyle w:val="TableBlock"/>
            </w:pPr>
            <w:r w:rsidRPr="00D4778C">
              <w:rPr>
                <w:rtl/>
              </w:rPr>
              <w:t xml:space="preserve">בחוק </w:t>
            </w:r>
            <w:r w:rsidRPr="00D4778C">
              <w:rPr>
                <w:rFonts w:hint="cs"/>
                <w:rtl/>
              </w:rPr>
              <w:t>נציבות תלונות הציבור על שופטים</w:t>
            </w:r>
            <w:r w:rsidRPr="00D4778C">
              <w:rPr>
                <w:rtl/>
              </w:rPr>
              <w:t>,</w:t>
            </w:r>
            <w:r w:rsidRPr="00D4778C">
              <w:rPr>
                <w:rFonts w:hint="cs"/>
                <w:rtl/>
              </w:rPr>
              <w:t xml:space="preserve"> </w:t>
            </w:r>
            <w:proofErr w:type="spellStart"/>
            <w:r w:rsidRPr="00D4778C">
              <w:rPr>
                <w:rFonts w:hint="cs"/>
                <w:rtl/>
              </w:rPr>
              <w:t>התשס"ב</w:t>
            </w:r>
            <w:proofErr w:type="spellEnd"/>
            <w:r w:rsidR="00D416FC">
              <w:rPr>
                <w:rFonts w:hint="eastAsia"/>
                <w:rtl/>
              </w:rPr>
              <w:t>–</w:t>
            </w:r>
            <w:r w:rsidRPr="00D4778C">
              <w:rPr>
                <w:rFonts w:hint="cs"/>
                <w:rtl/>
              </w:rPr>
              <w:t>2002</w:t>
            </w:r>
            <w:r w:rsidRPr="00D416FC">
              <w:rPr>
                <w:rStyle w:val="a6"/>
                <w:rFonts w:ascii="David" w:hAnsi="David"/>
                <w:sz w:val="26"/>
                <w:rtl/>
              </w:rPr>
              <w:footnoteReference w:id="2"/>
            </w:r>
            <w:r w:rsidRPr="00D4778C">
              <w:rPr>
                <w:rFonts w:hint="cs"/>
                <w:rtl/>
              </w:rPr>
              <w:t xml:space="preserve"> (להלן </w:t>
            </w:r>
            <w:r w:rsidRPr="00D4778C">
              <w:rPr>
                <w:rtl/>
              </w:rPr>
              <w:t>–</w:t>
            </w:r>
            <w:r w:rsidRPr="00D4778C">
              <w:rPr>
                <w:rFonts w:hint="cs"/>
                <w:rtl/>
              </w:rPr>
              <w:t xml:space="preserve"> החוק העיקרי), </w:t>
            </w:r>
            <w:r w:rsidR="00D416FC">
              <w:rPr>
                <w:rFonts w:hint="cs"/>
                <w:rtl/>
              </w:rPr>
              <w:t xml:space="preserve">בסעיף 3, במקום סעיפים קטנים </w:t>
            </w:r>
            <w:r w:rsidRPr="00D4778C">
              <w:rPr>
                <w:rFonts w:hint="cs"/>
                <w:rtl/>
              </w:rPr>
              <w:t>(ב) ו-(ג) יבוא:</w:t>
            </w:r>
            <w:r w:rsidRPr="00D4778C">
              <w:t xml:space="preserve"> </w:t>
            </w:r>
          </w:p>
        </w:tc>
      </w:tr>
      <w:tr w:rsidR="00D416FC" w14:paraId="6BBEEFDE" w14:textId="77777777" w:rsidTr="008E226E">
        <w:trPr>
          <w:cantSplit/>
        </w:trPr>
        <w:tc>
          <w:tcPr>
            <w:tcW w:w="1871" w:type="dxa"/>
          </w:tcPr>
          <w:p w14:paraId="3540B871" w14:textId="77777777" w:rsidR="00D416FC" w:rsidRDefault="00D416FC" w:rsidP="00AD1EA2">
            <w:pPr>
              <w:pStyle w:val="TableSideHeading"/>
              <w:keepLines w:val="0"/>
              <w:rPr>
                <w:sz w:val="26"/>
                <w:rtl/>
              </w:rPr>
            </w:pPr>
          </w:p>
        </w:tc>
        <w:tc>
          <w:tcPr>
            <w:tcW w:w="624" w:type="dxa"/>
          </w:tcPr>
          <w:p w14:paraId="0EF0A6BD" w14:textId="77777777" w:rsidR="00D416FC" w:rsidRDefault="00D416FC" w:rsidP="00AD1EA2">
            <w:pPr>
              <w:pStyle w:val="TableText"/>
              <w:keepLines w:val="0"/>
              <w:rPr>
                <w:rtl/>
              </w:rPr>
            </w:pPr>
          </w:p>
        </w:tc>
        <w:tc>
          <w:tcPr>
            <w:tcW w:w="7143" w:type="dxa"/>
            <w:gridSpan w:val="2"/>
          </w:tcPr>
          <w:p w14:paraId="4F1B775C" w14:textId="15DFDAEA" w:rsidR="00D416FC" w:rsidRPr="00D416FC" w:rsidRDefault="00D416FC" w:rsidP="00D416FC">
            <w:pPr>
              <w:pStyle w:val="TableBlock"/>
              <w:rPr>
                <w:rtl/>
              </w:rPr>
            </w:pPr>
            <w:r w:rsidRPr="00D416FC">
              <w:rPr>
                <w:rFonts w:hint="cs"/>
                <w:rtl/>
              </w:rPr>
              <w:t>"(ב)</w:t>
            </w:r>
            <w:r w:rsidRPr="00D416FC">
              <w:rPr>
                <w:rtl/>
              </w:rPr>
              <w:tab/>
              <w:t>הנציב יתמנה בידי נשיא המדינה לפי בחירת הכנסת שתיערך בהצבעה חשאית</w:t>
            </w:r>
            <w:r w:rsidRPr="00D416FC">
              <w:rPr>
                <w:rFonts w:hint="cs"/>
                <w:rtl/>
              </w:rPr>
              <w:t>.</w:t>
            </w:r>
          </w:p>
        </w:tc>
      </w:tr>
      <w:tr w:rsidR="00D416FC" w14:paraId="55FEA852" w14:textId="77777777" w:rsidTr="00C930D0">
        <w:trPr>
          <w:cantSplit/>
        </w:trPr>
        <w:tc>
          <w:tcPr>
            <w:tcW w:w="1871" w:type="dxa"/>
          </w:tcPr>
          <w:p w14:paraId="1705039F" w14:textId="77777777" w:rsidR="00D416FC" w:rsidRDefault="00D416FC" w:rsidP="00AD1EA2">
            <w:pPr>
              <w:pStyle w:val="TableSideHeading"/>
              <w:keepLines w:val="0"/>
              <w:rPr>
                <w:sz w:val="26"/>
                <w:rtl/>
              </w:rPr>
            </w:pPr>
          </w:p>
        </w:tc>
        <w:tc>
          <w:tcPr>
            <w:tcW w:w="624" w:type="dxa"/>
          </w:tcPr>
          <w:p w14:paraId="3668BADC" w14:textId="77777777" w:rsidR="00D416FC" w:rsidRDefault="00D416FC" w:rsidP="00AD1EA2">
            <w:pPr>
              <w:pStyle w:val="TableText"/>
              <w:keepLines w:val="0"/>
              <w:rPr>
                <w:rtl/>
              </w:rPr>
            </w:pPr>
          </w:p>
        </w:tc>
        <w:tc>
          <w:tcPr>
            <w:tcW w:w="7143" w:type="dxa"/>
            <w:gridSpan w:val="2"/>
          </w:tcPr>
          <w:p w14:paraId="1860D601" w14:textId="3BD2C6DB" w:rsidR="00D416FC" w:rsidRPr="00D416FC" w:rsidRDefault="00D416FC" w:rsidP="00D416FC">
            <w:pPr>
              <w:pStyle w:val="TableBlock"/>
              <w:rPr>
                <w:rtl/>
              </w:rPr>
            </w:pPr>
            <w:r w:rsidRPr="00D416FC">
              <w:rPr>
                <w:rFonts w:hint="cs"/>
                <w:rtl/>
              </w:rPr>
              <w:t>(ג)</w:t>
            </w:r>
            <w:r w:rsidRPr="00D416FC">
              <w:rPr>
                <w:rtl/>
              </w:rPr>
              <w:tab/>
              <w:t>הצעת מועמד לכהונת הנציב תכלול את שם המועמד, פרטיו האישיים ואת הסכמתו לכהן בתפקיד, והיא תוגש בכתב ליושב ראש הכנסת בידי כל אחד מאלה:</w:t>
            </w:r>
          </w:p>
        </w:tc>
      </w:tr>
      <w:tr w:rsidR="00D4778C" w14:paraId="7493EA89" w14:textId="77777777" w:rsidTr="00D416FC">
        <w:trPr>
          <w:cantSplit/>
        </w:trPr>
        <w:tc>
          <w:tcPr>
            <w:tcW w:w="1871" w:type="dxa"/>
          </w:tcPr>
          <w:p w14:paraId="258C4854" w14:textId="77777777" w:rsidR="00D4778C" w:rsidRDefault="00D4778C" w:rsidP="00AD1EA2">
            <w:pPr>
              <w:pStyle w:val="TableSideHeading"/>
              <w:keepLines w:val="0"/>
              <w:rPr>
                <w:sz w:val="26"/>
                <w:rtl/>
              </w:rPr>
            </w:pPr>
          </w:p>
        </w:tc>
        <w:tc>
          <w:tcPr>
            <w:tcW w:w="624" w:type="dxa"/>
          </w:tcPr>
          <w:p w14:paraId="11BF7FA2" w14:textId="77777777" w:rsidR="00D4778C" w:rsidRDefault="00D4778C" w:rsidP="00AD1EA2">
            <w:pPr>
              <w:pStyle w:val="TableText"/>
              <w:keepLines w:val="0"/>
              <w:rPr>
                <w:rtl/>
              </w:rPr>
            </w:pPr>
          </w:p>
        </w:tc>
        <w:tc>
          <w:tcPr>
            <w:tcW w:w="624" w:type="dxa"/>
          </w:tcPr>
          <w:p w14:paraId="7A901768" w14:textId="77777777" w:rsidR="00D4778C" w:rsidRPr="003111AB" w:rsidRDefault="00D4778C" w:rsidP="00AD1EA2">
            <w:pPr>
              <w:pStyle w:val="TableText"/>
              <w:rPr>
                <w:rtl/>
              </w:rPr>
            </w:pPr>
          </w:p>
        </w:tc>
        <w:tc>
          <w:tcPr>
            <w:tcW w:w="6519" w:type="dxa"/>
          </w:tcPr>
          <w:p w14:paraId="04DEDB68" w14:textId="77777777" w:rsidR="00D4778C" w:rsidRPr="001C52E0" w:rsidRDefault="00D4778C" w:rsidP="00D416FC">
            <w:pPr>
              <w:pStyle w:val="TableBlock"/>
              <w:rPr>
                <w:rtl/>
              </w:rPr>
            </w:pPr>
            <w:r w:rsidRPr="001C52E0">
              <w:rPr>
                <w:rFonts w:hint="cs"/>
                <w:rtl/>
              </w:rPr>
              <w:t>(1)</w:t>
            </w:r>
            <w:r>
              <w:rPr>
                <w:rtl/>
              </w:rPr>
              <w:tab/>
            </w:r>
            <w:r w:rsidRPr="001C52E0">
              <w:rPr>
                <w:rtl/>
              </w:rPr>
              <w:t>שר המשפטים;</w:t>
            </w:r>
          </w:p>
        </w:tc>
      </w:tr>
      <w:tr w:rsidR="00D4778C" w14:paraId="23F807AF" w14:textId="77777777" w:rsidTr="00D416FC">
        <w:trPr>
          <w:cantSplit/>
        </w:trPr>
        <w:tc>
          <w:tcPr>
            <w:tcW w:w="1871" w:type="dxa"/>
          </w:tcPr>
          <w:p w14:paraId="69998E17" w14:textId="77777777" w:rsidR="00D4778C" w:rsidRDefault="00D4778C" w:rsidP="00AD1EA2">
            <w:pPr>
              <w:pStyle w:val="TableSideHeading"/>
              <w:keepLines w:val="0"/>
              <w:rPr>
                <w:sz w:val="26"/>
                <w:rtl/>
              </w:rPr>
            </w:pPr>
          </w:p>
        </w:tc>
        <w:tc>
          <w:tcPr>
            <w:tcW w:w="624" w:type="dxa"/>
          </w:tcPr>
          <w:p w14:paraId="42ED002A" w14:textId="77777777" w:rsidR="00D4778C" w:rsidRDefault="00D4778C" w:rsidP="00AD1EA2">
            <w:pPr>
              <w:pStyle w:val="TableText"/>
              <w:keepLines w:val="0"/>
              <w:rPr>
                <w:rtl/>
              </w:rPr>
            </w:pPr>
          </w:p>
        </w:tc>
        <w:tc>
          <w:tcPr>
            <w:tcW w:w="624" w:type="dxa"/>
          </w:tcPr>
          <w:p w14:paraId="192C361C" w14:textId="77777777" w:rsidR="00D4778C" w:rsidRPr="003111AB" w:rsidRDefault="00D4778C" w:rsidP="00AD1EA2">
            <w:pPr>
              <w:pStyle w:val="TableText"/>
              <w:rPr>
                <w:rtl/>
              </w:rPr>
            </w:pPr>
          </w:p>
        </w:tc>
        <w:tc>
          <w:tcPr>
            <w:tcW w:w="6519" w:type="dxa"/>
          </w:tcPr>
          <w:p w14:paraId="50248465" w14:textId="77777777" w:rsidR="00D4778C" w:rsidRPr="001C52E0" w:rsidRDefault="00D4778C" w:rsidP="00D416FC">
            <w:pPr>
              <w:pStyle w:val="TableBlock"/>
              <w:rPr>
                <w:rtl/>
              </w:rPr>
            </w:pPr>
            <w:r w:rsidRPr="001C52E0">
              <w:rPr>
                <w:rFonts w:hint="cs"/>
                <w:rtl/>
              </w:rPr>
              <w:t>(2)</w:t>
            </w:r>
            <w:r>
              <w:rPr>
                <w:rFonts w:hint="cs"/>
                <w:rtl/>
              </w:rPr>
              <w:t xml:space="preserve"> </w:t>
            </w:r>
            <w:r>
              <w:rPr>
                <w:rtl/>
              </w:rPr>
              <w:tab/>
            </w:r>
            <w:r w:rsidRPr="001C52E0">
              <w:rPr>
                <w:rtl/>
              </w:rPr>
              <w:t xml:space="preserve">עשרה חברי </w:t>
            </w:r>
            <w:r w:rsidRPr="001C52E0">
              <w:rPr>
                <w:rFonts w:hint="cs"/>
                <w:rtl/>
              </w:rPr>
              <w:t>ה</w:t>
            </w:r>
            <w:r w:rsidRPr="001C52E0">
              <w:rPr>
                <w:rtl/>
              </w:rPr>
              <w:t>כנסת</w:t>
            </w:r>
            <w:r w:rsidRPr="001C52E0">
              <w:rPr>
                <w:rFonts w:hint="cs"/>
                <w:rtl/>
              </w:rPr>
              <w:t>.</w:t>
            </w:r>
          </w:p>
        </w:tc>
      </w:tr>
      <w:tr w:rsidR="00153926" w14:paraId="02F518C9" w14:textId="77777777" w:rsidTr="0062494B">
        <w:trPr>
          <w:cantSplit/>
        </w:trPr>
        <w:tc>
          <w:tcPr>
            <w:tcW w:w="1871" w:type="dxa"/>
          </w:tcPr>
          <w:p w14:paraId="7D4B9B1D" w14:textId="77777777" w:rsidR="00153926" w:rsidRDefault="00153926" w:rsidP="00AD1EA2">
            <w:pPr>
              <w:pStyle w:val="TableSideHeading"/>
              <w:keepLines w:val="0"/>
              <w:rPr>
                <w:sz w:val="26"/>
                <w:rtl/>
              </w:rPr>
            </w:pPr>
          </w:p>
        </w:tc>
        <w:tc>
          <w:tcPr>
            <w:tcW w:w="624" w:type="dxa"/>
          </w:tcPr>
          <w:p w14:paraId="588A9FDE" w14:textId="77777777" w:rsidR="00153926" w:rsidRDefault="00153926" w:rsidP="00AD1EA2">
            <w:pPr>
              <w:pStyle w:val="TableText"/>
              <w:keepLines w:val="0"/>
              <w:rPr>
                <w:rtl/>
              </w:rPr>
            </w:pPr>
          </w:p>
        </w:tc>
        <w:tc>
          <w:tcPr>
            <w:tcW w:w="7143" w:type="dxa"/>
            <w:gridSpan w:val="2"/>
          </w:tcPr>
          <w:p w14:paraId="54B01A7D" w14:textId="72336328" w:rsidR="00153926" w:rsidRPr="00153926" w:rsidRDefault="00153926" w:rsidP="00153926">
            <w:pPr>
              <w:pStyle w:val="TableBlock"/>
              <w:rPr>
                <w:rtl/>
              </w:rPr>
            </w:pPr>
            <w:r w:rsidRPr="00153926">
              <w:rPr>
                <w:rFonts w:hint="cs"/>
                <w:rtl/>
              </w:rPr>
              <w:t>(ד)</w:t>
            </w:r>
            <w:r w:rsidRPr="00153926">
              <w:rPr>
                <w:rtl/>
              </w:rPr>
              <w:tab/>
              <w:t>יושב</w:t>
            </w:r>
            <w:r>
              <w:rPr>
                <w:rFonts w:hint="cs"/>
                <w:rtl/>
              </w:rPr>
              <w:t xml:space="preserve"> </w:t>
            </w:r>
            <w:r w:rsidRPr="00153926">
              <w:rPr>
                <w:rtl/>
              </w:rPr>
              <w:t>ראש הכנסת יודיע לכל חברי הכנסת בכתב, לא יאוחר משבעה ימים לפני יום הבחירה, על כל מועמד שהוצע ועל שמות חברי הכנסת שהציעוהו, ויכריז על המועמדים בפתיחת ישיבת הבחירה</w:t>
            </w:r>
            <w:r w:rsidRPr="00153926">
              <w:t>.</w:t>
            </w:r>
          </w:p>
        </w:tc>
      </w:tr>
      <w:tr w:rsidR="00153926" w14:paraId="24F0CFCC" w14:textId="77777777" w:rsidTr="007C0B48">
        <w:trPr>
          <w:cantSplit/>
        </w:trPr>
        <w:tc>
          <w:tcPr>
            <w:tcW w:w="1871" w:type="dxa"/>
          </w:tcPr>
          <w:p w14:paraId="0FC495AA" w14:textId="77777777" w:rsidR="00153926" w:rsidRDefault="00153926" w:rsidP="00AD1EA2">
            <w:pPr>
              <w:pStyle w:val="TableSideHeading"/>
              <w:keepLines w:val="0"/>
              <w:rPr>
                <w:sz w:val="26"/>
                <w:rtl/>
              </w:rPr>
            </w:pPr>
          </w:p>
        </w:tc>
        <w:tc>
          <w:tcPr>
            <w:tcW w:w="624" w:type="dxa"/>
          </w:tcPr>
          <w:p w14:paraId="03AE488C" w14:textId="77777777" w:rsidR="00153926" w:rsidRDefault="00153926" w:rsidP="00AD1EA2">
            <w:pPr>
              <w:pStyle w:val="TableText"/>
              <w:keepLines w:val="0"/>
              <w:rPr>
                <w:rtl/>
              </w:rPr>
            </w:pPr>
          </w:p>
        </w:tc>
        <w:tc>
          <w:tcPr>
            <w:tcW w:w="7143" w:type="dxa"/>
            <w:gridSpan w:val="2"/>
          </w:tcPr>
          <w:p w14:paraId="3AC14E97" w14:textId="661BED5D" w:rsidR="00153926" w:rsidRPr="00153926" w:rsidRDefault="00153926" w:rsidP="00153926">
            <w:pPr>
              <w:pStyle w:val="TableBlock"/>
              <w:rPr>
                <w:rtl/>
              </w:rPr>
            </w:pPr>
            <w:r w:rsidRPr="00153926">
              <w:rPr>
                <w:rFonts w:hint="cs"/>
                <w:rtl/>
              </w:rPr>
              <w:t>(ה)</w:t>
            </w:r>
            <w:r w:rsidRPr="00153926">
              <w:rPr>
                <w:rtl/>
              </w:rPr>
              <w:tab/>
              <w:t xml:space="preserve">היו שני מועמדים או יותר, המועמד שקיבל קולותיהם של </w:t>
            </w:r>
            <w:r w:rsidRPr="00153926">
              <w:rPr>
                <w:rFonts w:hint="cs"/>
                <w:rtl/>
              </w:rPr>
              <w:t>7</w:t>
            </w:r>
            <w:r w:rsidRPr="00153926">
              <w:rPr>
                <w:rtl/>
              </w:rPr>
              <w:t>0 חברי כנסת, הוא הנבחר</w:t>
            </w:r>
            <w:r w:rsidRPr="00153926">
              <w:rPr>
                <w:rFonts w:hint="cs"/>
                <w:rtl/>
              </w:rPr>
              <w:t>.</w:t>
            </w:r>
          </w:p>
        </w:tc>
      </w:tr>
      <w:tr w:rsidR="00153926" w14:paraId="0FC0BEEB" w14:textId="77777777" w:rsidTr="00857E18">
        <w:trPr>
          <w:cantSplit/>
        </w:trPr>
        <w:tc>
          <w:tcPr>
            <w:tcW w:w="1871" w:type="dxa"/>
          </w:tcPr>
          <w:p w14:paraId="45608FE3" w14:textId="77777777" w:rsidR="00153926" w:rsidRDefault="00153926" w:rsidP="00AD1EA2">
            <w:pPr>
              <w:pStyle w:val="TableSideHeading"/>
              <w:keepLines w:val="0"/>
              <w:rPr>
                <w:sz w:val="26"/>
                <w:rtl/>
              </w:rPr>
            </w:pPr>
          </w:p>
        </w:tc>
        <w:tc>
          <w:tcPr>
            <w:tcW w:w="624" w:type="dxa"/>
          </w:tcPr>
          <w:p w14:paraId="247CDBF2" w14:textId="77777777" w:rsidR="00153926" w:rsidRDefault="00153926" w:rsidP="00AD1EA2">
            <w:pPr>
              <w:pStyle w:val="TableText"/>
              <w:keepLines w:val="0"/>
              <w:rPr>
                <w:rtl/>
              </w:rPr>
            </w:pPr>
          </w:p>
        </w:tc>
        <w:tc>
          <w:tcPr>
            <w:tcW w:w="7143" w:type="dxa"/>
            <w:gridSpan w:val="2"/>
          </w:tcPr>
          <w:p w14:paraId="7C9C3596" w14:textId="0F9DEC1F" w:rsidR="00153926" w:rsidRPr="00153926" w:rsidRDefault="00153926" w:rsidP="00153926">
            <w:pPr>
              <w:pStyle w:val="TableBlock"/>
              <w:rPr>
                <w:rtl/>
              </w:rPr>
            </w:pPr>
            <w:r w:rsidRPr="00153926">
              <w:rPr>
                <w:rFonts w:hint="cs"/>
                <w:rtl/>
              </w:rPr>
              <w:t>(ו)</w:t>
            </w:r>
            <w:r w:rsidRPr="00153926">
              <w:rPr>
                <w:rtl/>
              </w:rPr>
              <w:tab/>
              <w:t>לא נבחר נציב לפי סעיף זה, יודיע יושב ראש הכנסת על מועד חדש לבחירת נציב בתוך 60 ימים, והצעת מועמד תוגש בתוך 30 יום בדרך הקבועה בסעיף זה.</w:t>
            </w:r>
            <w:r w:rsidRPr="00153926">
              <w:rPr>
                <w:rFonts w:hint="cs"/>
                <w:rtl/>
              </w:rPr>
              <w:t>"</w:t>
            </w:r>
          </w:p>
        </w:tc>
      </w:tr>
      <w:tr w:rsidR="00D4778C" w14:paraId="2B14B609" w14:textId="77777777" w:rsidTr="00D416FC">
        <w:trPr>
          <w:cantSplit/>
        </w:trPr>
        <w:tc>
          <w:tcPr>
            <w:tcW w:w="1871" w:type="dxa"/>
          </w:tcPr>
          <w:p w14:paraId="706907EC" w14:textId="77777777" w:rsidR="00D4778C" w:rsidRDefault="00D4778C" w:rsidP="00AD1EA2">
            <w:pPr>
              <w:pStyle w:val="TableSideHeading"/>
            </w:pPr>
            <w:r>
              <w:rPr>
                <w:rFonts w:hint="cs"/>
                <w:rtl/>
              </w:rPr>
              <w:t>תיקון סעיף 5</w:t>
            </w:r>
          </w:p>
        </w:tc>
        <w:tc>
          <w:tcPr>
            <w:tcW w:w="624" w:type="dxa"/>
          </w:tcPr>
          <w:p w14:paraId="0861DEAD" w14:textId="77777777" w:rsidR="00D4778C" w:rsidRDefault="00D4778C" w:rsidP="00AD1EA2">
            <w:pPr>
              <w:pStyle w:val="TableText"/>
            </w:pPr>
            <w:r>
              <w:rPr>
                <w:rFonts w:hint="cs"/>
                <w:rtl/>
              </w:rPr>
              <w:t>2.</w:t>
            </w:r>
          </w:p>
        </w:tc>
        <w:tc>
          <w:tcPr>
            <w:tcW w:w="7143" w:type="dxa"/>
            <w:gridSpan w:val="2"/>
          </w:tcPr>
          <w:p w14:paraId="2DA842BA" w14:textId="77777777" w:rsidR="00D4778C" w:rsidRPr="00C34DE2" w:rsidRDefault="00D4778C" w:rsidP="00D416FC">
            <w:pPr>
              <w:pStyle w:val="TableBlock"/>
            </w:pPr>
            <w:r>
              <w:rPr>
                <w:rFonts w:hint="cs"/>
                <w:rtl/>
              </w:rPr>
              <w:t>בסעיף 5 לחוק העיקרי, אחרי סעיף קטן (א) יבוא:</w:t>
            </w:r>
          </w:p>
        </w:tc>
      </w:tr>
      <w:tr w:rsidR="00A46E06" w14:paraId="73A32ECE" w14:textId="77777777" w:rsidTr="00ED3085">
        <w:trPr>
          <w:cantSplit/>
        </w:trPr>
        <w:tc>
          <w:tcPr>
            <w:tcW w:w="1871" w:type="dxa"/>
          </w:tcPr>
          <w:p w14:paraId="5498304A" w14:textId="77777777" w:rsidR="00A46E06" w:rsidRDefault="00A46E06" w:rsidP="00AD1EA2">
            <w:pPr>
              <w:pStyle w:val="TableSideHeading"/>
            </w:pPr>
          </w:p>
        </w:tc>
        <w:tc>
          <w:tcPr>
            <w:tcW w:w="624" w:type="dxa"/>
          </w:tcPr>
          <w:p w14:paraId="6D81697C" w14:textId="77777777" w:rsidR="00A46E06" w:rsidRDefault="00A46E06" w:rsidP="00AD1EA2">
            <w:pPr>
              <w:pStyle w:val="TableText"/>
            </w:pPr>
          </w:p>
        </w:tc>
        <w:tc>
          <w:tcPr>
            <w:tcW w:w="7143" w:type="dxa"/>
            <w:gridSpan w:val="2"/>
          </w:tcPr>
          <w:p w14:paraId="0207786A" w14:textId="6121F515" w:rsidR="00A46E06" w:rsidRDefault="00A46E06" w:rsidP="00153926">
            <w:pPr>
              <w:pStyle w:val="TableBlock"/>
            </w:pPr>
            <w:r>
              <w:rPr>
                <w:rFonts w:hint="cs"/>
                <w:rtl/>
              </w:rPr>
              <w:t>"(א1)</w:t>
            </w:r>
            <w:r>
              <w:rPr>
                <w:rtl/>
              </w:rPr>
              <w:tab/>
            </w:r>
            <w:r w:rsidRPr="007A2379">
              <w:rPr>
                <w:rtl/>
              </w:rPr>
              <w:t>יושב</w:t>
            </w:r>
            <w:r>
              <w:rPr>
                <w:rFonts w:hint="cs"/>
                <w:rtl/>
              </w:rPr>
              <w:t xml:space="preserve"> </w:t>
            </w:r>
            <w:r w:rsidRPr="007A2379">
              <w:rPr>
                <w:rtl/>
              </w:rPr>
              <w:t>ראש הכנסת, בהתייעצות עם הסגנים, יקבע את יום הבחירה</w:t>
            </w:r>
            <w:r>
              <w:rPr>
                <w:rFonts w:hint="cs"/>
                <w:rtl/>
              </w:rPr>
              <w:t>, בתוך התקופה האמורה בסעיף קטן (א),</w:t>
            </w:r>
            <w:r w:rsidRPr="007A2379">
              <w:rPr>
                <w:rtl/>
              </w:rPr>
              <w:t xml:space="preserve"> ויודיע עליו בכתב לכל חברי הכנסת לפחות שלושה שבועות מראש</w:t>
            </w:r>
            <w:r w:rsidRPr="007A2379">
              <w:rPr>
                <w:rFonts w:hint="cs"/>
                <w:rtl/>
              </w:rPr>
              <w:t>."</w:t>
            </w:r>
          </w:p>
        </w:tc>
      </w:tr>
    </w:tbl>
    <w:p w14:paraId="7F6961AE" w14:textId="50FA6F55" w:rsidR="006F630B" w:rsidRDefault="006F630B" w:rsidP="0021633A">
      <w:pPr>
        <w:pStyle w:val="HeadDivreiHesber"/>
        <w:spacing w:before="0" w:after="0"/>
        <w:rPr>
          <w:rtl/>
        </w:rPr>
      </w:pPr>
      <w:r>
        <w:rPr>
          <w:rtl/>
        </w:rPr>
        <w:br w:type="page"/>
      </w:r>
    </w:p>
    <w:p w14:paraId="7F6961CA" w14:textId="77777777" w:rsidR="002D1EE3" w:rsidRDefault="002D1EE3" w:rsidP="002D1EE3">
      <w:pPr>
        <w:pStyle w:val="HeadDivreiHesber"/>
        <w:rPr>
          <w:rtl/>
        </w:rPr>
      </w:pPr>
      <w:bookmarkStart w:id="8" w:name="_GoBack"/>
      <w:bookmarkEnd w:id="8"/>
      <w:r w:rsidRPr="0027450A">
        <w:rPr>
          <w:rFonts w:hint="cs"/>
          <w:rtl/>
        </w:rPr>
        <w:lastRenderedPageBreak/>
        <w:t>דברי הסבר</w:t>
      </w:r>
    </w:p>
    <w:p w14:paraId="6F3B3FBB" w14:textId="657C8406" w:rsidR="00D4778C" w:rsidRPr="00D4778C" w:rsidRDefault="00D4778C" w:rsidP="00153926">
      <w:pPr>
        <w:pStyle w:val="Hesber"/>
        <w:rPr>
          <w:rtl/>
        </w:rPr>
      </w:pPr>
      <w:r w:rsidRPr="00D4778C">
        <w:rPr>
          <w:rtl/>
        </w:rPr>
        <w:t>מטרתה של הצעת חוק זו לשנות את הליך מינוי נציב תלונות הציבור על שופטים (להלן</w:t>
      </w:r>
      <w:r w:rsidRPr="00D4778C">
        <w:rPr>
          <w:rFonts w:hint="cs"/>
          <w:rtl/>
        </w:rPr>
        <w:t xml:space="preserve"> </w:t>
      </w:r>
      <w:r w:rsidRPr="00D4778C">
        <w:rPr>
          <w:rtl/>
        </w:rPr>
        <w:t>–</w:t>
      </w:r>
      <w:r w:rsidRPr="00D4778C">
        <w:rPr>
          <w:rFonts w:hint="cs"/>
          <w:rtl/>
        </w:rPr>
        <w:t xml:space="preserve"> </w:t>
      </w:r>
      <w:r w:rsidRPr="00D4778C">
        <w:rPr>
          <w:rtl/>
        </w:rPr>
        <w:t>הנציב)</w:t>
      </w:r>
      <w:r w:rsidRPr="00D4778C">
        <w:rPr>
          <w:rFonts w:hint="cs"/>
          <w:rtl/>
        </w:rPr>
        <w:t xml:space="preserve"> לפי חוק נציבות תלונות הציבור על שופטים, </w:t>
      </w:r>
      <w:proofErr w:type="spellStart"/>
      <w:r w:rsidRPr="00D4778C">
        <w:rPr>
          <w:rFonts w:hint="cs"/>
          <w:rtl/>
        </w:rPr>
        <w:t>התשס"ב</w:t>
      </w:r>
      <w:proofErr w:type="spellEnd"/>
      <w:r w:rsidRPr="00D4778C">
        <w:rPr>
          <w:rtl/>
        </w:rPr>
        <w:t>–</w:t>
      </w:r>
      <w:r w:rsidRPr="00D4778C">
        <w:rPr>
          <w:rFonts w:hint="cs"/>
          <w:rtl/>
        </w:rPr>
        <w:t xml:space="preserve">2002 (להלן </w:t>
      </w:r>
      <w:r w:rsidRPr="00D4778C">
        <w:rPr>
          <w:rtl/>
        </w:rPr>
        <w:t>–</w:t>
      </w:r>
      <w:r w:rsidRPr="00D4778C">
        <w:rPr>
          <w:rFonts w:hint="cs"/>
          <w:rtl/>
        </w:rPr>
        <w:t xml:space="preserve">  החוק)</w:t>
      </w:r>
      <w:r w:rsidRPr="00D4778C">
        <w:rPr>
          <w:rtl/>
        </w:rPr>
        <w:t>.</w:t>
      </w:r>
    </w:p>
    <w:p w14:paraId="4F08E3F7" w14:textId="1FDD83E4" w:rsidR="00D4778C" w:rsidRPr="00D4778C" w:rsidRDefault="00D4778C" w:rsidP="00D4778C">
      <w:pPr>
        <w:pStyle w:val="Hesber"/>
        <w:rPr>
          <w:rtl/>
        </w:rPr>
      </w:pPr>
      <w:r w:rsidRPr="00D4778C">
        <w:rPr>
          <w:rtl/>
        </w:rPr>
        <w:t xml:space="preserve">על פי ההסדר הקיים, הנציב ממונה בידי הוועדה לבחירת הנציב, </w:t>
      </w:r>
      <w:r w:rsidRPr="00D4778C">
        <w:rPr>
          <w:rFonts w:hint="cs"/>
          <w:rtl/>
        </w:rPr>
        <w:t>שהיא הועדה לבחירת שופטים</w:t>
      </w:r>
      <w:r w:rsidRPr="00D4778C">
        <w:rPr>
          <w:rtl/>
        </w:rPr>
        <w:t>, על פי הצעת שר המשפטים ונשיא בית המשפט העליון</w:t>
      </w:r>
      <w:r w:rsidRPr="00D4778C">
        <w:rPr>
          <w:rFonts w:hint="cs"/>
          <w:rtl/>
        </w:rPr>
        <w:t xml:space="preserve"> כאחד</w:t>
      </w:r>
      <w:r w:rsidRPr="00D4778C">
        <w:rPr>
          <w:rtl/>
        </w:rPr>
        <w:t xml:space="preserve">. הצעת החוק מבקשת לבטל הסדר זה, ולקבוע תחתיו כי הנציב ייבחר בידי מליאת הכנסת, </w:t>
      </w:r>
      <w:r w:rsidRPr="00D4778C">
        <w:rPr>
          <w:rFonts w:hint="cs"/>
          <w:rtl/>
        </w:rPr>
        <w:t xml:space="preserve">בהצבעה חשאית, </w:t>
      </w:r>
      <w:r w:rsidRPr="00D4778C">
        <w:rPr>
          <w:rtl/>
        </w:rPr>
        <w:t>בהליך המקביל לבחירת נשיא המדינה הקבוע בחוק יסוד: נשיא המדינה</w:t>
      </w:r>
      <w:r w:rsidRPr="00D4778C">
        <w:rPr>
          <w:rFonts w:hint="cs"/>
          <w:rtl/>
        </w:rPr>
        <w:t xml:space="preserve">, וימונה לתפקידו על ידי </w:t>
      </w:r>
      <w:r w:rsidR="00C60D7B">
        <w:rPr>
          <w:rFonts w:hint="cs"/>
          <w:rtl/>
        </w:rPr>
        <w:t>נשיא</w:t>
      </w:r>
      <w:r w:rsidRPr="00D4778C">
        <w:rPr>
          <w:rFonts w:hint="cs"/>
          <w:rtl/>
        </w:rPr>
        <w:t xml:space="preserve"> המדינה.</w:t>
      </w:r>
    </w:p>
    <w:p w14:paraId="231E5E76" w14:textId="77777777" w:rsidR="00D4778C" w:rsidRPr="00D4778C" w:rsidRDefault="00D4778C" w:rsidP="00D4778C">
      <w:pPr>
        <w:pStyle w:val="Hesber"/>
        <w:rPr>
          <w:rtl/>
        </w:rPr>
      </w:pPr>
      <w:r w:rsidRPr="00D4778C">
        <w:rPr>
          <w:rFonts w:hint="cs"/>
          <w:rtl/>
        </w:rPr>
        <w:t>מפאת חשיבותו של תפקיד הנציב וההשלכות הרחבות על ענייניו של כלל הציבור, מוצע לקבוע כי בחירת הנציב תיעשה ברוב מיוחד של שבעים חברי הכנסת.</w:t>
      </w:r>
    </w:p>
    <w:p w14:paraId="5F1AA5A3" w14:textId="57E0C899" w:rsidR="00D4778C" w:rsidRPr="00D4778C" w:rsidRDefault="00D4778C" w:rsidP="00153926">
      <w:pPr>
        <w:pStyle w:val="Hesber"/>
        <w:rPr>
          <w:rtl/>
        </w:rPr>
      </w:pPr>
      <w:r w:rsidRPr="00D4778C">
        <w:rPr>
          <w:rtl/>
        </w:rPr>
        <w:t>שינוי זה</w:t>
      </w:r>
      <w:r w:rsidRPr="00D4778C">
        <w:rPr>
          <w:rFonts w:hint="cs"/>
          <w:rtl/>
        </w:rPr>
        <w:t xml:space="preserve"> בא על רקע משבר מתמשך סביב מוסד נציבות תלונות הציבור על שופטים, כאשר כהונת הנציב האחרון הסתיימה בתחילת חודש מאי 2024 ומאז טרם מונה לו מחליף. דיון שקיימה ועדת החוקה, חוק ומשפט של הכנסת ביום 10 </w:t>
      </w:r>
      <w:r w:rsidR="00153926">
        <w:rPr>
          <w:rFonts w:hint="cs"/>
          <w:rtl/>
        </w:rPr>
        <w:t>ב</w:t>
      </w:r>
      <w:r w:rsidRPr="00D4778C">
        <w:rPr>
          <w:rFonts w:hint="cs"/>
          <w:rtl/>
        </w:rPr>
        <w:t xml:space="preserve">יוני 2024 בנושא זה מצא כי הטעם העיקרי לאי-בחירת הנציב נעוץ בחוסר ההסכמה בין הגורמים האמונים על הצעת מועמד כיום. </w:t>
      </w:r>
    </w:p>
    <w:p w14:paraId="1C515714" w14:textId="77777777" w:rsidR="00D4778C" w:rsidRPr="00D4778C" w:rsidRDefault="00D4778C" w:rsidP="00D4778C">
      <w:pPr>
        <w:pStyle w:val="Hesber"/>
        <w:rPr>
          <w:rtl/>
        </w:rPr>
      </w:pPr>
      <w:r w:rsidRPr="00D4778C">
        <w:rPr>
          <w:rFonts w:hint="cs"/>
          <w:rtl/>
        </w:rPr>
        <w:t xml:space="preserve">לפיכך, הצעה זו מבקשת לקבוע שהכנסת תהיה זו שתבחר את המועמד, ובכך למנוע סיטואציה שבה בהיעדר הסכמה לא ממונה נציב. להסדר המוצע יתרון נוסף, והוא מניעת ניגוד עניינים </w:t>
      </w:r>
      <w:r w:rsidRPr="00D4778C">
        <w:rPr>
          <w:rtl/>
        </w:rPr>
        <w:t>פוטנציאלי או למראית עין, הטמון במעורבות</w:t>
      </w:r>
      <w:r w:rsidRPr="00D4778C">
        <w:rPr>
          <w:rFonts w:hint="cs"/>
          <w:rtl/>
        </w:rPr>
        <w:t xml:space="preserve"> שופטי בית המשפט העליון </w:t>
      </w:r>
      <w:r w:rsidRPr="00D4778C">
        <w:rPr>
          <w:rtl/>
        </w:rPr>
        <w:t>בבחירת הנציב</w:t>
      </w:r>
      <w:r w:rsidRPr="00D4778C">
        <w:rPr>
          <w:rFonts w:hint="cs"/>
          <w:rtl/>
        </w:rPr>
        <w:t xml:space="preserve"> </w:t>
      </w:r>
      <w:r w:rsidRPr="00D4778C">
        <w:rPr>
          <w:rtl/>
        </w:rPr>
        <w:t>–</w:t>
      </w:r>
      <w:r w:rsidRPr="00D4778C">
        <w:rPr>
          <w:rFonts w:hint="cs"/>
          <w:rtl/>
        </w:rPr>
        <w:t xml:space="preserve"> בהתחשב ב</w:t>
      </w:r>
      <w:r w:rsidRPr="00D4778C">
        <w:rPr>
          <w:rtl/>
        </w:rPr>
        <w:t>תפקידו לברר תלונות על התנהגות שופטים</w:t>
      </w:r>
      <w:r w:rsidRPr="00D4778C">
        <w:rPr>
          <w:rFonts w:hint="cs"/>
          <w:rtl/>
        </w:rPr>
        <w:t xml:space="preserve"> לרבות אלו המעורבים בבחירתו</w:t>
      </w:r>
      <w:r w:rsidRPr="00D4778C">
        <w:rPr>
          <w:rtl/>
        </w:rPr>
        <w:t>. בחירת הנציב בידי הכנסת, כרשות הנבחרת המייצגת את הציבור, תבטיח כי הליך המינוי יהיה עצמאי, שקוף ונקי מניגודי עניינים, ו</w:t>
      </w:r>
      <w:r w:rsidRPr="00D4778C">
        <w:rPr>
          <w:rFonts w:hint="cs"/>
          <w:rtl/>
        </w:rPr>
        <w:t>צפויה ל</w:t>
      </w:r>
      <w:r w:rsidRPr="00D4778C">
        <w:rPr>
          <w:rtl/>
        </w:rPr>
        <w:t>חזק את אמון הציבור במוסד נציבות תלונות הציבור על שופטים.</w:t>
      </w:r>
    </w:p>
    <w:p w14:paraId="7F6961CB" w14:textId="6A30DA80" w:rsidR="00E13C27" w:rsidRDefault="00E13C27" w:rsidP="00D4778C">
      <w:pPr>
        <w:pStyle w:val="Hesber"/>
        <w:rPr>
          <w:rtl/>
        </w:rPr>
      </w:pPr>
    </w:p>
    <w:p w14:paraId="299F5CB7" w14:textId="77777777" w:rsidR="005F1094" w:rsidRDefault="006F630B">
      <w:pPr>
        <w:jc w:val="left"/>
      </w:pPr>
      <w:bookmarkStart w:id="9" w:name="selectedDocDateB"/>
      <w:bookmarkEnd w:id="9"/>
      <w:r>
        <w:rPr>
          <w:rFonts w:eastAsia="David" w:hint="cs"/>
          <w:sz w:val="26"/>
          <w:szCs w:val="26"/>
          <w:rtl/>
        </w:rPr>
        <w:t>---------------</w:t>
      </w:r>
      <w:r>
        <w:rPr>
          <w:rFonts w:eastAsia="David" w:hint="cs"/>
          <w:sz w:val="26"/>
          <w:szCs w:val="26"/>
          <w:rtl/>
        </w:rPr>
        <w:t>-----------------</w:t>
      </w:r>
    </w:p>
    <w:p w14:paraId="61B495FF" w14:textId="77777777" w:rsidR="005F1094" w:rsidRDefault="006F630B">
      <w:pPr>
        <w:jc w:val="left"/>
      </w:pPr>
      <w:r>
        <w:rPr>
          <w:rFonts w:eastAsia="David" w:hint="cs"/>
          <w:sz w:val="26"/>
          <w:szCs w:val="26"/>
          <w:rtl/>
        </w:rPr>
        <w:t>הוגשה ליו"ר הכנסת והסגנים</w:t>
      </w:r>
    </w:p>
    <w:p w14:paraId="67EB3658" w14:textId="77777777" w:rsidR="005F1094" w:rsidRDefault="006F630B">
      <w:pPr>
        <w:jc w:val="left"/>
      </w:pPr>
      <w:r>
        <w:rPr>
          <w:rFonts w:eastAsia="David" w:hint="cs"/>
          <w:sz w:val="26"/>
          <w:szCs w:val="26"/>
          <w:rtl/>
        </w:rPr>
        <w:t>והונחה על שולחן הכנסת ביום</w:t>
      </w:r>
    </w:p>
    <w:p w14:paraId="4590BE96" w14:textId="77777777" w:rsidR="005F1094" w:rsidRDefault="006F630B">
      <w:pPr>
        <w:jc w:val="left"/>
      </w:pPr>
      <w:r>
        <w:rPr>
          <w:rFonts w:eastAsia="David" w:hint="cs"/>
          <w:sz w:val="26"/>
          <w:szCs w:val="26"/>
          <w:rtl/>
        </w:rPr>
        <w:t xml:space="preserve">י"ח בסיוון </w:t>
      </w:r>
      <w:proofErr w:type="spellStart"/>
      <w:r>
        <w:rPr>
          <w:rFonts w:eastAsia="David" w:hint="cs"/>
          <w:sz w:val="26"/>
          <w:szCs w:val="26"/>
          <w:rtl/>
        </w:rPr>
        <w:t>התשפ"ד</w:t>
      </w:r>
      <w:proofErr w:type="spellEnd"/>
      <w:r>
        <w:rPr>
          <w:rFonts w:eastAsia="David" w:hint="cs"/>
          <w:sz w:val="26"/>
          <w:szCs w:val="26"/>
          <w:rtl/>
        </w:rPr>
        <w:t xml:space="preserve"> (24.06.2024) </w:t>
      </w:r>
    </w:p>
    <w:p w14:paraId="21007543" w14:textId="77777777" w:rsidR="005F1094" w:rsidRDefault="005F1094">
      <w:pPr>
        <w:spacing w:line="276" w:lineRule="auto"/>
        <w:jc w:val="left"/>
      </w:pPr>
    </w:p>
    <w:sectPr w:rsidR="005F1094" w:rsidSect="00D416FC">
      <w:footerReference w:type="even" r:id="rId11"/>
      <w:footerReference w:type="default" r:id="rId12"/>
      <w:pgSz w:w="11907" w:h="16840" w:code="9"/>
      <w:pgMar w:top="1701" w:right="1134" w:bottom="1417" w:left="1134" w:header="680" w:footer="680" w:gutter="0"/>
      <w:cols w:space="720"/>
      <w:noEndnote/>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6F630B">
      <w:rPr>
        <w:rStyle w:val="ab"/>
        <w:noProof/>
        <w:rtl/>
      </w:rPr>
      <w:t>2</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sidP="00D416FC">
      <w:pPr>
        <w:ind w:left="0"/>
      </w:pPr>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1BE4C6F9" w14:textId="024619C7" w:rsidR="00D4778C" w:rsidRDefault="00D4778C">
      <w:pPr>
        <w:pStyle w:val="a4"/>
        <w:rPr>
          <w:rtl/>
        </w:rPr>
      </w:pPr>
      <w:r>
        <w:rPr>
          <w:rStyle w:val="a6"/>
        </w:rPr>
        <w:footnoteRef/>
      </w:r>
      <w:r>
        <w:rPr>
          <w:rtl/>
        </w:rPr>
        <w:t xml:space="preserve"> </w:t>
      </w:r>
      <w:r w:rsidRPr="00F0734C">
        <w:rPr>
          <w:rtl/>
        </w:rPr>
        <w:t xml:space="preserve">ס"ח </w:t>
      </w:r>
      <w:proofErr w:type="spellStart"/>
      <w:r>
        <w:rPr>
          <w:rFonts w:hint="cs"/>
          <w:rtl/>
        </w:rPr>
        <w:t>ה</w:t>
      </w:r>
      <w:r w:rsidRPr="00F0734C">
        <w:rPr>
          <w:rtl/>
        </w:rPr>
        <w:t>תשס"ב</w:t>
      </w:r>
      <w:proofErr w:type="spellEnd"/>
      <w:r w:rsidRPr="00F0734C">
        <w:rPr>
          <w:rtl/>
        </w:rPr>
        <w:t>, 590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9A7C73"/>
    <w:multiLevelType w:val="hybridMultilevel"/>
    <w:tmpl w:val="4DC27C74"/>
    <w:lvl w:ilvl="0" w:tplc="E52A333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A15561"/>
    <w:multiLevelType w:val="hybridMultilevel"/>
    <w:tmpl w:val="5CC8EE76"/>
    <w:lvl w:ilvl="0" w:tplc="52AC295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69425D2B"/>
    <w:multiLevelType w:val="hybridMultilevel"/>
    <w:tmpl w:val="028E7DFE"/>
    <w:lvl w:ilvl="0" w:tplc="EED8786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2"/>
  </w:num>
  <w:num w:numId="14">
    <w:abstractNumId w:val="19"/>
  </w:num>
  <w:num w:numId="15">
    <w:abstractNumId w:val="15"/>
  </w:num>
  <w:num w:numId="16">
    <w:abstractNumId w:val="17"/>
  </w:num>
  <w:num w:numId="17">
    <w:abstractNumId w:val="10"/>
  </w:num>
  <w:num w:numId="18">
    <w:abstractNumId w:val="14"/>
  </w:num>
  <w:num w:numId="19">
    <w:abstractNumId w:val="14"/>
    <w:lvlOverride w:ilvl="0">
      <w:startOverride w:val="1"/>
    </w:lvlOverride>
  </w:num>
  <w:num w:numId="20">
    <w:abstractNumId w:val="1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926"/>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55865"/>
    <w:rsid w:val="0036422C"/>
    <w:rsid w:val="003710F6"/>
    <w:rsid w:val="00386E88"/>
    <w:rsid w:val="00396585"/>
    <w:rsid w:val="003D6E38"/>
    <w:rsid w:val="003D74A0"/>
    <w:rsid w:val="004033D8"/>
    <w:rsid w:val="004073F0"/>
    <w:rsid w:val="00412A7D"/>
    <w:rsid w:val="00416B4D"/>
    <w:rsid w:val="00417CFC"/>
    <w:rsid w:val="0044268A"/>
    <w:rsid w:val="004A06DC"/>
    <w:rsid w:val="004B24ED"/>
    <w:rsid w:val="004B6625"/>
    <w:rsid w:val="004D2D82"/>
    <w:rsid w:val="004D3876"/>
    <w:rsid w:val="004E4552"/>
    <w:rsid w:val="004E6CDF"/>
    <w:rsid w:val="00553C9D"/>
    <w:rsid w:val="00562A66"/>
    <w:rsid w:val="005B064E"/>
    <w:rsid w:val="005D51AE"/>
    <w:rsid w:val="005F1094"/>
    <w:rsid w:val="0062674B"/>
    <w:rsid w:val="006363B2"/>
    <w:rsid w:val="00644940"/>
    <w:rsid w:val="006818A9"/>
    <w:rsid w:val="006A2D81"/>
    <w:rsid w:val="006C1D0D"/>
    <w:rsid w:val="006F630B"/>
    <w:rsid w:val="0070601E"/>
    <w:rsid w:val="00712C72"/>
    <w:rsid w:val="00735FE9"/>
    <w:rsid w:val="00763CAA"/>
    <w:rsid w:val="00765F66"/>
    <w:rsid w:val="0078664F"/>
    <w:rsid w:val="007A27CE"/>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5A51"/>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46E06"/>
    <w:rsid w:val="00A47F48"/>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60D7B"/>
    <w:rsid w:val="00C9176A"/>
    <w:rsid w:val="00CF1AA2"/>
    <w:rsid w:val="00D142D3"/>
    <w:rsid w:val="00D17774"/>
    <w:rsid w:val="00D416FC"/>
    <w:rsid w:val="00D4778C"/>
    <w:rsid w:val="00D63620"/>
    <w:rsid w:val="00D8410D"/>
    <w:rsid w:val="00D867D7"/>
    <w:rsid w:val="00DB7060"/>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DF489978-6BF8-4EF6-9280-5AA61754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6FC"/>
    <w:pPr>
      <w:widowControl w:val="0"/>
      <w:bidi/>
      <w:spacing w:line="360" w:lineRule="auto"/>
      <w:ind w:left="340"/>
      <w:contextualSpacing/>
      <w:jc w:val="both"/>
    </w:pPr>
    <w:rPr>
      <w:rFonts w:ascii="David" w:eastAsiaTheme="minorHAnsi" w:hAnsi="David" w:cs="David"/>
      <w:sz w:val="24"/>
      <w:szCs w:val="24"/>
    </w:rPr>
  </w:style>
  <w:style w:type="paragraph" w:styleId="1">
    <w:name w:val="heading 1"/>
    <w:basedOn w:val="a"/>
    <w:next w:val="a"/>
    <w:link w:val="10"/>
    <w:uiPriority w:val="9"/>
    <w:qFormat/>
    <w:rsid w:val="00D416FC"/>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D416FC"/>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D416FC"/>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D416FC"/>
    <w:pPr>
      <w:numPr>
        <w:numId w:val="2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D416FC"/>
    <w:pPr>
      <w:spacing w:line="259" w:lineRule="auto"/>
      <w:outlineLvl w:val="4"/>
    </w:pPr>
    <w:rPr>
      <w:color w:val="000000" w:themeColor="text1"/>
    </w:rPr>
  </w:style>
  <w:style w:type="character" w:default="1" w:styleId="a0">
    <w:name w:val="Default Paragraph Font"/>
    <w:uiPriority w:val="1"/>
    <w:semiHidden/>
    <w:unhideWhenUsed/>
    <w:rsid w:val="00D416F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416FC"/>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D416FC"/>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D416FC"/>
    <w:rPr>
      <w:sz w:val="36"/>
      <w:szCs w:val="52"/>
    </w:rPr>
  </w:style>
  <w:style w:type="paragraph" w:customStyle="1" w:styleId="Cover3-Haknesset">
    <w:name w:val="Cover 3-Haknesset"/>
    <w:basedOn w:val="Cover1-Reshumot"/>
    <w:rsid w:val="00D416FC"/>
    <w:rPr>
      <w:b/>
      <w:bCs/>
      <w:spacing w:val="60"/>
    </w:rPr>
  </w:style>
  <w:style w:type="paragraph" w:customStyle="1" w:styleId="Cover4-Date">
    <w:name w:val="Cover 4-Date"/>
    <w:basedOn w:val="a"/>
    <w:rsid w:val="00D416FC"/>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D416FC"/>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D416FC"/>
    <w:pPr>
      <w:keepNext/>
      <w:keepLines/>
      <w:snapToGrid w:val="0"/>
      <w:spacing w:before="240"/>
      <w:jc w:val="center"/>
      <w:outlineLvl w:val="0"/>
    </w:pPr>
    <w:rPr>
      <w:rFonts w:ascii="Arial" w:eastAsia="Arial Unicode MS" w:hAnsi="Arial"/>
      <w:b/>
      <w:bCs/>
      <w:snapToGrid w:val="0"/>
      <w:sz w:val="20"/>
      <w:szCs w:val="26"/>
    </w:rPr>
  </w:style>
  <w:style w:type="paragraph" w:customStyle="1" w:styleId="HeadHatzaotHok4Futer">
    <w:name w:val="Head HatzaotHok4Futer"/>
    <w:basedOn w:val="HeadHatzaotHok"/>
    <w:rsid w:val="00D416FC"/>
    <w:pPr>
      <w:spacing w:before="120" w:after="120"/>
    </w:pPr>
    <w:rPr>
      <w:color w:val="FF0000"/>
      <w:w w:val="80"/>
    </w:rPr>
  </w:style>
  <w:style w:type="paragraph" w:styleId="a3">
    <w:name w:val="endnote text"/>
    <w:basedOn w:val="a"/>
    <w:semiHidden/>
    <w:rsid w:val="00D416FC"/>
    <w:pPr>
      <w:ind w:left="227" w:hanging="227"/>
    </w:pPr>
    <w:rPr>
      <w:sz w:val="14"/>
      <w:szCs w:val="22"/>
    </w:rPr>
  </w:style>
  <w:style w:type="paragraph" w:customStyle="1" w:styleId="TableText">
    <w:name w:val="Table Text"/>
    <w:basedOn w:val="a"/>
    <w:rsid w:val="00D416FC"/>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D416FC"/>
    <w:pPr>
      <w:outlineLvl w:val="2"/>
    </w:pPr>
  </w:style>
  <w:style w:type="paragraph" w:customStyle="1" w:styleId="TableBlock">
    <w:name w:val="Table Block"/>
    <w:basedOn w:val="TableText"/>
    <w:rsid w:val="00D416FC"/>
    <w:pPr>
      <w:jc w:val="both"/>
    </w:pPr>
  </w:style>
  <w:style w:type="paragraph" w:customStyle="1" w:styleId="TableHead">
    <w:name w:val="Table Head"/>
    <w:basedOn w:val="TableText"/>
    <w:rsid w:val="00D416FC"/>
    <w:pPr>
      <w:jc w:val="center"/>
      <w:outlineLvl w:val="1"/>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D416FC"/>
    <w:pPr>
      <w:outlineLvl w:val="9"/>
    </w:pPr>
  </w:style>
  <w:style w:type="paragraph" w:customStyle="1" w:styleId="Hesber">
    <w:name w:val="Hesber"/>
    <w:basedOn w:val="a"/>
    <w:rsid w:val="00D416FC"/>
    <w:pPr>
      <w:snapToGrid w:val="0"/>
      <w:ind w:left="0" w:firstLine="340"/>
    </w:pPr>
    <w:rPr>
      <w:rFonts w:ascii="Arial" w:eastAsia="Arial Unicode MS" w:hAnsi="Arial"/>
      <w:snapToGrid w:val="0"/>
      <w:sz w:val="20"/>
      <w:szCs w:val="26"/>
    </w:rPr>
  </w:style>
  <w:style w:type="paragraph" w:styleId="a4">
    <w:name w:val="footnote text"/>
    <w:basedOn w:val="a"/>
    <w:link w:val="a5"/>
    <w:autoRedefine/>
    <w:semiHidden/>
    <w:rsid w:val="00D416FC"/>
    <w:pPr>
      <w:snapToGrid w:val="0"/>
      <w:spacing w:line="240" w:lineRule="auto"/>
      <w:ind w:left="0"/>
      <w:jc w:val="left"/>
    </w:pPr>
    <w:rPr>
      <w:rFonts w:ascii="Arial" w:eastAsia="Arial Unicode MS" w:hAnsi="Arial"/>
      <w:snapToGrid w:val="0"/>
      <w:sz w:val="14"/>
      <w:szCs w:val="20"/>
    </w:rPr>
  </w:style>
  <w:style w:type="character" w:styleId="a6">
    <w:name w:val="footnote reference"/>
    <w:aliases w:val="Footnote Reference"/>
    <w:basedOn w:val="a0"/>
    <w:semiHidden/>
    <w:rsid w:val="00D416FC"/>
    <w:rPr>
      <w:vertAlign w:val="superscript"/>
    </w:rPr>
  </w:style>
  <w:style w:type="paragraph" w:customStyle="1" w:styleId="HesberHeading">
    <w:name w:val="Hesber Heading"/>
    <w:basedOn w:val="Hesber"/>
    <w:rsid w:val="00D416FC"/>
    <w:pPr>
      <w:tabs>
        <w:tab w:val="left" w:pos="624"/>
        <w:tab w:val="left" w:pos="1247"/>
      </w:tabs>
    </w:pPr>
    <w:rPr>
      <w:b/>
      <w:bCs/>
    </w:rPr>
  </w:style>
  <w:style w:type="paragraph" w:customStyle="1" w:styleId="HesberWriters">
    <w:name w:val="Hesber Writers"/>
    <w:basedOn w:val="Hesber"/>
    <w:rsid w:val="00D416FC"/>
    <w:pPr>
      <w:spacing w:before="120" w:after="120"/>
      <w:ind w:left="1418"/>
      <w:jc w:val="right"/>
    </w:pPr>
    <w:rPr>
      <w:b/>
      <w:bCs/>
    </w:rPr>
  </w:style>
  <w:style w:type="paragraph" w:customStyle="1" w:styleId="Hesber1st">
    <w:name w:val="Hesber 1st"/>
    <w:basedOn w:val="Hesber"/>
    <w:rsid w:val="00D416FC"/>
    <w:pPr>
      <w:tabs>
        <w:tab w:val="left" w:pos="680"/>
        <w:tab w:val="left" w:pos="1020"/>
      </w:tabs>
      <w:ind w:firstLine="0"/>
    </w:pPr>
  </w:style>
  <w:style w:type="character" w:styleId="a7">
    <w:name w:val="endnote reference"/>
    <w:basedOn w:val="a0"/>
    <w:semiHidden/>
    <w:rsid w:val="00D416FC"/>
    <w:rPr>
      <w:vertAlign w:val="superscript"/>
    </w:rPr>
  </w:style>
  <w:style w:type="paragraph" w:customStyle="1" w:styleId="TableBlockOutdent">
    <w:name w:val="Table BlockOutdent"/>
    <w:basedOn w:val="TableBlock"/>
    <w:rsid w:val="00D416FC"/>
    <w:pPr>
      <w:ind w:left="624" w:hanging="624"/>
    </w:pPr>
  </w:style>
  <w:style w:type="paragraph" w:styleId="a8">
    <w:name w:val="header"/>
    <w:basedOn w:val="a"/>
    <w:rsid w:val="00D416FC"/>
    <w:pPr>
      <w:tabs>
        <w:tab w:val="center" w:pos="4153"/>
        <w:tab w:val="right" w:pos="8306"/>
      </w:tabs>
    </w:pPr>
  </w:style>
  <w:style w:type="paragraph" w:styleId="a9">
    <w:name w:val="footer"/>
    <w:basedOn w:val="a"/>
    <w:rsid w:val="00D416FC"/>
    <w:pPr>
      <w:tabs>
        <w:tab w:val="center" w:pos="4153"/>
        <w:tab w:val="right" w:pos="8306"/>
      </w:tabs>
    </w:pPr>
  </w:style>
  <w:style w:type="paragraph" w:customStyle="1" w:styleId="HeadDivreiHesber">
    <w:name w:val="Head DivreiHesber"/>
    <w:basedOn w:val="a"/>
    <w:rsid w:val="00D416FC"/>
    <w:pPr>
      <w:snapToGrid w:val="0"/>
      <w:spacing w:before="360" w:after="120"/>
      <w:jc w:val="center"/>
      <w:outlineLvl w:val="1"/>
    </w:pPr>
    <w:rPr>
      <w:rFonts w:ascii="Arial" w:eastAsia="Arial Unicode MS" w:hAnsi="Arial"/>
      <w:b/>
      <w:snapToGrid w:val="0"/>
      <w:spacing w:val="40"/>
      <w:sz w:val="20"/>
      <w:szCs w:val="26"/>
    </w:rPr>
  </w:style>
  <w:style w:type="paragraph" w:customStyle="1" w:styleId="Ragil">
    <w:name w:val="Ragil"/>
    <w:basedOn w:val="a"/>
    <w:rsid w:val="00D416FC"/>
    <w:pPr>
      <w:snapToGrid w:val="0"/>
      <w:jc w:val="left"/>
    </w:pPr>
    <w:rPr>
      <w:rFonts w:ascii="Arial" w:eastAsia="Arial Unicode MS" w:hAnsi="Arial"/>
      <w:snapToGrid w:val="0"/>
      <w:sz w:val="20"/>
      <w:szCs w:val="26"/>
    </w:rPr>
  </w:style>
  <w:style w:type="paragraph" w:styleId="aa">
    <w:name w:val="Title"/>
    <w:basedOn w:val="a"/>
    <w:qFormat/>
    <w:rsid w:val="00943386"/>
    <w:pPr>
      <w:jc w:val="center"/>
    </w:pPr>
    <w:rPr>
      <w:b/>
      <w:bCs/>
      <w:sz w:val="28"/>
      <w:szCs w:val="28"/>
      <w:u w:val="single"/>
    </w:rPr>
  </w:style>
  <w:style w:type="character" w:styleId="ab">
    <w:name w:val="page number"/>
    <w:basedOn w:val="a0"/>
    <w:rsid w:val="00D416FC"/>
  </w:style>
  <w:style w:type="paragraph" w:customStyle="1" w:styleId="David">
    <w:name w:val="רגיל + (עברית ושפות אחרות) David"/>
    <w:aliases w:val="‏13 נק',מודגש,אחרי:  6 נק'"/>
    <w:basedOn w:val="a"/>
    <w:rsid w:val="001207F8"/>
    <w:pPr>
      <w:jc w:val="left"/>
    </w:pPr>
    <w:rPr>
      <w:sz w:val="26"/>
      <w:szCs w:val="26"/>
    </w:rPr>
  </w:style>
  <w:style w:type="paragraph" w:styleId="ac">
    <w:name w:val="Balloon Text"/>
    <w:basedOn w:val="a"/>
    <w:link w:val="ad"/>
    <w:semiHidden/>
    <w:unhideWhenUsed/>
    <w:rsid w:val="00325C14"/>
    <w:pPr>
      <w:spacing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semiHidden/>
    <w:rsid w:val="00A47F48"/>
    <w:rPr>
      <w:rFonts w:ascii="Arial" w:eastAsia="Arial Unicode MS" w:hAnsi="Arial" w:cs="David"/>
      <w:snapToGrid w:val="0"/>
      <w:sz w:val="14"/>
    </w:rPr>
  </w:style>
  <w:style w:type="character" w:customStyle="1" w:styleId="10">
    <w:name w:val="כותרת 1 תו"/>
    <w:basedOn w:val="a0"/>
    <w:link w:val="1"/>
    <w:uiPriority w:val="9"/>
    <w:rsid w:val="00D416FC"/>
    <w:rPr>
      <w:rFonts w:asciiTheme="majorHAnsi" w:eastAsiaTheme="majorEastAsia" w:hAnsiTheme="majorHAnsi" w:cs="David"/>
      <w:bCs/>
      <w:sz w:val="32"/>
      <w:szCs w:val="36"/>
    </w:rPr>
  </w:style>
  <w:style w:type="character" w:customStyle="1" w:styleId="20">
    <w:name w:val="כותרת 2 תו"/>
    <w:basedOn w:val="a0"/>
    <w:link w:val="2"/>
    <w:rsid w:val="00D416FC"/>
    <w:rPr>
      <w:rFonts w:asciiTheme="majorHAnsi" w:eastAsiaTheme="majorEastAsia" w:hAnsiTheme="majorHAnsi" w:cs="David"/>
      <w:bCs/>
      <w:sz w:val="26"/>
      <w:szCs w:val="36"/>
      <w:u w:val="single"/>
    </w:rPr>
  </w:style>
  <w:style w:type="character" w:customStyle="1" w:styleId="30">
    <w:name w:val="כותרת 3 תו"/>
    <w:basedOn w:val="a0"/>
    <w:link w:val="3"/>
    <w:rsid w:val="00D416FC"/>
    <w:rPr>
      <w:rFonts w:asciiTheme="majorHAnsi" w:eastAsiaTheme="majorEastAsia" w:hAnsiTheme="majorHAnsi" w:cs="David"/>
      <w:sz w:val="24"/>
      <w:szCs w:val="28"/>
      <w:u w:val="double"/>
    </w:rPr>
  </w:style>
  <w:style w:type="character" w:customStyle="1" w:styleId="40">
    <w:name w:val="כותרת 4 תו"/>
    <w:basedOn w:val="a0"/>
    <w:link w:val="4"/>
    <w:uiPriority w:val="9"/>
    <w:rsid w:val="00D416FC"/>
    <w:rPr>
      <w:rFonts w:ascii="David" w:eastAsiaTheme="minorHAnsi" w:hAnsi="David" w:cs="David"/>
      <w:b/>
      <w:bCs/>
      <w:color w:val="000000" w:themeColor="text1"/>
      <w:sz w:val="24"/>
      <w:szCs w:val="28"/>
    </w:rPr>
  </w:style>
  <w:style w:type="character" w:customStyle="1" w:styleId="50">
    <w:name w:val="כותרת 5 תו"/>
    <w:basedOn w:val="a0"/>
    <w:link w:val="5"/>
    <w:uiPriority w:val="9"/>
    <w:rsid w:val="00D416FC"/>
    <w:rPr>
      <w:rFonts w:ascii="David" w:eastAsiaTheme="minorHAnsi" w:hAnsi="David" w:cs="David"/>
      <w:color w:val="000000" w:themeColor="text1"/>
      <w:sz w:val="24"/>
      <w:szCs w:val="24"/>
    </w:rPr>
  </w:style>
  <w:style w:type="paragraph" w:styleId="ae">
    <w:name w:val="TOC Heading"/>
    <w:basedOn w:val="1"/>
    <w:next w:val="a"/>
    <w:uiPriority w:val="39"/>
    <w:unhideWhenUsed/>
    <w:qFormat/>
    <w:rsid w:val="00D416FC"/>
    <w:pPr>
      <w:widowControl/>
      <w:spacing w:before="120" w:after="120"/>
      <w:outlineLvl w:val="9"/>
    </w:pPr>
    <w:rPr>
      <w:rtl/>
      <w:cs/>
    </w:rPr>
  </w:style>
  <w:style w:type="paragraph" w:styleId="TOC1">
    <w:name w:val="toc 1"/>
    <w:basedOn w:val="a"/>
    <w:next w:val="a"/>
    <w:autoRedefine/>
    <w:uiPriority w:val="39"/>
    <w:unhideWhenUsed/>
    <w:rsid w:val="00D416FC"/>
    <w:pPr>
      <w:tabs>
        <w:tab w:val="right" w:leader="dot" w:pos="9629"/>
      </w:tabs>
      <w:spacing w:after="100"/>
    </w:pPr>
    <w:rPr>
      <w:bCs/>
      <w:szCs w:val="22"/>
    </w:rPr>
  </w:style>
  <w:style w:type="paragraph" w:styleId="TOC2">
    <w:name w:val="toc 2"/>
    <w:basedOn w:val="a"/>
    <w:next w:val="a"/>
    <w:uiPriority w:val="39"/>
    <w:unhideWhenUsed/>
    <w:rsid w:val="00D416FC"/>
    <w:pPr>
      <w:tabs>
        <w:tab w:val="right" w:leader="dot" w:pos="9628"/>
      </w:tabs>
      <w:spacing w:after="100"/>
    </w:pPr>
    <w:rPr>
      <w:szCs w:val="22"/>
    </w:rPr>
  </w:style>
  <w:style w:type="character" w:styleId="Hyperlink">
    <w:name w:val="Hyperlink"/>
    <w:basedOn w:val="a0"/>
    <w:uiPriority w:val="99"/>
    <w:unhideWhenUsed/>
    <w:rsid w:val="00D416FC"/>
    <w:rPr>
      <w:color w:val="0000FF" w:themeColor="hyperlink"/>
      <w:u w:val="single"/>
    </w:rPr>
  </w:style>
  <w:style w:type="paragraph" w:styleId="TOC3">
    <w:name w:val="toc 3"/>
    <w:basedOn w:val="a"/>
    <w:next w:val="a"/>
    <w:uiPriority w:val="39"/>
    <w:unhideWhenUsed/>
    <w:rsid w:val="00D416FC"/>
    <w:pPr>
      <w:numPr>
        <w:numId w:val="24"/>
      </w:numPr>
      <w:tabs>
        <w:tab w:val="right" w:leader="dot" w:pos="9629"/>
      </w:tabs>
      <w:spacing w:after="100"/>
      <w:ind w:left="811" w:hanging="357"/>
    </w:pPr>
    <w:rPr>
      <w:szCs w:val="22"/>
    </w:rPr>
  </w:style>
  <w:style w:type="paragraph" w:styleId="TOC4">
    <w:name w:val="toc 4"/>
    <w:basedOn w:val="a"/>
    <w:next w:val="a"/>
    <w:autoRedefine/>
    <w:unhideWhenUsed/>
    <w:qFormat/>
    <w:rsid w:val="00D416FC"/>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D416FC"/>
    <w:pPr>
      <w:tabs>
        <w:tab w:val="right" w:leader="dot" w:pos="9628"/>
      </w:tabs>
      <w:spacing w:after="100"/>
      <w:ind w:left="567"/>
    </w:pPr>
    <w:rPr>
      <w:szCs w:val="22"/>
    </w:rPr>
  </w:style>
  <w:style w:type="paragraph" w:styleId="TOC6">
    <w:name w:val="toc 6"/>
    <w:basedOn w:val="a"/>
    <w:next w:val="a"/>
    <w:autoRedefine/>
    <w:semiHidden/>
    <w:unhideWhenUsed/>
    <w:rsid w:val="00D416FC"/>
    <w:pPr>
      <w:spacing w:after="100"/>
      <w:ind w:left="850"/>
    </w:pPr>
  </w:style>
  <w:style w:type="paragraph" w:styleId="TOC7">
    <w:name w:val="toc 7"/>
    <w:basedOn w:val="a"/>
    <w:next w:val="a"/>
    <w:autoRedefine/>
    <w:semiHidden/>
    <w:unhideWhenUsed/>
    <w:rsid w:val="00D416FC"/>
    <w:pPr>
      <w:spacing w:after="100"/>
      <w:ind w:left="1020"/>
    </w:pPr>
  </w:style>
  <w:style w:type="paragraph" w:styleId="TOC8">
    <w:name w:val="toc 8"/>
    <w:basedOn w:val="a"/>
    <w:next w:val="a"/>
    <w:autoRedefine/>
    <w:semiHidden/>
    <w:unhideWhenUsed/>
    <w:rsid w:val="00D416FC"/>
    <w:pPr>
      <w:spacing w:after="100"/>
      <w:ind w:left="1190"/>
    </w:pPr>
  </w:style>
  <w:style w:type="paragraph" w:styleId="TOC9">
    <w:name w:val="toc 9"/>
    <w:basedOn w:val="a"/>
    <w:next w:val="a"/>
    <w:autoRedefine/>
    <w:semiHidden/>
    <w:unhideWhenUsed/>
    <w:rsid w:val="00D416FC"/>
    <w:pPr>
      <w:spacing w:after="100"/>
      <w:ind w:left="1360"/>
    </w:pPr>
  </w:style>
  <w:style w:type="paragraph" w:customStyle="1" w:styleId="TableHead2">
    <w:name w:val="Table Head2"/>
    <w:basedOn w:val="TableHead"/>
    <w:qFormat/>
    <w:rsid w:val="00D416FC"/>
    <w:pPr>
      <w:outlineLvl w:val="9"/>
    </w:pPr>
  </w:style>
  <w:style w:type="paragraph" w:customStyle="1" w:styleId="TableSideHeading2">
    <w:name w:val="Table SideHeading2"/>
    <w:basedOn w:val="TableSideHeading"/>
    <w:autoRedefine/>
    <w:qFormat/>
    <w:rsid w:val="00D416FC"/>
    <w:pPr>
      <w:keepLines w:val="0"/>
      <w:outlineLvl w:val="9"/>
    </w:pPr>
  </w:style>
  <w:style w:type="paragraph" w:customStyle="1" w:styleId="0">
    <w:name w:val="סגנון שורה ראשונה:  0  ס''מ"/>
    <w:basedOn w:val="2"/>
    <w:rsid w:val="00D416FC"/>
    <w:rPr>
      <w:rFonts w:eastAsia="Times New Roman"/>
    </w:rPr>
  </w:style>
  <w:style w:type="paragraph" w:styleId="af">
    <w:name w:val="List Paragraph"/>
    <w:basedOn w:val="a"/>
    <w:uiPriority w:val="34"/>
    <w:qFormat/>
    <w:rsid w:val="00D416FC"/>
    <w:pPr>
      <w:widowControl/>
      <w:spacing w:line="259" w:lineRule="auto"/>
    </w:pPr>
    <w:rPr>
      <w:rFonts w:asciiTheme="minorHAnsi" w:hAnsiTheme="minorHAnsi"/>
      <w:sz w:val="22"/>
    </w:rPr>
  </w:style>
  <w:style w:type="table" w:styleId="af0">
    <w:name w:val="Table Grid"/>
    <w:basedOn w:val="a1"/>
    <w:rsid w:val="00D41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D416F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D416F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D416FC"/>
    <w:pPr>
      <w:jc w:val="center"/>
    </w:pPr>
    <w:rPr>
      <w:rFonts w:cstheme="minorBidi"/>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D416FC"/>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54E21C28B32ECF49ADBB6A5BBBCCB3CD" ma:contentTypeVersion="" ma:contentTypeDescription="צור מסמך חדש." ma:contentTypeScope="" ma:versionID="f81d89568b860eeaa06327f0f2d2f14b">
  <xsd:schema xmlns:xsd="http://www.w3.org/2001/XMLSchema" xmlns:xs="http://www.w3.org/2001/XMLSchema" xmlns:p="http://schemas.microsoft.com/office/2006/metadata/properties" xmlns:ns2="290d5b49-c690-4c6f-bbb9-1e50dab33eee" targetNamespace="http://schemas.microsoft.com/office/2006/metadata/properties" ma:root="true" ma:fieldsID="a6db6e33f8462d87724f237088727803" ns2:_="">
    <xsd:import namespace="290d5b49-c690-4c6f-bbb9-1e50dab33e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d5b49-c690-4c6f-bbb9-1e50dab33eee" elementFormDefault="qualified">
    <xsd:import namespace="http://schemas.microsoft.com/office/2006/documentManagement/types"/>
    <xsd:import namespace="http://schemas.microsoft.com/office/infopath/2007/PartnerControls"/>
    <xsd:element name="SharedWithUsers" ma:index="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AFE3-9455-419C-8851-785A55F44517}">
  <ds:schemaRefs>
    <ds:schemaRef ds:uri="290d5b49-c690-4c6f-bbb9-1e50dab33ee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A8589EC-4D4B-42DA-936A-7C7D59B7D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d5b49-c690-4c6f-bbb9-1e50dab33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7728BDBB-A28B-4847-B4F0-5067BB17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415</Words>
  <Characters>2366</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טליה ווייס עמר</cp:lastModifiedBy>
  <cp:revision>11</cp:revision>
  <cp:lastPrinted>2013-07-04T08:25:00Z</cp:lastPrinted>
  <dcterms:created xsi:type="dcterms:W3CDTF">2015-04-20T09:58:00Z</dcterms:created>
  <dcterms:modified xsi:type="dcterms:W3CDTF">2024-06-24T05:52:00Z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0x01010054E21C28B32ECF49ADBB6A5BBBCCB3CD</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2219438</vt:r8>
  </property>
</Properties>
</file>