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2218886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1AD9C6A7" w14:textId="77777777" w:rsidR="0082318E" w:rsidRDefault="008F6665" w:rsidP="00E34E8B">
      <w:pPr>
        <w:pStyle w:val="David"/>
        <w:spacing w:before="102"/>
        <w:ind w:left="3544"/>
        <w:rPr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חוה אתי עטייה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</w:p>
    <w:p w14:paraId="7F6961AA" w14:textId="2FA6B52F" w:rsidR="00E13C27" w:rsidRPr="00CF1AA2" w:rsidRDefault="002200A1" w:rsidP="00E34E8B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r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55D9AD4A" w:rsidR="00E13C27" w:rsidRPr="00E06736" w:rsidRDefault="00904591" w:rsidP="00904591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 w:rsidR="0082318E">
        <w:rPr>
          <w:rtl/>
        </w:rPr>
        <w:tab/>
      </w:r>
      <w:r>
        <w:rPr>
          <w:rFonts w:hint="cs"/>
          <w:rtl/>
        </w:rPr>
        <w:t>פ/4687/25</w:t>
      </w:r>
      <w:bookmarkEnd w:id="6"/>
    </w:p>
    <w:p w14:paraId="29818E9D" w14:textId="77777777" w:rsidR="0082318E" w:rsidRDefault="0082318E" w:rsidP="0021633A">
      <w:pPr>
        <w:pStyle w:val="HeadHatzaotHok"/>
        <w:rPr>
          <w:rtl/>
        </w:rPr>
      </w:pPr>
      <w:bookmarkStart w:id="7" w:name="LGS_Subject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8" w:name="_GoBack"/>
      <w:bookmarkEnd w:id="8"/>
      <w:r>
        <w:rPr>
          <w:rFonts w:hint="cs"/>
          <w:rtl/>
        </w:rPr>
        <w:t>הצעת חוק מתן פטור מתשלום חשבונות עבור שירותים חיוניים לחיילים בודדים, התשפ"ד–2024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19"/>
      </w:tblGrid>
      <w:tr w:rsidR="00937848" w:rsidRPr="001C4F07" w14:paraId="5D95074C" w14:textId="77777777" w:rsidTr="00E34E8B">
        <w:trPr>
          <w:cantSplit/>
        </w:trPr>
        <w:tc>
          <w:tcPr>
            <w:tcW w:w="1871" w:type="dxa"/>
          </w:tcPr>
          <w:p w14:paraId="6E4EA409" w14:textId="77777777" w:rsidR="00937848" w:rsidRPr="006D304E" w:rsidRDefault="00937848" w:rsidP="00F067F3">
            <w:pPr>
              <w:pStyle w:val="TableSideHeading"/>
            </w:pPr>
            <w:r w:rsidRPr="006D304E">
              <w:rPr>
                <w:rFonts w:hint="cs"/>
                <w:rtl/>
              </w:rPr>
              <w:t>הגדרות</w:t>
            </w:r>
          </w:p>
        </w:tc>
        <w:tc>
          <w:tcPr>
            <w:tcW w:w="624" w:type="dxa"/>
          </w:tcPr>
          <w:p w14:paraId="59F7D0FF" w14:textId="77777777" w:rsidR="00937848" w:rsidRPr="00E34E8B" w:rsidRDefault="00937848" w:rsidP="00E34E8B">
            <w:pPr>
              <w:pStyle w:val="TableText"/>
              <w:jc w:val="both"/>
            </w:pPr>
            <w:r w:rsidRPr="00E34E8B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2"/>
          </w:tcPr>
          <w:p w14:paraId="1319BDDA" w14:textId="77777777" w:rsidR="00937848" w:rsidRPr="006D304E" w:rsidRDefault="00937848" w:rsidP="00E34E8B">
            <w:pPr>
              <w:pStyle w:val="TableBlock"/>
            </w:pPr>
            <w:r w:rsidRPr="006D304E">
              <w:rPr>
                <w:rFonts w:hint="cs"/>
                <w:rtl/>
              </w:rPr>
              <w:t>בחוק זה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</w:p>
        </w:tc>
      </w:tr>
      <w:tr w:rsidR="00937848" w:rsidRPr="001C4F07" w14:paraId="47719146" w14:textId="77777777" w:rsidTr="00E34E8B">
        <w:trPr>
          <w:cantSplit/>
        </w:trPr>
        <w:tc>
          <w:tcPr>
            <w:tcW w:w="1871" w:type="dxa"/>
          </w:tcPr>
          <w:p w14:paraId="3945C3CE" w14:textId="77777777" w:rsidR="00937848" w:rsidRPr="001C4F07" w:rsidRDefault="00937848" w:rsidP="00F067F3">
            <w:pPr>
              <w:pStyle w:val="TableSideHeading"/>
              <w:keepLines w:val="0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14:paraId="44757D78" w14:textId="77777777" w:rsidR="00937848" w:rsidRPr="001C4F07" w:rsidRDefault="00937848" w:rsidP="00F067F3">
            <w:pPr>
              <w:pStyle w:val="TableText"/>
              <w:keepLines w:val="0"/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2"/>
          </w:tcPr>
          <w:p w14:paraId="6A5B30F2" w14:textId="77777777" w:rsidR="00937848" w:rsidRPr="006D304E" w:rsidRDefault="00937848" w:rsidP="00E34E8B">
            <w:pPr>
              <w:pStyle w:val="TableBlockOutdent"/>
            </w:pPr>
            <w:r w:rsidRPr="006D304E">
              <w:rPr>
                <w:rFonts w:hint="cs"/>
                <w:rtl/>
              </w:rPr>
              <w:t xml:space="preserve">"חייל בודד" </w:t>
            </w:r>
            <w:r w:rsidRPr="006D304E">
              <w:rPr>
                <w:rFonts w:hint="eastAsia"/>
                <w:rtl/>
              </w:rPr>
              <w:t>–</w:t>
            </w:r>
            <w:r w:rsidRPr="006D304E">
              <w:rPr>
                <w:rFonts w:hint="cs"/>
                <w:rtl/>
              </w:rPr>
              <w:t xml:space="preserve"> מי שהוכר לפי פקודת הצבא כחייל בודד הזכאי להשתתפות בשכר דירה</w:t>
            </w:r>
            <w:r>
              <w:rPr>
                <w:rFonts w:hint="cs"/>
                <w:rtl/>
              </w:rPr>
              <w:t>;</w:t>
            </w:r>
          </w:p>
        </w:tc>
      </w:tr>
      <w:tr w:rsidR="00937848" w:rsidRPr="001C4F07" w14:paraId="0C393A9C" w14:textId="77777777" w:rsidTr="00E34E8B">
        <w:trPr>
          <w:cantSplit/>
        </w:trPr>
        <w:tc>
          <w:tcPr>
            <w:tcW w:w="1871" w:type="dxa"/>
          </w:tcPr>
          <w:p w14:paraId="6ADF10B4" w14:textId="77777777" w:rsidR="00937848" w:rsidRPr="001C4F07" w:rsidRDefault="00937848" w:rsidP="00F067F3">
            <w:pPr>
              <w:pStyle w:val="TableSideHeading"/>
              <w:keepLines w:val="0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14:paraId="0A90C746" w14:textId="77777777" w:rsidR="00937848" w:rsidRPr="001C4F07" w:rsidRDefault="00937848" w:rsidP="00F067F3">
            <w:pPr>
              <w:pStyle w:val="TableText"/>
              <w:keepLines w:val="0"/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2"/>
          </w:tcPr>
          <w:p w14:paraId="6F3981E6" w14:textId="77777777" w:rsidR="00937848" w:rsidRPr="006D304E" w:rsidRDefault="00937848" w:rsidP="00E34E8B">
            <w:pPr>
              <w:pStyle w:val="TableBlockOutdent"/>
              <w:rPr>
                <w:rtl/>
              </w:rPr>
            </w:pPr>
            <w:r w:rsidRPr="006D304E">
              <w:rPr>
                <w:rFonts w:hint="cs"/>
                <w:rtl/>
              </w:rPr>
              <w:t>"חשבון חשמל"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  <w:r w:rsidRPr="006D304E">
              <w:rPr>
                <w:rFonts w:hint="cs"/>
                <w:rtl/>
              </w:rPr>
              <w:t xml:space="preserve"> תשלומים</w:t>
            </w:r>
            <w:r>
              <w:rPr>
                <w:rFonts w:hint="cs"/>
                <w:rtl/>
              </w:rPr>
              <w:t xml:space="preserve"> לבעל רישיון לספק שירות חיוני בעד</w:t>
            </w:r>
            <w:r w:rsidRPr="006D304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צריכת</w:t>
            </w:r>
            <w:r w:rsidRPr="006D304E">
              <w:rPr>
                <w:rFonts w:hint="cs"/>
                <w:rtl/>
              </w:rPr>
              <w:t xml:space="preserve"> חשמל; </w:t>
            </w:r>
          </w:p>
        </w:tc>
      </w:tr>
      <w:tr w:rsidR="00937848" w:rsidRPr="001C4F07" w14:paraId="52CF93C8" w14:textId="77777777" w:rsidTr="00E34E8B">
        <w:trPr>
          <w:cantSplit/>
        </w:trPr>
        <w:tc>
          <w:tcPr>
            <w:tcW w:w="1871" w:type="dxa"/>
          </w:tcPr>
          <w:p w14:paraId="0A8A3570" w14:textId="77777777" w:rsidR="00937848" w:rsidRPr="001C4F07" w:rsidRDefault="00937848" w:rsidP="00F067F3">
            <w:pPr>
              <w:pStyle w:val="TableSideHeading"/>
              <w:keepLines w:val="0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14:paraId="7330B717" w14:textId="77777777" w:rsidR="00937848" w:rsidRPr="001C4F07" w:rsidRDefault="00937848" w:rsidP="00F067F3">
            <w:pPr>
              <w:pStyle w:val="TableText"/>
              <w:keepLines w:val="0"/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2"/>
          </w:tcPr>
          <w:p w14:paraId="2EECF068" w14:textId="77777777" w:rsidR="00937848" w:rsidRPr="006D304E" w:rsidRDefault="00937848" w:rsidP="00E34E8B">
            <w:pPr>
              <w:pStyle w:val="TableBlockOutdent"/>
              <w:rPr>
                <w:rtl/>
              </w:rPr>
            </w:pPr>
            <w:r>
              <w:rPr>
                <w:rFonts w:hint="cs"/>
                <w:rtl/>
              </w:rPr>
              <w:t xml:space="preserve">"רישיון ספק שירות חיוני" </w:t>
            </w:r>
            <w:r>
              <w:rPr>
                <w:rFonts w:hint="eastAsia"/>
                <w:rtl/>
              </w:rPr>
              <w:t>– כהגדרתו בחוק משק החשמל</w:t>
            </w:r>
            <w:r>
              <w:rPr>
                <w:rFonts w:hint="cs"/>
                <w:rtl/>
              </w:rPr>
              <w:t>, התשנ"ו</w:t>
            </w:r>
            <w:r>
              <w:rPr>
                <w:rFonts w:hint="eastAsia"/>
                <w:rtl/>
              </w:rPr>
              <w:t>–1996</w:t>
            </w:r>
            <w:r w:rsidRPr="00E34E8B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>;</w:t>
            </w:r>
          </w:p>
        </w:tc>
      </w:tr>
      <w:tr w:rsidR="00937848" w:rsidRPr="001C4F07" w14:paraId="5929BA97" w14:textId="77777777" w:rsidTr="00E34E8B">
        <w:trPr>
          <w:cantSplit/>
        </w:trPr>
        <w:tc>
          <w:tcPr>
            <w:tcW w:w="1871" w:type="dxa"/>
          </w:tcPr>
          <w:p w14:paraId="00653CDF" w14:textId="77777777" w:rsidR="00937848" w:rsidRPr="001C4F07" w:rsidRDefault="00937848" w:rsidP="00F067F3">
            <w:pPr>
              <w:pStyle w:val="TableSideHeading"/>
              <w:keepLines w:val="0"/>
              <w:rPr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14:paraId="46DCE8FD" w14:textId="77777777" w:rsidR="00937848" w:rsidRPr="001C4F07" w:rsidRDefault="00937848" w:rsidP="00F067F3">
            <w:pPr>
              <w:pStyle w:val="TableText"/>
              <w:keepLines w:val="0"/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2"/>
          </w:tcPr>
          <w:p w14:paraId="23E311AC" w14:textId="77777777" w:rsidR="00937848" w:rsidRPr="006D304E" w:rsidRDefault="00937848" w:rsidP="00E34E8B">
            <w:pPr>
              <w:pStyle w:val="TableBlockOutdent"/>
              <w:rPr>
                <w:rtl/>
              </w:rPr>
            </w:pPr>
            <w:r w:rsidRPr="006D304E">
              <w:rPr>
                <w:rFonts w:hint="cs"/>
                <w:rtl/>
              </w:rPr>
              <w:t>"תשלום ע</w:t>
            </w:r>
            <w:r>
              <w:rPr>
                <w:rFonts w:hint="cs"/>
                <w:rtl/>
              </w:rPr>
              <w:t xml:space="preserve">בור שירותי מים וביוב"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תשלומים</w:t>
            </w:r>
            <w:r w:rsidRPr="006D304E">
              <w:rPr>
                <w:rFonts w:hint="cs"/>
                <w:rtl/>
              </w:rPr>
              <w:t>, כמשמעותם בחוק תאגידי מים וביוב, התשס"א</w:t>
            </w:r>
            <w:r w:rsidRPr="006D304E">
              <w:rPr>
                <w:rFonts w:hint="eastAsia"/>
                <w:rtl/>
              </w:rPr>
              <w:t>–2001</w:t>
            </w:r>
            <w:r w:rsidRPr="00E34E8B">
              <w:rPr>
                <w:rStyle w:val="a5"/>
                <w:rFonts w:ascii="David" w:hAnsi="David"/>
                <w:sz w:val="26"/>
                <w:rtl/>
              </w:rPr>
              <w:footnoteReference w:id="3"/>
            </w:r>
            <w:r w:rsidRPr="006D304E">
              <w:rPr>
                <w:rFonts w:hint="eastAsia"/>
                <w:rtl/>
              </w:rPr>
              <w:t>.</w:t>
            </w:r>
            <w:r w:rsidRPr="006D304E">
              <w:rPr>
                <w:rFonts w:hint="cs"/>
                <w:rtl/>
              </w:rPr>
              <w:t xml:space="preserve">  </w:t>
            </w:r>
          </w:p>
        </w:tc>
      </w:tr>
      <w:tr w:rsidR="00937848" w:rsidRPr="001C4F07" w14:paraId="5FDF0236" w14:textId="77777777" w:rsidTr="00E34E8B">
        <w:trPr>
          <w:cantSplit/>
        </w:trPr>
        <w:tc>
          <w:tcPr>
            <w:tcW w:w="1871" w:type="dxa"/>
          </w:tcPr>
          <w:p w14:paraId="30E81B28" w14:textId="77777777" w:rsidR="00937848" w:rsidRPr="006D304E" w:rsidRDefault="00937848" w:rsidP="00F067F3">
            <w:pPr>
              <w:pStyle w:val="TableSideHeading"/>
              <w:rPr>
                <w:rtl/>
              </w:rPr>
            </w:pPr>
            <w:r w:rsidRPr="006D304E">
              <w:rPr>
                <w:rFonts w:hint="cs"/>
                <w:rtl/>
              </w:rPr>
              <w:t>מתן פטור מתשלום חשבונות חשמל</w:t>
            </w:r>
          </w:p>
        </w:tc>
        <w:tc>
          <w:tcPr>
            <w:tcW w:w="624" w:type="dxa"/>
          </w:tcPr>
          <w:p w14:paraId="5366A160" w14:textId="77777777" w:rsidR="00937848" w:rsidRPr="00E34E8B" w:rsidRDefault="00937848" w:rsidP="00E34E8B">
            <w:pPr>
              <w:pStyle w:val="TableText"/>
              <w:jc w:val="both"/>
            </w:pPr>
            <w:r w:rsidRPr="00E34E8B"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  <w:gridSpan w:val="2"/>
          </w:tcPr>
          <w:p w14:paraId="2349C388" w14:textId="77777777" w:rsidR="00937848" w:rsidRPr="006D304E" w:rsidRDefault="00937848" w:rsidP="00E34E8B">
            <w:pPr>
              <w:pStyle w:val="TableBlock"/>
              <w:rPr>
                <w:rtl/>
              </w:rPr>
            </w:pPr>
            <w:r w:rsidRPr="006D304E"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מי שהוכר כחייל בודד יהיה </w:t>
            </w:r>
            <w:r w:rsidRPr="006D304E">
              <w:rPr>
                <w:rFonts w:hint="cs"/>
                <w:rtl/>
              </w:rPr>
              <w:t xml:space="preserve">פטור מתשלום חשבון חשמל במשך תקופת השירות הצבאי. </w:t>
            </w:r>
          </w:p>
        </w:tc>
      </w:tr>
      <w:tr w:rsidR="00937848" w:rsidRPr="001C4F07" w14:paraId="6AB58450" w14:textId="77777777" w:rsidTr="00E34E8B">
        <w:trPr>
          <w:cantSplit/>
        </w:trPr>
        <w:tc>
          <w:tcPr>
            <w:tcW w:w="1871" w:type="dxa"/>
          </w:tcPr>
          <w:p w14:paraId="0964A83D" w14:textId="77777777" w:rsidR="00937848" w:rsidRPr="001C4F07" w:rsidRDefault="00937848" w:rsidP="00F067F3">
            <w:pPr>
              <w:pStyle w:val="TableSideHeading"/>
              <w:keepLines w:val="0"/>
              <w:rPr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14:paraId="7596DEBC" w14:textId="77777777" w:rsidR="00937848" w:rsidRPr="00E34E8B" w:rsidRDefault="00937848" w:rsidP="00E34E8B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3" w:type="dxa"/>
            <w:gridSpan w:val="2"/>
          </w:tcPr>
          <w:p w14:paraId="37EBC370" w14:textId="77777777" w:rsidR="00937848" w:rsidRPr="006D304E" w:rsidRDefault="00937848" w:rsidP="00E34E8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 w:rsidRPr="006D304E">
              <w:rPr>
                <w:rFonts w:hint="cs"/>
                <w:rtl/>
              </w:rPr>
              <w:t>הפטור</w:t>
            </w:r>
            <w:r>
              <w:rPr>
                <w:rFonts w:hint="cs"/>
                <w:rtl/>
              </w:rPr>
              <w:t xml:space="preserve"> לפי סעיף קטן (א)</w:t>
            </w:r>
            <w:r w:rsidRPr="006D304E">
              <w:rPr>
                <w:rFonts w:hint="cs"/>
                <w:rtl/>
              </w:rPr>
              <w:t xml:space="preserve"> יינתן לחייל בודד שהוא אחד מאלה: </w:t>
            </w:r>
          </w:p>
        </w:tc>
      </w:tr>
      <w:tr w:rsidR="00937848" w14:paraId="06E43D84" w14:textId="77777777" w:rsidTr="00E34E8B">
        <w:trPr>
          <w:cantSplit/>
        </w:trPr>
        <w:tc>
          <w:tcPr>
            <w:tcW w:w="1871" w:type="dxa"/>
          </w:tcPr>
          <w:p w14:paraId="50A1EF17" w14:textId="77777777" w:rsidR="00937848" w:rsidRDefault="00937848" w:rsidP="00F067F3">
            <w:pPr>
              <w:pStyle w:val="TableSideHeading"/>
            </w:pPr>
          </w:p>
        </w:tc>
        <w:tc>
          <w:tcPr>
            <w:tcW w:w="624" w:type="dxa"/>
          </w:tcPr>
          <w:p w14:paraId="6F5E331F" w14:textId="77777777" w:rsidR="00937848" w:rsidRDefault="00937848" w:rsidP="00F067F3">
            <w:pPr>
              <w:pStyle w:val="TableText"/>
            </w:pPr>
          </w:p>
        </w:tc>
        <w:tc>
          <w:tcPr>
            <w:tcW w:w="624" w:type="dxa"/>
          </w:tcPr>
          <w:p w14:paraId="0BDC3070" w14:textId="77777777" w:rsidR="00937848" w:rsidRDefault="00937848" w:rsidP="00F067F3">
            <w:pPr>
              <w:pStyle w:val="TableText"/>
            </w:pPr>
          </w:p>
        </w:tc>
        <w:tc>
          <w:tcPr>
            <w:tcW w:w="6519" w:type="dxa"/>
          </w:tcPr>
          <w:p w14:paraId="193AFC0D" w14:textId="77777777" w:rsidR="00937848" w:rsidRDefault="00937848" w:rsidP="00E34E8B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Pr="006D304E">
              <w:rPr>
                <w:rFonts w:hint="cs"/>
                <w:rtl/>
              </w:rPr>
              <w:t xml:space="preserve">צרכן רשום אצל </w:t>
            </w:r>
            <w:r>
              <w:rPr>
                <w:rFonts w:hint="cs"/>
                <w:rtl/>
              </w:rPr>
              <w:t xml:space="preserve">בעל רישיון </w:t>
            </w:r>
            <w:r w:rsidRPr="006D304E">
              <w:rPr>
                <w:rFonts w:hint="cs"/>
                <w:rtl/>
              </w:rPr>
              <w:t>ספק שירות חיוני</w:t>
            </w:r>
            <w:r>
              <w:rPr>
                <w:rFonts w:hint="cs"/>
                <w:rtl/>
              </w:rPr>
              <w:t>;</w:t>
            </w:r>
          </w:p>
        </w:tc>
      </w:tr>
      <w:tr w:rsidR="00937848" w14:paraId="1977593F" w14:textId="77777777" w:rsidTr="00E34E8B">
        <w:trPr>
          <w:cantSplit/>
        </w:trPr>
        <w:tc>
          <w:tcPr>
            <w:tcW w:w="1871" w:type="dxa"/>
          </w:tcPr>
          <w:p w14:paraId="7D18ACAB" w14:textId="77777777" w:rsidR="00937848" w:rsidRDefault="00937848" w:rsidP="00F067F3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36A51368" w14:textId="77777777" w:rsidR="00937848" w:rsidRDefault="00937848" w:rsidP="00F067F3">
            <w:pPr>
              <w:pStyle w:val="TableText"/>
            </w:pPr>
          </w:p>
        </w:tc>
        <w:tc>
          <w:tcPr>
            <w:tcW w:w="624" w:type="dxa"/>
          </w:tcPr>
          <w:p w14:paraId="75E65D36" w14:textId="77777777" w:rsidR="00937848" w:rsidRDefault="00937848" w:rsidP="00F067F3">
            <w:pPr>
              <w:pStyle w:val="TableText"/>
            </w:pPr>
          </w:p>
        </w:tc>
        <w:tc>
          <w:tcPr>
            <w:tcW w:w="6519" w:type="dxa"/>
          </w:tcPr>
          <w:p w14:paraId="2192D80E" w14:textId="77777777" w:rsidR="00937848" w:rsidRDefault="00937848" w:rsidP="00E34E8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 w:rsidRPr="006D304E">
              <w:rPr>
                <w:rFonts w:hint="cs"/>
                <w:rtl/>
              </w:rPr>
              <w:t>מתגורר במקום הצרכנות של מי שרשום כצרכן אצל</w:t>
            </w:r>
            <w:r>
              <w:rPr>
                <w:rFonts w:hint="cs"/>
                <w:rtl/>
              </w:rPr>
              <w:t xml:space="preserve"> בעל רישיון</w:t>
            </w:r>
            <w:r w:rsidRPr="006D304E">
              <w:rPr>
                <w:rFonts w:hint="cs"/>
                <w:rtl/>
              </w:rPr>
              <w:t xml:space="preserve"> ספק שירות חיוני, ובלבד שמותקן מונה</w:t>
            </w:r>
            <w:r>
              <w:rPr>
                <w:rFonts w:hint="cs"/>
                <w:rtl/>
              </w:rPr>
              <w:t xml:space="preserve"> נפרד</w:t>
            </w:r>
            <w:r w:rsidRPr="006D304E">
              <w:rPr>
                <w:rFonts w:hint="cs"/>
                <w:rtl/>
              </w:rPr>
              <w:t xml:space="preserve"> לרישום צריכת החשמל הביתית של </w:t>
            </w:r>
            <w:r>
              <w:rPr>
                <w:rFonts w:hint="cs"/>
                <w:rtl/>
              </w:rPr>
              <w:t>ה</w:t>
            </w:r>
            <w:r w:rsidRPr="006D304E">
              <w:rPr>
                <w:rFonts w:hint="cs"/>
                <w:rtl/>
              </w:rPr>
              <w:t xml:space="preserve">חייל </w:t>
            </w:r>
            <w:r>
              <w:rPr>
                <w:rFonts w:hint="cs"/>
                <w:rtl/>
              </w:rPr>
              <w:t>הבודד, ש</w:t>
            </w:r>
            <w:r w:rsidRPr="006D304E">
              <w:rPr>
                <w:rFonts w:hint="cs"/>
                <w:rtl/>
              </w:rPr>
              <w:t>צריכת החשמל בפועל על ידו על פי המונה מהווה בסיס לתשלום חשבון החשמל מטעמו.</w:t>
            </w:r>
          </w:p>
        </w:tc>
      </w:tr>
      <w:tr w:rsidR="00937848" w:rsidRPr="001C4F07" w14:paraId="66B16A1A" w14:textId="77777777" w:rsidTr="00E34E8B">
        <w:trPr>
          <w:cantSplit/>
        </w:trPr>
        <w:tc>
          <w:tcPr>
            <w:tcW w:w="1871" w:type="dxa"/>
          </w:tcPr>
          <w:p w14:paraId="12A7764B" w14:textId="77777777" w:rsidR="00937848" w:rsidRPr="001C4F07" w:rsidRDefault="00937848" w:rsidP="00F067F3">
            <w:pPr>
              <w:pStyle w:val="TableSideHeading"/>
              <w:keepLines w:val="0"/>
              <w:rPr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14:paraId="3D71DBC3" w14:textId="77777777" w:rsidR="00937848" w:rsidRPr="00E34E8B" w:rsidRDefault="00937848" w:rsidP="00E34E8B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3" w:type="dxa"/>
            <w:gridSpan w:val="2"/>
          </w:tcPr>
          <w:p w14:paraId="54088A60" w14:textId="77777777" w:rsidR="00937848" w:rsidRPr="006D304E" w:rsidRDefault="00937848" w:rsidP="00E34E8B">
            <w:pPr>
              <w:pStyle w:val="TableBlock"/>
              <w:rPr>
                <w:rtl/>
              </w:rPr>
            </w:pPr>
            <w:r w:rsidRPr="006D304E"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Pr="006D304E">
              <w:rPr>
                <w:rFonts w:hint="cs"/>
                <w:rtl/>
              </w:rPr>
              <w:t>הזכאות לפטור לצרכן רשום תינתן למקום צרכנות אחד ב</w:t>
            </w:r>
            <w:r>
              <w:rPr>
                <w:rFonts w:hint="cs"/>
                <w:rtl/>
              </w:rPr>
              <w:t>לבד המשמש למקום מגוריו של החייל הבודד</w:t>
            </w:r>
            <w:r w:rsidRPr="006D304E">
              <w:rPr>
                <w:rFonts w:hint="cs"/>
                <w:rtl/>
              </w:rPr>
              <w:t xml:space="preserve"> ותינתן על שמו של הצרכן הרשום בלבד. </w:t>
            </w:r>
          </w:p>
        </w:tc>
      </w:tr>
      <w:tr w:rsidR="00937848" w:rsidRPr="001C4F07" w14:paraId="0538C235" w14:textId="77777777" w:rsidTr="00E34E8B">
        <w:trPr>
          <w:cantSplit/>
        </w:trPr>
        <w:tc>
          <w:tcPr>
            <w:tcW w:w="1871" w:type="dxa"/>
          </w:tcPr>
          <w:p w14:paraId="3F40507F" w14:textId="77777777" w:rsidR="00937848" w:rsidRPr="006D304E" w:rsidRDefault="00937848" w:rsidP="00F067F3">
            <w:pPr>
              <w:pStyle w:val="TableSideHeading"/>
              <w:rPr>
                <w:rtl/>
              </w:rPr>
            </w:pPr>
            <w:r w:rsidRPr="006D304E">
              <w:rPr>
                <w:rFonts w:hint="cs"/>
                <w:rtl/>
              </w:rPr>
              <w:lastRenderedPageBreak/>
              <w:t>מתן פטור מתשלומים עבור שירותי מים וביוב</w:t>
            </w:r>
          </w:p>
        </w:tc>
        <w:tc>
          <w:tcPr>
            <w:tcW w:w="624" w:type="dxa"/>
          </w:tcPr>
          <w:p w14:paraId="215CE4F1" w14:textId="77777777" w:rsidR="00937848" w:rsidRPr="00E34E8B" w:rsidRDefault="00937848" w:rsidP="00E34E8B">
            <w:pPr>
              <w:pStyle w:val="TableText"/>
              <w:jc w:val="both"/>
              <w:rPr>
                <w:rtl/>
              </w:rPr>
            </w:pPr>
            <w:r w:rsidRPr="00E34E8B"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  <w:gridSpan w:val="2"/>
          </w:tcPr>
          <w:p w14:paraId="1E1E2331" w14:textId="4A710625" w:rsidR="00937848" w:rsidRPr="006D304E" w:rsidRDefault="00937848" w:rsidP="00E34E8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מי שהוכר כחייל בודד יהיה </w:t>
            </w:r>
            <w:r w:rsidRPr="006D304E">
              <w:rPr>
                <w:rFonts w:hint="cs"/>
                <w:rtl/>
              </w:rPr>
              <w:t>פטור מתשלום עבור שירותי מים וביוב במשך תקופת השירות הצב</w:t>
            </w:r>
            <w:r>
              <w:rPr>
                <w:rFonts w:hint="cs"/>
                <w:rtl/>
              </w:rPr>
              <w:t>אי.</w:t>
            </w:r>
            <w:r w:rsidR="00E34E8B">
              <w:rPr>
                <w:rtl/>
              </w:rPr>
              <w:t xml:space="preserve"> </w:t>
            </w:r>
            <w:r w:rsidR="00E34E8B" w:rsidRPr="006D304E">
              <w:rPr>
                <w:rtl/>
              </w:rPr>
              <w:t xml:space="preserve"> </w:t>
            </w:r>
          </w:p>
        </w:tc>
      </w:tr>
      <w:tr w:rsidR="00937848" w:rsidRPr="001C4F07" w14:paraId="4794A44B" w14:textId="77777777" w:rsidTr="00E34E8B">
        <w:trPr>
          <w:cantSplit/>
        </w:trPr>
        <w:tc>
          <w:tcPr>
            <w:tcW w:w="1871" w:type="dxa"/>
          </w:tcPr>
          <w:p w14:paraId="6D7F0F97" w14:textId="77777777" w:rsidR="00937848" w:rsidRPr="006D304E" w:rsidRDefault="00937848" w:rsidP="00F067F3">
            <w:pPr>
              <w:pStyle w:val="TableSideHeading"/>
              <w:rPr>
                <w:rtl/>
              </w:rPr>
            </w:pPr>
            <w:r w:rsidRPr="006D304E">
              <w:rPr>
                <w:rFonts w:hint="cs"/>
                <w:rtl/>
              </w:rPr>
              <w:t>תחילה</w:t>
            </w:r>
          </w:p>
        </w:tc>
        <w:tc>
          <w:tcPr>
            <w:tcW w:w="624" w:type="dxa"/>
          </w:tcPr>
          <w:p w14:paraId="3E8617BB" w14:textId="77777777" w:rsidR="00937848" w:rsidRPr="00E34E8B" w:rsidRDefault="00937848" w:rsidP="00E34E8B">
            <w:pPr>
              <w:pStyle w:val="TableText"/>
              <w:jc w:val="both"/>
              <w:rPr>
                <w:rtl/>
              </w:rPr>
            </w:pPr>
            <w:r w:rsidRPr="00E34E8B">
              <w:rPr>
                <w:rFonts w:hint="cs"/>
                <w:rtl/>
              </w:rPr>
              <w:t>4.</w:t>
            </w:r>
          </w:p>
        </w:tc>
        <w:tc>
          <w:tcPr>
            <w:tcW w:w="7143" w:type="dxa"/>
            <w:gridSpan w:val="2"/>
          </w:tcPr>
          <w:p w14:paraId="39492EC9" w14:textId="77777777" w:rsidR="00937848" w:rsidRPr="006D304E" w:rsidRDefault="00937848" w:rsidP="00E34E8B">
            <w:pPr>
              <w:pStyle w:val="TableBlock"/>
              <w:rPr>
                <w:rtl/>
              </w:rPr>
            </w:pPr>
            <w:r w:rsidRPr="006D304E">
              <w:rPr>
                <w:rFonts w:hint="cs"/>
                <w:rtl/>
              </w:rPr>
              <w:t xml:space="preserve">תחילתו של חוק זה </w:t>
            </w:r>
            <w:r>
              <w:rPr>
                <w:rFonts w:hint="cs"/>
                <w:rtl/>
              </w:rPr>
              <w:t>ב</w:t>
            </w:r>
            <w:r w:rsidRPr="006D304E">
              <w:rPr>
                <w:rFonts w:hint="cs"/>
                <w:rtl/>
              </w:rPr>
              <w:t xml:space="preserve">תוך </w:t>
            </w:r>
            <w:r w:rsidRPr="006D304E">
              <w:rPr>
                <w:rtl/>
              </w:rPr>
              <w:softHyphen/>
            </w:r>
            <w:r w:rsidRPr="006D304E">
              <w:rPr>
                <w:rtl/>
              </w:rPr>
              <w:softHyphen/>
            </w:r>
            <w:r>
              <w:rPr>
                <w:rFonts w:hint="cs"/>
                <w:rtl/>
              </w:rPr>
              <w:t>שישה חודשים מיום פרסומו</w:t>
            </w:r>
            <w:r w:rsidRPr="006D304E">
              <w:rPr>
                <w:rFonts w:hint="cs"/>
                <w:rtl/>
              </w:rPr>
              <w:t xml:space="preserve">. </w:t>
            </w:r>
          </w:p>
        </w:tc>
      </w:tr>
    </w:tbl>
    <w:p w14:paraId="2C6FB1D5" w14:textId="77777777" w:rsidR="00937848" w:rsidRDefault="00937848" w:rsidP="00937848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405F106" w14:textId="751E01BF" w:rsidR="00937848" w:rsidRPr="00267E30" w:rsidRDefault="00937848" w:rsidP="00E34E8B">
      <w:pPr>
        <w:pStyle w:val="Hesber"/>
        <w:rPr>
          <w:rtl/>
        </w:rPr>
      </w:pPr>
      <w:r w:rsidRPr="00267E30">
        <w:rPr>
          <w:rFonts w:hint="cs"/>
          <w:rtl/>
        </w:rPr>
        <w:t xml:space="preserve">השירות </w:t>
      </w:r>
      <w:r w:rsidRPr="00267E30">
        <w:rPr>
          <w:rFonts w:hint="eastAsia"/>
          <w:rtl/>
        </w:rPr>
        <w:t>הצבאי</w:t>
      </w:r>
      <w:r w:rsidRPr="00267E30">
        <w:rPr>
          <w:rtl/>
        </w:rPr>
        <w:t xml:space="preserve"> הוא תקופה הכרוכה בקשיים פיזיים ונפשיים שונים, בשל מגוון רחב של גורמים הקשורים לשירות. </w:t>
      </w:r>
      <w:r w:rsidRPr="00267E30">
        <w:rPr>
          <w:rFonts w:hint="eastAsia"/>
          <w:rtl/>
        </w:rPr>
        <w:t>חיילים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בודדים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שמשפחתם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אינה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נמצאת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בישראל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או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שהם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מנותקים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ממשפחתם</w:t>
      </w:r>
      <w:r w:rsidRPr="00267E30">
        <w:rPr>
          <w:rFonts w:hint="cs"/>
          <w:rtl/>
        </w:rPr>
        <w:t>,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לא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רק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נדרשים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להתמודד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עם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קשיים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אלה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ללא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תמיכת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ההורים</w:t>
      </w:r>
      <w:r w:rsidRPr="00267E30">
        <w:rPr>
          <w:rtl/>
        </w:rPr>
        <w:t xml:space="preserve">, </w:t>
      </w:r>
      <w:r w:rsidRPr="00267E30">
        <w:rPr>
          <w:rFonts w:hint="eastAsia"/>
          <w:rtl/>
        </w:rPr>
        <w:t>אל</w:t>
      </w:r>
      <w:r w:rsidRPr="00267E30">
        <w:rPr>
          <w:rFonts w:hint="cs"/>
          <w:rtl/>
        </w:rPr>
        <w:t>א</w:t>
      </w:r>
      <w:r w:rsidRPr="00267E30">
        <w:rPr>
          <w:rtl/>
        </w:rPr>
        <w:t xml:space="preserve"> עליהם לדאוג לעצמם למקום מגורים ולכלכל עצמם בתקופת השירות</w:t>
      </w:r>
      <w:r w:rsidRPr="00267E30">
        <w:rPr>
          <w:rFonts w:hint="cs"/>
          <w:rtl/>
        </w:rPr>
        <w:t xml:space="preserve">. </w:t>
      </w:r>
      <w:r w:rsidRPr="00267E30">
        <w:rPr>
          <w:rFonts w:hint="eastAsia"/>
          <w:rtl/>
        </w:rPr>
        <w:t>לפיכך</w:t>
      </w:r>
      <w:r w:rsidRPr="00267E30">
        <w:rPr>
          <w:rtl/>
        </w:rPr>
        <w:t xml:space="preserve">, </w:t>
      </w:r>
      <w:r w:rsidR="00267E30">
        <w:rPr>
          <w:rFonts w:hint="cs"/>
          <w:rtl/>
        </w:rPr>
        <w:t>קיימת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חשיבות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מרובה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במתן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סיוע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כלכלי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לחיילים</w:t>
      </w:r>
      <w:r w:rsidRPr="00267E30">
        <w:rPr>
          <w:rtl/>
        </w:rPr>
        <w:t xml:space="preserve"> </w:t>
      </w:r>
      <w:r w:rsidRPr="00267E30">
        <w:rPr>
          <w:rFonts w:hint="eastAsia"/>
          <w:rtl/>
        </w:rPr>
        <w:t>בודדים</w:t>
      </w:r>
      <w:r w:rsidRPr="00267E30">
        <w:rPr>
          <w:rtl/>
        </w:rPr>
        <w:t>.</w:t>
      </w:r>
    </w:p>
    <w:p w14:paraId="02FC5950" w14:textId="77777777" w:rsidR="00937848" w:rsidRPr="006D304E" w:rsidRDefault="00937848" w:rsidP="00937848">
      <w:pPr>
        <w:pStyle w:val="Hesber"/>
        <w:rPr>
          <w:rtl/>
        </w:rPr>
      </w:pPr>
      <w:r w:rsidRPr="006D304E">
        <w:rPr>
          <w:rFonts w:hint="eastAsia"/>
          <w:rtl/>
        </w:rPr>
        <w:t>כיום</w:t>
      </w:r>
      <w:r w:rsidRPr="006D304E">
        <w:rPr>
          <w:rtl/>
        </w:rPr>
        <w:t xml:space="preserve">, חיילים בודדים מקבלים </w:t>
      </w:r>
      <w:r w:rsidRPr="006D304E">
        <w:rPr>
          <w:rFonts w:hint="eastAsia"/>
          <w:rtl/>
        </w:rPr>
        <w:t>רק</w:t>
      </w:r>
      <w:r w:rsidRPr="006D304E">
        <w:rPr>
          <w:rtl/>
        </w:rPr>
        <w:t xml:space="preserve"> </w:t>
      </w:r>
      <w:r w:rsidRPr="006D304E">
        <w:rPr>
          <w:rFonts w:hint="eastAsia"/>
          <w:rtl/>
        </w:rPr>
        <w:t>הנחה</w:t>
      </w:r>
      <w:r w:rsidRPr="006D304E">
        <w:rPr>
          <w:rtl/>
        </w:rPr>
        <w:t xml:space="preserve"> </w:t>
      </w:r>
      <w:r w:rsidRPr="006D304E">
        <w:rPr>
          <w:rFonts w:hint="eastAsia"/>
          <w:rtl/>
        </w:rPr>
        <w:t>במחירי</w:t>
      </w:r>
      <w:r w:rsidRPr="006D304E">
        <w:rPr>
          <w:rtl/>
        </w:rPr>
        <w:t xml:space="preserve"> </w:t>
      </w:r>
      <w:r w:rsidRPr="006D304E">
        <w:rPr>
          <w:rFonts w:hint="eastAsia"/>
          <w:rtl/>
        </w:rPr>
        <w:t>החשמל</w:t>
      </w:r>
      <w:r w:rsidRPr="006D304E">
        <w:rPr>
          <w:rtl/>
        </w:rPr>
        <w:t xml:space="preserve"> </w:t>
      </w:r>
      <w:r w:rsidRPr="006D304E">
        <w:rPr>
          <w:rFonts w:hint="eastAsia"/>
          <w:rtl/>
        </w:rPr>
        <w:t>ו</w:t>
      </w:r>
      <w:r>
        <w:rPr>
          <w:rFonts w:hint="cs"/>
          <w:rtl/>
        </w:rPr>
        <w:t>ה</w:t>
      </w:r>
      <w:r w:rsidRPr="006D304E">
        <w:rPr>
          <w:rFonts w:hint="eastAsia"/>
          <w:rtl/>
        </w:rPr>
        <w:t>מים</w:t>
      </w:r>
      <w:r w:rsidRPr="006D304E">
        <w:rPr>
          <w:rtl/>
        </w:rPr>
        <w:t>.</w:t>
      </w:r>
    </w:p>
    <w:p w14:paraId="25FAF548" w14:textId="51975105" w:rsidR="00937848" w:rsidRDefault="00A84A68" w:rsidP="00937848">
      <w:pPr>
        <w:pStyle w:val="Hesber"/>
        <w:rPr>
          <w:rtl/>
        </w:rPr>
      </w:pPr>
      <w:r>
        <w:rPr>
          <w:rFonts w:hint="cs"/>
          <w:rtl/>
        </w:rPr>
        <w:t xml:space="preserve">על כן, </w:t>
      </w:r>
      <w:r w:rsidR="00937848" w:rsidRPr="006D304E">
        <w:rPr>
          <w:rFonts w:hint="eastAsia"/>
          <w:rtl/>
        </w:rPr>
        <w:t>הצעת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חוק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זו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מבקשת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לקבוע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כי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חייל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בודד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יקבל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פטור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מלא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מתשלום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חשבון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החשמל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וחשבון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המים</w:t>
      </w:r>
      <w:r w:rsidR="00937848" w:rsidRPr="006D304E">
        <w:rPr>
          <w:rtl/>
        </w:rPr>
        <w:t xml:space="preserve"> בזמן שירותו הצבאי</w:t>
      </w:r>
      <w:r w:rsidR="00937848">
        <w:rPr>
          <w:rtl/>
        </w:rPr>
        <w:t xml:space="preserve">, </w:t>
      </w:r>
      <w:r w:rsidR="00937848">
        <w:rPr>
          <w:rFonts w:hint="cs"/>
          <w:rtl/>
        </w:rPr>
        <w:t>בדומה ל</w:t>
      </w:r>
      <w:r w:rsidR="00937848" w:rsidRPr="006D304E">
        <w:rPr>
          <w:rFonts w:hint="eastAsia"/>
          <w:rtl/>
        </w:rPr>
        <w:t>פטור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מתשלום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ארנונה</w:t>
      </w:r>
      <w:r w:rsidR="00937848">
        <w:rPr>
          <w:rFonts w:hint="cs"/>
          <w:rtl/>
        </w:rPr>
        <w:t xml:space="preserve"> שמוענק</w:t>
      </w:r>
      <w:r w:rsidR="00937848" w:rsidRPr="006D304E">
        <w:rPr>
          <w:rtl/>
        </w:rPr>
        <w:t xml:space="preserve"> </w:t>
      </w:r>
      <w:r w:rsidR="00937848">
        <w:rPr>
          <w:rFonts w:hint="cs"/>
          <w:rtl/>
        </w:rPr>
        <w:t xml:space="preserve">כיום </w:t>
      </w:r>
      <w:r w:rsidR="00937848" w:rsidRPr="006D304E">
        <w:rPr>
          <w:rFonts w:hint="eastAsia"/>
          <w:rtl/>
        </w:rPr>
        <w:t>לחיילים</w:t>
      </w:r>
      <w:r w:rsidR="00937848" w:rsidRPr="006D304E">
        <w:rPr>
          <w:rtl/>
        </w:rPr>
        <w:t xml:space="preserve"> בודדים </w:t>
      </w:r>
      <w:r w:rsidR="00937848" w:rsidRPr="006D304E">
        <w:rPr>
          <w:rFonts w:hint="eastAsia"/>
          <w:rtl/>
        </w:rPr>
        <w:t>בתקופה</w:t>
      </w:r>
      <w:r w:rsidR="00937848" w:rsidRPr="006D304E">
        <w:rPr>
          <w:rtl/>
        </w:rPr>
        <w:t xml:space="preserve"> </w:t>
      </w:r>
      <w:r w:rsidR="00937848" w:rsidRPr="006D304E">
        <w:rPr>
          <w:rFonts w:hint="eastAsia"/>
          <w:rtl/>
        </w:rPr>
        <w:t>זו</w:t>
      </w:r>
      <w:r w:rsidR="00937848" w:rsidRPr="006D304E">
        <w:rPr>
          <w:rtl/>
        </w:rPr>
        <w:t>.</w:t>
      </w:r>
    </w:p>
    <w:p w14:paraId="7F6961CB" w14:textId="027C984A" w:rsidR="00E13C27" w:rsidRDefault="00ED1002" w:rsidP="00E34E8B">
      <w:pPr>
        <w:pStyle w:val="Hesber"/>
        <w:rPr>
          <w:rtl/>
        </w:rPr>
      </w:pPr>
      <w:r>
        <w:rPr>
          <w:rFonts w:hint="cs"/>
          <w:rtl/>
        </w:rPr>
        <w:t>הצעת חוק זהה הונחה</w:t>
      </w:r>
      <w:r w:rsidR="00937848">
        <w:rPr>
          <w:rFonts w:hint="cs"/>
          <w:rtl/>
        </w:rPr>
        <w:t xml:space="preserve"> על שולחן הכנסת העשרים ושלוש על ידי חבר הכנסת אלעזר שטרן (פ/444/23)</w:t>
      </w:r>
      <w:r w:rsidR="00937848" w:rsidRPr="004245FD">
        <w:rPr>
          <w:rFonts w:hint="cs"/>
          <w:rtl/>
        </w:rPr>
        <w:t>.</w:t>
      </w:r>
    </w:p>
    <w:p w14:paraId="1FEB3ADC" w14:textId="77777777" w:rsidR="008E7A5F" w:rsidRDefault="008E7A5F">
      <w:pPr>
        <w:jc w:val="left"/>
        <w:rPr>
          <w:rFonts w:eastAsia="David"/>
          <w:sz w:val="26"/>
          <w:szCs w:val="26"/>
          <w:rtl/>
        </w:rPr>
      </w:pPr>
      <w:bookmarkStart w:id="9" w:name="selectedDocDateB"/>
      <w:bookmarkEnd w:id="9"/>
    </w:p>
    <w:p w14:paraId="61F15B37" w14:textId="53452D64" w:rsidR="003E351C" w:rsidRDefault="008E7A5F">
      <w:pPr>
        <w:jc w:val="left"/>
      </w:pPr>
      <w:r>
        <w:rPr>
          <w:rFonts w:eastAsia="David" w:hint="cs"/>
          <w:sz w:val="26"/>
          <w:szCs w:val="26"/>
          <w:rtl/>
        </w:rPr>
        <w:t>--------------------------------</w:t>
      </w:r>
    </w:p>
    <w:p w14:paraId="03452F24" w14:textId="77777777" w:rsidR="003E351C" w:rsidRDefault="008E7A5F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102E299C" w14:textId="77777777" w:rsidR="003E351C" w:rsidRDefault="008E7A5F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55FEFB9F" w14:textId="77777777" w:rsidR="003E351C" w:rsidRDefault="008E7A5F">
      <w:pPr>
        <w:jc w:val="left"/>
      </w:pPr>
      <w:r>
        <w:rPr>
          <w:rFonts w:eastAsia="David" w:hint="cs"/>
          <w:sz w:val="26"/>
          <w:szCs w:val="26"/>
          <w:rtl/>
        </w:rPr>
        <w:t xml:space="preserve">י"ח בסיוון התשפ"ד (24.06.2024) </w:t>
      </w:r>
    </w:p>
    <w:p w14:paraId="29CABE40" w14:textId="77777777" w:rsidR="003E351C" w:rsidRDefault="003E351C">
      <w:pPr>
        <w:spacing w:line="276" w:lineRule="auto"/>
        <w:jc w:val="left"/>
      </w:pPr>
    </w:p>
    <w:sectPr w:rsidR="003E351C" w:rsidSect="00E34E8B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5AB78D9A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82318E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E34E8B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5491CF4" w14:textId="77777777" w:rsidR="00937848" w:rsidRDefault="00937848" w:rsidP="00937848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התשנ"ו, עמ' 208.</w:t>
      </w:r>
    </w:p>
  </w:footnote>
  <w:footnote w:id="3">
    <w:p w14:paraId="70E8A397" w14:textId="77777777" w:rsidR="00937848" w:rsidRDefault="00937848" w:rsidP="00937848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התשס"א, עמ' 454.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67E30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3E351C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2318E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E7A5F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37848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84A68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4E8B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1002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2187424-16F4-4749-83AE-3FA12757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E8B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4E8B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E34E8B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E34E8B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E34E8B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34E8B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E34E8B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E34E8B"/>
    <w:rPr>
      <w:sz w:val="36"/>
      <w:szCs w:val="52"/>
    </w:rPr>
  </w:style>
  <w:style w:type="paragraph" w:customStyle="1" w:styleId="Cover3-Haknesset">
    <w:name w:val="Cover 3-Haknesset"/>
    <w:basedOn w:val="Cover1-Reshumot"/>
    <w:rsid w:val="00E34E8B"/>
    <w:rPr>
      <w:b/>
      <w:bCs/>
      <w:spacing w:val="60"/>
    </w:rPr>
  </w:style>
  <w:style w:type="paragraph" w:customStyle="1" w:styleId="Cover4-Date">
    <w:name w:val="Cover 4-Date"/>
    <w:basedOn w:val="a"/>
    <w:rsid w:val="00E34E8B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E34E8B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E34E8B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E34E8B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E34E8B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E34E8B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E34E8B"/>
    <w:pPr>
      <w:outlineLvl w:val="2"/>
    </w:pPr>
  </w:style>
  <w:style w:type="paragraph" w:customStyle="1" w:styleId="TableBlock">
    <w:name w:val="Table Block"/>
    <w:basedOn w:val="TableText"/>
    <w:rsid w:val="00E34E8B"/>
    <w:pPr>
      <w:jc w:val="both"/>
    </w:pPr>
  </w:style>
  <w:style w:type="paragraph" w:customStyle="1" w:styleId="TableHead">
    <w:name w:val="Table Head"/>
    <w:basedOn w:val="TableText"/>
    <w:rsid w:val="00E34E8B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E34E8B"/>
    <w:pPr>
      <w:outlineLvl w:val="9"/>
    </w:pPr>
  </w:style>
  <w:style w:type="paragraph" w:customStyle="1" w:styleId="Hesber">
    <w:name w:val="Hesber"/>
    <w:basedOn w:val="a"/>
    <w:rsid w:val="00E34E8B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E34E8B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E34E8B"/>
    <w:rPr>
      <w:vertAlign w:val="superscript"/>
    </w:rPr>
  </w:style>
  <w:style w:type="paragraph" w:customStyle="1" w:styleId="HesberHeading">
    <w:name w:val="Hesber Heading"/>
    <w:basedOn w:val="Hesber"/>
    <w:rsid w:val="00E34E8B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E34E8B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E34E8B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E34E8B"/>
    <w:rPr>
      <w:vertAlign w:val="superscript"/>
    </w:rPr>
  </w:style>
  <w:style w:type="paragraph" w:customStyle="1" w:styleId="TableBlockOutdent">
    <w:name w:val="Table BlockOutdent"/>
    <w:basedOn w:val="TableBlock"/>
    <w:rsid w:val="00E34E8B"/>
    <w:pPr>
      <w:ind w:left="624" w:hanging="624"/>
    </w:pPr>
  </w:style>
  <w:style w:type="paragraph" w:styleId="a7">
    <w:name w:val="header"/>
    <w:basedOn w:val="a"/>
    <w:rsid w:val="00E34E8B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34E8B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E34E8B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E34E8B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E34E8B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E34E8B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E34E8B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E34E8B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E34E8B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E34E8B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E34E8B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E34E8B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E34E8B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E34E8B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E34E8B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E34E8B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E34E8B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E34E8B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E34E8B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E34E8B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E34E8B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E34E8B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E34E8B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E34E8B"/>
    <w:rPr>
      <w:rFonts w:eastAsia="Times New Roman"/>
    </w:rPr>
  </w:style>
  <w:style w:type="paragraph" w:styleId="ae">
    <w:name w:val="List Paragraph"/>
    <w:basedOn w:val="a"/>
    <w:uiPriority w:val="34"/>
    <w:qFormat/>
    <w:rsid w:val="00E34E8B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E34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E34E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E34E8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E34E8B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E34E8B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1D8BB-7648-4751-9902-E76199A44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290d5b49-c690-4c6f-bbb9-1e50dab33ee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013E8-207A-4166-B349-29C67778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10</cp:revision>
  <cp:lastPrinted>2024-06-24T05:31:00Z</cp:lastPrinted>
  <dcterms:created xsi:type="dcterms:W3CDTF">2015-04-20T09:58:00Z</dcterms:created>
  <dcterms:modified xsi:type="dcterms:W3CDTF">2024-06-24T05:31:00Z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2218886</vt:r8>
  </property>
</Properties>
</file>