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2218183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A" w14:textId="1434C61D" w:rsidR="00E13C27" w:rsidRPr="00CF1AA2" w:rsidRDefault="008F6665" w:rsidP="00515F35">
      <w:pPr>
        <w:pStyle w:val="David"/>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 xml:space="preserve">חוה אתי </w:t>
      </w:r>
      <w:proofErr w:type="spellStart"/>
      <w:r>
        <w:rPr>
          <w:rFonts w:hint="cs"/>
          <w:b/>
          <w:bCs/>
          <w:rtl/>
        </w:rPr>
        <w:t>עטייה</w:t>
      </w:r>
      <w:proofErr w:type="spellEnd"/>
      <w:r>
        <w:br/>
      </w:r>
      <w:r>
        <w:rPr>
          <w:rFonts w:hint="cs"/>
          <w:b/>
          <w:bCs/>
          <w:rtl/>
        </w:rPr>
        <w:t xml:space="preserve"> </w:t>
      </w:r>
      <w:r>
        <w:tab/>
      </w:r>
      <w:r>
        <w:tab/>
      </w:r>
      <w:r>
        <w:tab/>
      </w:r>
      <w:r>
        <w:tab/>
      </w:r>
      <w:r>
        <w:rPr>
          <w:rFonts w:hint="cs"/>
          <w:b/>
          <w:bCs/>
          <w:rtl/>
        </w:rPr>
        <w:t>אופיר כץ</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75E65753" w:rsidR="00E13C27" w:rsidRDefault="00904591" w:rsidP="00515F35">
      <w:pPr>
        <w:pStyle w:val="David"/>
        <w:spacing w:line="240" w:lineRule="auto"/>
        <w:ind w:left="6424" w:firstLine="56"/>
        <w:rPr>
          <w:rtl/>
        </w:rPr>
      </w:pPr>
      <w:bookmarkStart w:id="6" w:name="Private_Number"/>
      <w:r>
        <w:rPr>
          <w:rFonts w:hint="cs"/>
          <w:rtl/>
        </w:rPr>
        <w:t>פ/4595/25</w:t>
      </w:r>
      <w:bookmarkEnd w:id="6"/>
    </w:p>
    <w:p w14:paraId="7F6961AD" w14:textId="77777777" w:rsidR="00E13C27" w:rsidRPr="00F67051" w:rsidRDefault="00A443CF" w:rsidP="0021633A">
      <w:pPr>
        <w:pStyle w:val="HeadHatzaotHok"/>
        <w:rPr>
          <w:rtl/>
        </w:rPr>
      </w:pPr>
      <w:bookmarkStart w:id="7" w:name="LGS_Subject"/>
      <w:r>
        <w:rPr>
          <w:rFonts w:hint="cs"/>
          <w:rtl/>
        </w:rPr>
        <w:t xml:space="preserve">הצעת חוק הרשויות המקומיות (מימון בחירות) (הוראת שעה) (הארכת מועד לבקשת קבלת מימון), </w:t>
      </w:r>
      <w:proofErr w:type="spellStart"/>
      <w:r>
        <w:rPr>
          <w:rFonts w:hint="cs"/>
          <w:rtl/>
        </w:rPr>
        <w:t>התשפ"ד</w:t>
      </w:r>
      <w:proofErr w:type="spellEnd"/>
      <w:r>
        <w:rPr>
          <w:rFonts w:hint="cs"/>
          <w:rtl/>
        </w:rPr>
        <w:t>–2024</w:t>
      </w:r>
      <w:bookmarkEnd w:id="7"/>
    </w:p>
    <w:tbl>
      <w:tblPr>
        <w:bidiVisual/>
        <w:tblW w:w="9637"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7143"/>
      </w:tblGrid>
      <w:tr w:rsidR="00510AD8" w14:paraId="0C599325" w14:textId="77777777" w:rsidTr="00515F35">
        <w:trPr>
          <w:cantSplit/>
        </w:trPr>
        <w:tc>
          <w:tcPr>
            <w:tcW w:w="1870" w:type="dxa"/>
          </w:tcPr>
          <w:p w14:paraId="04CBBD53" w14:textId="77777777" w:rsidR="00510AD8" w:rsidRPr="0042552A" w:rsidRDefault="00510AD8" w:rsidP="00013B35">
            <w:pPr>
              <w:pStyle w:val="TableSideHeading"/>
              <w:keepLines w:val="0"/>
              <w:rPr>
                <w:sz w:val="26"/>
              </w:rPr>
            </w:pPr>
            <w:bookmarkStart w:id="8" w:name="_Hlk167260609"/>
            <w:r>
              <w:rPr>
                <w:rFonts w:ascii="David" w:hAnsi="David" w:hint="cs"/>
                <w:sz w:val="26"/>
                <w:rtl/>
              </w:rPr>
              <w:t>הארכת מועד לבקשת קבלת מימון – הוראת שעה</w:t>
            </w:r>
            <w:r>
              <w:rPr>
                <w:rFonts w:hint="cs"/>
                <w:sz w:val="21"/>
                <w:szCs w:val="21"/>
                <w:shd w:val="clear" w:color="auto" w:fill="FFFFFF"/>
                <w:rtl/>
              </w:rPr>
              <w:t xml:space="preserve"> </w:t>
            </w:r>
          </w:p>
        </w:tc>
        <w:tc>
          <w:tcPr>
            <w:tcW w:w="624" w:type="dxa"/>
          </w:tcPr>
          <w:p w14:paraId="172AC690" w14:textId="77777777" w:rsidR="00510AD8" w:rsidRPr="0042552A" w:rsidRDefault="00510AD8" w:rsidP="00013B35">
            <w:pPr>
              <w:pStyle w:val="TableText"/>
              <w:keepLines w:val="0"/>
              <w:rPr>
                <w:sz w:val="26"/>
              </w:rPr>
            </w:pPr>
            <w:r w:rsidRPr="0042552A">
              <w:rPr>
                <w:rFonts w:ascii="David" w:hAnsi="David"/>
                <w:sz w:val="26"/>
                <w:rtl/>
              </w:rPr>
              <w:t>1.</w:t>
            </w:r>
          </w:p>
        </w:tc>
        <w:tc>
          <w:tcPr>
            <w:tcW w:w="7143" w:type="dxa"/>
          </w:tcPr>
          <w:p w14:paraId="5F1038A2" w14:textId="77777777" w:rsidR="00510AD8" w:rsidRPr="009067FB" w:rsidRDefault="00510AD8" w:rsidP="00515F35">
            <w:pPr>
              <w:pStyle w:val="TableBlock"/>
            </w:pPr>
            <w:r>
              <w:rPr>
                <w:rFonts w:hint="cs"/>
                <w:rtl/>
              </w:rPr>
              <w:t>(א)</w:t>
            </w:r>
            <w:r>
              <w:rPr>
                <w:rtl/>
              </w:rPr>
              <w:tab/>
            </w:r>
            <w:r>
              <w:rPr>
                <w:rFonts w:hint="cs"/>
                <w:rtl/>
              </w:rPr>
              <w:t>בחוק זה –</w:t>
            </w:r>
          </w:p>
        </w:tc>
      </w:tr>
      <w:tr w:rsidR="00510AD8" w14:paraId="5F580775" w14:textId="77777777" w:rsidTr="00515F35">
        <w:trPr>
          <w:cantSplit/>
        </w:trPr>
        <w:tc>
          <w:tcPr>
            <w:tcW w:w="1870" w:type="dxa"/>
          </w:tcPr>
          <w:p w14:paraId="636EA252" w14:textId="77777777" w:rsidR="00510AD8" w:rsidRDefault="00510AD8" w:rsidP="00013B35">
            <w:pPr>
              <w:pStyle w:val="TableSideHeading"/>
              <w:keepLines w:val="0"/>
              <w:rPr>
                <w:rFonts w:ascii="David" w:hAnsi="David"/>
                <w:sz w:val="26"/>
                <w:rtl/>
              </w:rPr>
            </w:pPr>
          </w:p>
        </w:tc>
        <w:tc>
          <w:tcPr>
            <w:tcW w:w="624" w:type="dxa"/>
          </w:tcPr>
          <w:p w14:paraId="26560041" w14:textId="77777777" w:rsidR="00510AD8" w:rsidRPr="00456A6D" w:rsidRDefault="00510AD8" w:rsidP="00013B35">
            <w:pPr>
              <w:pStyle w:val="TableText"/>
              <w:rPr>
                <w:rtl/>
              </w:rPr>
            </w:pPr>
          </w:p>
        </w:tc>
        <w:tc>
          <w:tcPr>
            <w:tcW w:w="7143" w:type="dxa"/>
          </w:tcPr>
          <w:p w14:paraId="4C5476A2" w14:textId="4E19E6D0" w:rsidR="00510AD8" w:rsidRPr="009067FB" w:rsidRDefault="00510AD8" w:rsidP="00515F35">
            <w:pPr>
              <w:pStyle w:val="TableBlockOutdent"/>
              <w:rPr>
                <w:rtl/>
              </w:rPr>
            </w:pPr>
            <w:r w:rsidRPr="009067FB">
              <w:rPr>
                <w:rFonts w:hint="cs"/>
                <w:rtl/>
              </w:rPr>
              <w:t xml:space="preserve">"החוק העיקרי" </w:t>
            </w:r>
            <w:r w:rsidRPr="009067FB">
              <w:rPr>
                <w:rtl/>
              </w:rPr>
              <w:t>–</w:t>
            </w:r>
            <w:r w:rsidRPr="009067FB">
              <w:rPr>
                <w:rFonts w:hint="cs"/>
                <w:rtl/>
              </w:rPr>
              <w:t xml:space="preserve"> חוק הרשויות המקומיות (מימון בחירות), </w:t>
            </w:r>
            <w:proofErr w:type="spellStart"/>
            <w:r w:rsidRPr="009067FB">
              <w:rPr>
                <w:rFonts w:hint="cs"/>
                <w:rtl/>
              </w:rPr>
              <w:t>התשנ"ג</w:t>
            </w:r>
            <w:proofErr w:type="spellEnd"/>
            <w:r w:rsidRPr="009067FB">
              <w:rPr>
                <w:rFonts w:hint="eastAsia"/>
                <w:rtl/>
              </w:rPr>
              <w:t>–</w:t>
            </w:r>
            <w:r w:rsidRPr="009067FB">
              <w:rPr>
                <w:rFonts w:hint="cs"/>
                <w:rtl/>
              </w:rPr>
              <w:t>1993</w:t>
            </w:r>
            <w:r w:rsidR="00A039FB" w:rsidRPr="00515F35">
              <w:rPr>
                <w:rStyle w:val="a6"/>
                <w:rFonts w:ascii="David" w:hAnsi="David"/>
                <w:sz w:val="26"/>
                <w:rtl/>
              </w:rPr>
              <w:footnoteReference w:id="2"/>
            </w:r>
            <w:r w:rsidR="00A039FB">
              <w:rPr>
                <w:rFonts w:hint="cs"/>
                <w:rtl/>
              </w:rPr>
              <w:t>;</w:t>
            </w:r>
          </w:p>
        </w:tc>
      </w:tr>
      <w:tr w:rsidR="00510AD8" w14:paraId="2CC6E260" w14:textId="77777777" w:rsidTr="00515F35">
        <w:trPr>
          <w:cantSplit/>
        </w:trPr>
        <w:tc>
          <w:tcPr>
            <w:tcW w:w="1870" w:type="dxa"/>
          </w:tcPr>
          <w:p w14:paraId="4F22EED7" w14:textId="77777777" w:rsidR="00510AD8" w:rsidRDefault="00510AD8" w:rsidP="00013B35">
            <w:pPr>
              <w:pStyle w:val="TableSideHeading"/>
              <w:keepLines w:val="0"/>
              <w:rPr>
                <w:rFonts w:ascii="David" w:hAnsi="David"/>
                <w:sz w:val="26"/>
                <w:rtl/>
              </w:rPr>
            </w:pPr>
          </w:p>
        </w:tc>
        <w:tc>
          <w:tcPr>
            <w:tcW w:w="624" w:type="dxa"/>
          </w:tcPr>
          <w:p w14:paraId="0A31980F" w14:textId="77777777" w:rsidR="00510AD8" w:rsidRPr="00456A6D" w:rsidRDefault="00510AD8" w:rsidP="00013B35">
            <w:pPr>
              <w:pStyle w:val="TableText"/>
              <w:rPr>
                <w:rtl/>
              </w:rPr>
            </w:pPr>
          </w:p>
        </w:tc>
        <w:tc>
          <w:tcPr>
            <w:tcW w:w="7143" w:type="dxa"/>
          </w:tcPr>
          <w:p w14:paraId="2BA324C8" w14:textId="77777777" w:rsidR="00510AD8" w:rsidRPr="009067FB" w:rsidRDefault="00510AD8" w:rsidP="00515F35">
            <w:pPr>
              <w:pStyle w:val="TableBlockOutdent"/>
              <w:tabs>
                <w:tab w:val="left" w:pos="624"/>
                <w:tab w:val="left" w:pos="1247"/>
              </w:tabs>
              <w:rPr>
                <w:rtl/>
              </w:rPr>
            </w:pPr>
            <w:r w:rsidRPr="009067FB">
              <w:rPr>
                <w:rFonts w:hint="cs"/>
                <w:rtl/>
              </w:rPr>
              <w:t xml:space="preserve">"התקופה הקובעת" </w:t>
            </w:r>
            <w:r w:rsidRPr="009067FB">
              <w:rPr>
                <w:rtl/>
              </w:rPr>
              <w:t>–</w:t>
            </w:r>
            <w:r w:rsidRPr="009067FB">
              <w:rPr>
                <w:rFonts w:hint="cs"/>
                <w:rtl/>
              </w:rPr>
              <w:t xml:space="preserve"> תקופה של 30 ימים, שתחילתה ביום תחילתו של חוק זה (בחוק זה </w:t>
            </w:r>
            <w:r w:rsidRPr="009067FB">
              <w:rPr>
                <w:rtl/>
              </w:rPr>
              <w:t>–</w:t>
            </w:r>
            <w:r w:rsidRPr="009067FB">
              <w:rPr>
                <w:rFonts w:hint="cs"/>
                <w:rtl/>
              </w:rPr>
              <w:t xml:space="preserve"> יום התחילה);</w:t>
            </w:r>
          </w:p>
        </w:tc>
      </w:tr>
      <w:tr w:rsidR="00510AD8" w14:paraId="40455016" w14:textId="77777777" w:rsidTr="00515F35">
        <w:trPr>
          <w:cantSplit/>
        </w:trPr>
        <w:tc>
          <w:tcPr>
            <w:tcW w:w="1870" w:type="dxa"/>
          </w:tcPr>
          <w:p w14:paraId="64E74EEB" w14:textId="77777777" w:rsidR="00510AD8" w:rsidRDefault="00510AD8" w:rsidP="00013B35">
            <w:pPr>
              <w:pStyle w:val="TableSideHeading"/>
              <w:keepLines w:val="0"/>
              <w:rPr>
                <w:rFonts w:ascii="David" w:hAnsi="David"/>
                <w:sz w:val="26"/>
                <w:rtl/>
              </w:rPr>
            </w:pPr>
          </w:p>
        </w:tc>
        <w:tc>
          <w:tcPr>
            <w:tcW w:w="624" w:type="dxa"/>
          </w:tcPr>
          <w:p w14:paraId="18CB899B" w14:textId="77777777" w:rsidR="00510AD8" w:rsidRPr="00456A6D" w:rsidRDefault="00510AD8" w:rsidP="00013B35">
            <w:pPr>
              <w:pStyle w:val="TableText"/>
              <w:rPr>
                <w:rtl/>
              </w:rPr>
            </w:pPr>
          </w:p>
        </w:tc>
        <w:tc>
          <w:tcPr>
            <w:tcW w:w="7143" w:type="dxa"/>
          </w:tcPr>
          <w:p w14:paraId="536AB8ED" w14:textId="77777777" w:rsidR="00510AD8" w:rsidRPr="009067FB" w:rsidRDefault="00510AD8" w:rsidP="00515F35">
            <w:pPr>
              <w:pStyle w:val="TableBlock"/>
              <w:rPr>
                <w:rtl/>
              </w:rPr>
            </w:pPr>
            <w:r>
              <w:rPr>
                <w:rFonts w:hint="cs"/>
                <w:rtl/>
              </w:rPr>
              <w:t>(ב)</w:t>
            </w:r>
            <w:r>
              <w:rPr>
                <w:rtl/>
              </w:rPr>
              <w:tab/>
            </w:r>
            <w:r>
              <w:rPr>
                <w:rFonts w:hint="cs"/>
                <w:rtl/>
              </w:rPr>
              <w:t xml:space="preserve">סיעה, רשימה, מועמד לראש מועצה אזורית או מועמד בבחירות מיוחדות לראש רשות הזכאים למימון לפי סעיף 7 לחוק העיקרי, לגבי בחירות שהתקיימו בתקופה שמיום </w:t>
            </w:r>
            <w:proofErr w:type="spellStart"/>
            <w:r w:rsidRPr="0042552A">
              <w:rPr>
                <w:rFonts w:ascii="David" w:hAnsi="David" w:hint="eastAsia"/>
                <w:sz w:val="26"/>
                <w:rtl/>
              </w:rPr>
              <w:t>יח</w:t>
            </w:r>
            <w:proofErr w:type="spellEnd"/>
            <w:r w:rsidRPr="0042552A">
              <w:rPr>
                <w:rFonts w:ascii="David" w:hAnsi="David"/>
                <w:sz w:val="26"/>
                <w:rtl/>
              </w:rPr>
              <w:t xml:space="preserve"> אדר א' </w:t>
            </w:r>
            <w:proofErr w:type="spellStart"/>
            <w:r w:rsidRPr="0042552A">
              <w:rPr>
                <w:rFonts w:ascii="David" w:hAnsi="David" w:hint="eastAsia"/>
                <w:sz w:val="26"/>
                <w:rtl/>
              </w:rPr>
              <w:t>התשפ</w:t>
            </w:r>
            <w:r w:rsidRPr="0042552A">
              <w:rPr>
                <w:rFonts w:ascii="David" w:hAnsi="David"/>
                <w:sz w:val="26"/>
                <w:rtl/>
              </w:rPr>
              <w:t>"ד</w:t>
            </w:r>
            <w:proofErr w:type="spellEnd"/>
            <w:r w:rsidRPr="0042552A">
              <w:rPr>
                <w:rFonts w:ascii="David" w:hAnsi="David"/>
                <w:sz w:val="26"/>
                <w:rtl/>
              </w:rPr>
              <w:t xml:space="preserve"> </w:t>
            </w:r>
            <w:r>
              <w:rPr>
                <w:rFonts w:hint="cs"/>
                <w:rtl/>
              </w:rPr>
              <w:t>(27 בפברואר 2024) עד יום התחילה, ולא מסרו במועד הודעה לפי סעיפים 11 או 12 לחוק העיקרי, לפי העניין, רשאים בתוך התקופה הקובעת למסור לשר הפנים הודעה כאמור.</w:t>
            </w:r>
          </w:p>
        </w:tc>
      </w:tr>
      <w:tr w:rsidR="00510AD8" w14:paraId="30CE836B" w14:textId="77777777" w:rsidTr="00515F35">
        <w:trPr>
          <w:cantSplit/>
        </w:trPr>
        <w:tc>
          <w:tcPr>
            <w:tcW w:w="1870" w:type="dxa"/>
          </w:tcPr>
          <w:p w14:paraId="3E1E3CBA" w14:textId="77777777" w:rsidR="00510AD8" w:rsidRDefault="00510AD8" w:rsidP="00013B35">
            <w:pPr>
              <w:pStyle w:val="TableSideHeading"/>
              <w:keepLines w:val="0"/>
              <w:rPr>
                <w:rFonts w:ascii="David" w:hAnsi="David"/>
                <w:sz w:val="26"/>
                <w:rtl/>
              </w:rPr>
            </w:pPr>
          </w:p>
        </w:tc>
        <w:tc>
          <w:tcPr>
            <w:tcW w:w="624" w:type="dxa"/>
          </w:tcPr>
          <w:p w14:paraId="290C7228" w14:textId="77777777" w:rsidR="00510AD8" w:rsidRPr="00456A6D" w:rsidRDefault="00510AD8" w:rsidP="00013B35">
            <w:pPr>
              <w:pStyle w:val="TableText"/>
              <w:rPr>
                <w:rtl/>
              </w:rPr>
            </w:pPr>
          </w:p>
        </w:tc>
        <w:tc>
          <w:tcPr>
            <w:tcW w:w="7143" w:type="dxa"/>
          </w:tcPr>
          <w:p w14:paraId="5D84200D" w14:textId="77777777" w:rsidR="00510AD8" w:rsidRDefault="00510AD8" w:rsidP="00515F35">
            <w:pPr>
              <w:pStyle w:val="TableBlock"/>
              <w:rPr>
                <w:rtl/>
              </w:rPr>
            </w:pPr>
            <w:r>
              <w:rPr>
                <w:rFonts w:hint="cs"/>
                <w:rtl/>
              </w:rPr>
              <w:t>(ג)</w:t>
            </w:r>
            <w:r>
              <w:rPr>
                <w:rtl/>
              </w:rPr>
              <w:tab/>
            </w:r>
            <w:r>
              <w:rPr>
                <w:rFonts w:hint="cs"/>
                <w:rtl/>
              </w:rPr>
              <w:t>מסרו הסיעה, הרשימה או המועמד הודעה כאמור בסעיף קטן (ב), ישולם סכום המימון רק אם הגישו למבקר המדינה חשבונות ודין וחשבון כספי, בהתאם להוראות סעיף 22 לחוק העיקרי.</w:t>
            </w:r>
          </w:p>
        </w:tc>
      </w:tr>
      <w:tr w:rsidR="00510AD8" w14:paraId="462F378C" w14:textId="77777777" w:rsidTr="00515F35">
        <w:trPr>
          <w:cantSplit/>
        </w:trPr>
        <w:tc>
          <w:tcPr>
            <w:tcW w:w="1870" w:type="dxa"/>
          </w:tcPr>
          <w:p w14:paraId="7D945A89" w14:textId="77777777" w:rsidR="00510AD8" w:rsidRDefault="00510AD8" w:rsidP="00013B35">
            <w:pPr>
              <w:pStyle w:val="TableSideHeading"/>
              <w:keepLines w:val="0"/>
              <w:rPr>
                <w:rFonts w:ascii="David" w:hAnsi="David"/>
                <w:sz w:val="26"/>
                <w:rtl/>
              </w:rPr>
            </w:pPr>
          </w:p>
        </w:tc>
        <w:tc>
          <w:tcPr>
            <w:tcW w:w="624" w:type="dxa"/>
          </w:tcPr>
          <w:p w14:paraId="3F624297" w14:textId="77777777" w:rsidR="00510AD8" w:rsidRPr="00456A6D" w:rsidRDefault="00510AD8" w:rsidP="00013B35">
            <w:pPr>
              <w:pStyle w:val="TableText"/>
              <w:rPr>
                <w:rtl/>
              </w:rPr>
            </w:pPr>
          </w:p>
        </w:tc>
        <w:tc>
          <w:tcPr>
            <w:tcW w:w="7143" w:type="dxa"/>
          </w:tcPr>
          <w:p w14:paraId="37A16868" w14:textId="77777777" w:rsidR="00510AD8" w:rsidRDefault="00510AD8" w:rsidP="00515F35">
            <w:pPr>
              <w:pStyle w:val="TableBlock"/>
              <w:rPr>
                <w:rtl/>
              </w:rPr>
            </w:pPr>
            <w:r>
              <w:rPr>
                <w:rFonts w:hint="cs"/>
                <w:rtl/>
              </w:rPr>
              <w:t>(ד)</w:t>
            </w:r>
            <w:r>
              <w:rPr>
                <w:rtl/>
              </w:rPr>
              <w:tab/>
            </w:r>
            <w:r>
              <w:rPr>
                <w:rFonts w:hint="cs"/>
                <w:rtl/>
              </w:rPr>
              <w:t xml:space="preserve">סכום בשווי של 85% מסכום המימון ישולם, בכפוף להוראות סעיף 7(ב)(1) לחוק העיקרי, מיד עם הגשת ההודעה לשר הפנים.  </w:t>
            </w:r>
          </w:p>
        </w:tc>
      </w:tr>
      <w:tr w:rsidR="00510AD8" w14:paraId="1100D937" w14:textId="77777777" w:rsidTr="00515F35">
        <w:trPr>
          <w:cantSplit/>
        </w:trPr>
        <w:tc>
          <w:tcPr>
            <w:tcW w:w="1870" w:type="dxa"/>
          </w:tcPr>
          <w:p w14:paraId="1C72C091" w14:textId="77777777" w:rsidR="00510AD8" w:rsidRDefault="00510AD8" w:rsidP="00013B35">
            <w:pPr>
              <w:pStyle w:val="TableSideHeading"/>
              <w:keepLines w:val="0"/>
              <w:rPr>
                <w:rFonts w:ascii="David" w:hAnsi="David"/>
                <w:sz w:val="26"/>
                <w:rtl/>
              </w:rPr>
            </w:pPr>
          </w:p>
        </w:tc>
        <w:tc>
          <w:tcPr>
            <w:tcW w:w="624" w:type="dxa"/>
          </w:tcPr>
          <w:p w14:paraId="795231D2" w14:textId="77777777" w:rsidR="00510AD8" w:rsidRPr="00456A6D" w:rsidRDefault="00510AD8" w:rsidP="00013B35">
            <w:pPr>
              <w:pStyle w:val="TableText"/>
              <w:rPr>
                <w:rtl/>
              </w:rPr>
            </w:pPr>
          </w:p>
        </w:tc>
        <w:tc>
          <w:tcPr>
            <w:tcW w:w="7143" w:type="dxa"/>
          </w:tcPr>
          <w:p w14:paraId="614E3980" w14:textId="77777777" w:rsidR="00510AD8" w:rsidRDefault="00510AD8" w:rsidP="00515F35">
            <w:pPr>
              <w:pStyle w:val="TableBlock"/>
              <w:rPr>
                <w:rtl/>
              </w:rPr>
            </w:pPr>
            <w:r>
              <w:rPr>
                <w:rFonts w:hint="cs"/>
                <w:rtl/>
              </w:rPr>
              <w:t>(ה)</w:t>
            </w:r>
            <w:r>
              <w:rPr>
                <w:rtl/>
              </w:rPr>
              <w:tab/>
            </w:r>
            <w:r>
              <w:rPr>
                <w:rFonts w:hint="cs"/>
                <w:rtl/>
              </w:rPr>
              <w:t xml:space="preserve">סכום בשווי של עד יתרת 15% מסכום המימון המופחת ישולם, בכפוף להוראות סעיף 23(ג) עד (ה) לחוק העיקרי, מיד לאחר שמבקר המדינה הגיש דין וחשבון לפי סעיף 23(א) לחוק העיקרי. </w:t>
            </w:r>
          </w:p>
        </w:tc>
      </w:tr>
      <w:tr w:rsidR="00510AD8" w14:paraId="6E35D8FD" w14:textId="77777777" w:rsidTr="00515F35">
        <w:trPr>
          <w:cantSplit/>
        </w:trPr>
        <w:tc>
          <w:tcPr>
            <w:tcW w:w="1870" w:type="dxa"/>
          </w:tcPr>
          <w:p w14:paraId="6899D42A" w14:textId="77777777" w:rsidR="00510AD8" w:rsidRDefault="00510AD8" w:rsidP="00013B35">
            <w:pPr>
              <w:pStyle w:val="TableSideHeading"/>
              <w:keepLines w:val="0"/>
              <w:rPr>
                <w:rFonts w:ascii="David" w:hAnsi="David"/>
                <w:sz w:val="26"/>
                <w:rtl/>
              </w:rPr>
            </w:pPr>
          </w:p>
        </w:tc>
        <w:tc>
          <w:tcPr>
            <w:tcW w:w="624" w:type="dxa"/>
          </w:tcPr>
          <w:p w14:paraId="706D5082" w14:textId="77777777" w:rsidR="00510AD8" w:rsidRPr="00456A6D" w:rsidRDefault="00510AD8" w:rsidP="00013B35">
            <w:pPr>
              <w:pStyle w:val="TableText"/>
              <w:rPr>
                <w:rtl/>
              </w:rPr>
            </w:pPr>
          </w:p>
        </w:tc>
        <w:tc>
          <w:tcPr>
            <w:tcW w:w="7143" w:type="dxa"/>
          </w:tcPr>
          <w:p w14:paraId="2CB671BB" w14:textId="77777777" w:rsidR="00510AD8" w:rsidRDefault="00510AD8" w:rsidP="00515F35">
            <w:pPr>
              <w:pStyle w:val="TableBlock"/>
              <w:rPr>
                <w:rtl/>
              </w:rPr>
            </w:pPr>
            <w:r>
              <w:rPr>
                <w:rFonts w:hint="cs"/>
                <w:rtl/>
              </w:rPr>
              <w:t>(ו)</w:t>
            </w:r>
            <w:r>
              <w:rPr>
                <w:rtl/>
              </w:rPr>
              <w:tab/>
            </w:r>
            <w:r>
              <w:rPr>
                <w:rFonts w:hint="cs"/>
                <w:rtl/>
              </w:rPr>
              <w:t xml:space="preserve">הוראות החוק העיקרי, יחולו לעניין חוק זה ככל שלא שונו בו. </w:t>
            </w:r>
          </w:p>
        </w:tc>
      </w:tr>
    </w:tbl>
    <w:bookmarkEnd w:id="8"/>
    <w:p w14:paraId="7F6961CA" w14:textId="77777777" w:rsidR="002D1EE3" w:rsidRDefault="002D1EE3" w:rsidP="002D1EE3">
      <w:pPr>
        <w:pStyle w:val="HeadDivreiHesber"/>
        <w:rPr>
          <w:rtl/>
        </w:rPr>
      </w:pPr>
      <w:r w:rsidRPr="0027450A">
        <w:rPr>
          <w:rFonts w:hint="cs"/>
          <w:rtl/>
        </w:rPr>
        <w:lastRenderedPageBreak/>
        <w:t>דברי הסבר</w:t>
      </w:r>
    </w:p>
    <w:p w14:paraId="37DB586A" w14:textId="77777777" w:rsidR="00515F35" w:rsidRDefault="006A554D" w:rsidP="00515F35">
      <w:pPr>
        <w:pStyle w:val="Hesber"/>
        <w:rPr>
          <w:rtl/>
        </w:rPr>
      </w:pPr>
      <w:r w:rsidRPr="0029318F">
        <w:rPr>
          <w:rtl/>
        </w:rPr>
        <w:t>ביום י</w:t>
      </w:r>
      <w:r w:rsidR="00515F35">
        <w:rPr>
          <w:rFonts w:hint="cs"/>
          <w:rtl/>
        </w:rPr>
        <w:t>"</w:t>
      </w:r>
      <w:r w:rsidRPr="0029318F">
        <w:rPr>
          <w:rtl/>
        </w:rPr>
        <w:t xml:space="preserve">ח </w:t>
      </w:r>
      <w:r w:rsidR="00515F35">
        <w:rPr>
          <w:rFonts w:hint="cs"/>
          <w:rtl/>
        </w:rPr>
        <w:t>ב</w:t>
      </w:r>
      <w:r w:rsidRPr="0029318F">
        <w:rPr>
          <w:rtl/>
        </w:rPr>
        <w:t xml:space="preserve">אדר א' </w:t>
      </w:r>
      <w:proofErr w:type="spellStart"/>
      <w:r w:rsidRPr="0029318F">
        <w:rPr>
          <w:rtl/>
        </w:rPr>
        <w:t>התשפ"ד</w:t>
      </w:r>
      <w:proofErr w:type="spellEnd"/>
      <w:r w:rsidRPr="0029318F">
        <w:rPr>
          <w:rtl/>
        </w:rPr>
        <w:t xml:space="preserve"> (</w:t>
      </w:r>
      <w:r w:rsidR="00515F35">
        <w:rPr>
          <w:rFonts w:hint="cs"/>
          <w:rtl/>
        </w:rPr>
        <w:t>27 בפברואר 2024</w:t>
      </w:r>
      <w:r w:rsidRPr="0029318F">
        <w:rPr>
          <w:rtl/>
        </w:rPr>
        <w:t>) התקיימו בחירות במועצות אזוריות ועיריות רבות. הבחירות התקיימו במועד זה לאחר שנדחו במספר חודשים וכן נדחו מספר פעמים בשל מלחמת חרבות ברזל שפרצה ב</w:t>
      </w:r>
      <w:r w:rsidR="00515F35">
        <w:rPr>
          <w:rFonts w:hint="cs"/>
          <w:rtl/>
        </w:rPr>
        <w:t xml:space="preserve">כ"ב בתשרי </w:t>
      </w:r>
      <w:proofErr w:type="spellStart"/>
      <w:r w:rsidR="00515F35">
        <w:rPr>
          <w:rFonts w:hint="cs"/>
          <w:rtl/>
        </w:rPr>
        <w:t>התשפ"ד</w:t>
      </w:r>
      <w:proofErr w:type="spellEnd"/>
      <w:r w:rsidR="00515F35">
        <w:rPr>
          <w:rFonts w:hint="cs"/>
          <w:rtl/>
        </w:rPr>
        <w:t xml:space="preserve"> (7 באוקטובר 2023)</w:t>
      </w:r>
      <w:r w:rsidRPr="0029318F">
        <w:rPr>
          <w:rtl/>
        </w:rPr>
        <w:t xml:space="preserve"> וגרמה קושי רב לאזרחי ישראל ולמתמודדים בבחירות. הבחירות התקיימו בעיצומה של המלחמה וחרף העובדה שמועמדים רבים שהו אותה עת בשירות מילואים או תרמו למאמץ בדרכים אחרות. עקב האמור, חלק מהמועמדים למועצות המקומיות ולרשויות עיר/מועצה לא הספיקו לבקש ולקבל מימון להוצאותיהם בתקופת הבחירות במועד הקבוע בחוק הרשויות המקומיות (מימון בחירות), </w:t>
      </w:r>
      <w:proofErr w:type="spellStart"/>
      <w:r w:rsidRPr="0029318F">
        <w:rPr>
          <w:rtl/>
        </w:rPr>
        <w:t>התשנ"ג</w:t>
      </w:r>
      <w:proofErr w:type="spellEnd"/>
      <w:r w:rsidR="00515F35">
        <w:rPr>
          <w:rFonts w:hint="cs"/>
          <w:rtl/>
        </w:rPr>
        <w:t>–</w:t>
      </w:r>
      <w:r w:rsidRPr="0029318F">
        <w:rPr>
          <w:rtl/>
        </w:rPr>
        <w:t xml:space="preserve">1993 (להלן – </w:t>
      </w:r>
      <w:r w:rsidRPr="0042552A">
        <w:rPr>
          <w:rtl/>
        </w:rPr>
        <w:t>חוק המימון</w:t>
      </w:r>
      <w:r w:rsidRPr="0029318F">
        <w:rPr>
          <w:rtl/>
        </w:rPr>
        <w:t xml:space="preserve">). </w:t>
      </w:r>
    </w:p>
    <w:p w14:paraId="0A8998D2" w14:textId="38277FF9" w:rsidR="006A554D" w:rsidRPr="0029318F" w:rsidRDefault="006A554D" w:rsidP="00476779">
      <w:pPr>
        <w:pStyle w:val="Hesber"/>
        <w:rPr>
          <w:rtl/>
        </w:rPr>
      </w:pPr>
      <w:r w:rsidRPr="0029318F">
        <w:rPr>
          <w:rtl/>
        </w:rPr>
        <w:t>מוצע איפה להאריך לגבי אותם מועמדים את המועד להגשת בקשות למימון ל-30 ימים לאחר המועד שבו ייכנס לתוקף החוק דנן ולאפשר להם לקבל את המימון בכפוף לכך שיעמדו בהוראות חוק המימון.</w:t>
      </w:r>
      <w:r w:rsidR="005679D8">
        <w:rPr>
          <w:rFonts w:hint="cs"/>
          <w:rtl/>
        </w:rPr>
        <w:t xml:space="preserve"> </w:t>
      </w:r>
      <w:r w:rsidR="005679D8" w:rsidRPr="00476779">
        <w:rPr>
          <w:rFonts w:hint="cs"/>
          <w:rtl/>
        </w:rPr>
        <w:t xml:space="preserve">בדיקה </w:t>
      </w:r>
      <w:r w:rsidR="005679D8" w:rsidRPr="00476779">
        <w:rPr>
          <w:rtl/>
        </w:rPr>
        <w:t xml:space="preserve">עם משרד הפנים </w:t>
      </w:r>
      <w:r w:rsidR="005679D8" w:rsidRPr="00476779">
        <w:rPr>
          <w:rFonts w:hint="cs"/>
          <w:rtl/>
        </w:rPr>
        <w:t>העלתה</w:t>
      </w:r>
      <w:r w:rsidR="005679D8" w:rsidRPr="00476779">
        <w:rPr>
          <w:rtl/>
        </w:rPr>
        <w:t xml:space="preserve"> כי יש </w:t>
      </w:r>
      <w:r w:rsidR="00476779">
        <w:rPr>
          <w:rFonts w:hint="cs"/>
          <w:rtl/>
        </w:rPr>
        <w:t>מועמדים רבים מאוד</w:t>
      </w:r>
      <w:r w:rsidR="005679D8" w:rsidRPr="00476779">
        <w:rPr>
          <w:rtl/>
        </w:rPr>
        <w:t xml:space="preserve"> שהתמודדו בבחירו</w:t>
      </w:r>
      <w:r w:rsidR="00476779" w:rsidRPr="00476779">
        <w:rPr>
          <w:rtl/>
        </w:rPr>
        <w:t xml:space="preserve">ת המוניציפליות שהתקיימו </w:t>
      </w:r>
      <w:r w:rsidR="00476779" w:rsidRPr="00476779">
        <w:rPr>
          <w:rtl/>
        </w:rPr>
        <w:t>ביום י</w:t>
      </w:r>
      <w:r w:rsidR="00476779" w:rsidRPr="00476779">
        <w:rPr>
          <w:rFonts w:hint="cs"/>
          <w:rtl/>
        </w:rPr>
        <w:t>"</w:t>
      </w:r>
      <w:r w:rsidR="00476779" w:rsidRPr="00476779">
        <w:rPr>
          <w:rtl/>
        </w:rPr>
        <w:t xml:space="preserve">ח </w:t>
      </w:r>
      <w:r w:rsidR="00476779" w:rsidRPr="00476779">
        <w:rPr>
          <w:rFonts w:hint="cs"/>
          <w:rtl/>
        </w:rPr>
        <w:t>ב</w:t>
      </w:r>
      <w:r w:rsidR="00476779" w:rsidRPr="00476779">
        <w:rPr>
          <w:rtl/>
        </w:rPr>
        <w:t xml:space="preserve">אדר א' </w:t>
      </w:r>
      <w:proofErr w:type="spellStart"/>
      <w:r w:rsidR="00476779" w:rsidRPr="00476779">
        <w:rPr>
          <w:rtl/>
        </w:rPr>
        <w:t>התשפ"ד</w:t>
      </w:r>
      <w:proofErr w:type="spellEnd"/>
      <w:r w:rsidR="00476779" w:rsidRPr="00476779">
        <w:rPr>
          <w:rtl/>
        </w:rPr>
        <w:t xml:space="preserve"> (</w:t>
      </w:r>
      <w:r w:rsidR="00476779" w:rsidRPr="00476779">
        <w:rPr>
          <w:rFonts w:hint="cs"/>
          <w:rtl/>
        </w:rPr>
        <w:t>27 בפברואר 2024</w:t>
      </w:r>
      <w:r w:rsidR="00476779" w:rsidRPr="00476779">
        <w:rPr>
          <w:rtl/>
        </w:rPr>
        <w:t>)</w:t>
      </w:r>
      <w:r w:rsidR="005679D8" w:rsidRPr="00476779">
        <w:rPr>
          <w:rtl/>
        </w:rPr>
        <w:t xml:space="preserve">, </w:t>
      </w:r>
      <w:r w:rsidR="0029318F" w:rsidRPr="00476779">
        <w:rPr>
          <w:rFonts w:hint="cs"/>
          <w:rtl/>
        </w:rPr>
        <w:t>וחויבו</w:t>
      </w:r>
      <w:r w:rsidR="005679D8" w:rsidRPr="00476779">
        <w:rPr>
          <w:rtl/>
        </w:rPr>
        <w:t xml:space="preserve"> בסכומים גדולים בגלל טעויות טכניות</w:t>
      </w:r>
      <w:r w:rsidR="005679D8" w:rsidRPr="00476779">
        <w:rPr>
          <w:rFonts w:hint="cs"/>
          <w:rtl/>
        </w:rPr>
        <w:t xml:space="preserve">, </w:t>
      </w:r>
      <w:r w:rsidR="005679D8" w:rsidRPr="00476779">
        <w:rPr>
          <w:rtl/>
        </w:rPr>
        <w:t>הדבר מעיד על כשל טכני.</w:t>
      </w:r>
    </w:p>
    <w:p w14:paraId="610F91DD" w14:textId="6443CEE7" w:rsidR="003730EC" w:rsidRDefault="00A039FB" w:rsidP="00515F35">
      <w:pPr>
        <w:pStyle w:val="Hesber"/>
        <w:rPr>
          <w:rtl/>
        </w:rPr>
      </w:pPr>
      <w:r w:rsidRPr="00A039FB">
        <w:rPr>
          <w:rtl/>
        </w:rPr>
        <w:t>הוראות שעה דומות נקבעו בעבר</w:t>
      </w:r>
      <w:r w:rsidR="00515F35">
        <w:rPr>
          <w:rFonts w:hint="cs"/>
          <w:rtl/>
        </w:rPr>
        <w:t>:</w:t>
      </w:r>
      <w:r w:rsidRPr="00A039FB">
        <w:rPr>
          <w:rtl/>
        </w:rPr>
        <w:t xml:space="preserve"> חוק הרשויות המקומיות (מימון בחירות) (הוראת שעה מס' 2), </w:t>
      </w:r>
      <w:proofErr w:type="spellStart"/>
      <w:r w:rsidRPr="00A039FB">
        <w:rPr>
          <w:rtl/>
        </w:rPr>
        <w:t>התשס"ד</w:t>
      </w:r>
      <w:proofErr w:type="spellEnd"/>
      <w:r w:rsidRPr="00A039FB">
        <w:rPr>
          <w:rtl/>
        </w:rPr>
        <w:t xml:space="preserve">–2003, חוק הרשויות המקומיות (מימון בחירות) (תיקון מס' 9 והוראת שעה), </w:t>
      </w:r>
      <w:proofErr w:type="spellStart"/>
      <w:r w:rsidRPr="00A039FB">
        <w:rPr>
          <w:rtl/>
        </w:rPr>
        <w:t>התשס"ח</w:t>
      </w:r>
      <w:proofErr w:type="spellEnd"/>
      <w:r w:rsidRPr="00A039FB">
        <w:rPr>
          <w:rtl/>
        </w:rPr>
        <w:t xml:space="preserve">–2008, </w:t>
      </w:r>
      <w:r w:rsidR="00A8171D">
        <w:rPr>
          <w:rFonts w:hint="cs"/>
          <w:rtl/>
        </w:rPr>
        <w:t>ו</w:t>
      </w:r>
      <w:r w:rsidRPr="00A039FB">
        <w:rPr>
          <w:rtl/>
        </w:rPr>
        <w:t xml:space="preserve">חוק הרשויות המקומיות (מימון בחירות) (הוראת שעה), </w:t>
      </w:r>
      <w:proofErr w:type="spellStart"/>
      <w:r w:rsidRPr="00A039FB">
        <w:rPr>
          <w:rtl/>
        </w:rPr>
        <w:t>התשע"ד</w:t>
      </w:r>
      <w:proofErr w:type="spellEnd"/>
      <w:r w:rsidRPr="00A039FB">
        <w:rPr>
          <w:rtl/>
        </w:rPr>
        <w:t xml:space="preserve">–2014. </w:t>
      </w:r>
      <w:r w:rsidR="006A554D" w:rsidRPr="0029318F">
        <w:rPr>
          <w:rtl/>
        </w:rPr>
        <w:t xml:space="preserve">במקרה דנן קיים צידוק מיוחד לאפשר את התיקון בהתחשב בקושי של המועמדים לעמוד בלוחות הזמנים שנקבעו בדין וזאת הן בשל דחיית מועד הבחירות בעטיה של המלחמה והן בשל הקושי שגרמה המלחמה עצמה בהגשת הבקשות. </w:t>
      </w:r>
    </w:p>
    <w:p w14:paraId="2D5BB995" w14:textId="7AA1C62D" w:rsidR="003730EC" w:rsidRDefault="003730EC" w:rsidP="00515F35">
      <w:pPr>
        <w:pStyle w:val="Hesber"/>
        <w:rPr>
          <w:rtl/>
        </w:rPr>
      </w:pPr>
      <w:r>
        <w:rPr>
          <w:rFonts w:hint="cs"/>
          <w:rtl/>
        </w:rPr>
        <w:t>הצע</w:t>
      </w:r>
      <w:r w:rsidR="00515F35">
        <w:rPr>
          <w:rFonts w:hint="cs"/>
          <w:rtl/>
        </w:rPr>
        <w:t>ו</w:t>
      </w:r>
      <w:r>
        <w:rPr>
          <w:rFonts w:hint="cs"/>
          <w:rtl/>
        </w:rPr>
        <w:t>ת חוק זה</w:t>
      </w:r>
      <w:r w:rsidR="00515F35">
        <w:rPr>
          <w:rFonts w:hint="cs"/>
          <w:rtl/>
        </w:rPr>
        <w:t>ות</w:t>
      </w:r>
      <w:r>
        <w:rPr>
          <w:rFonts w:hint="cs"/>
          <w:rtl/>
        </w:rPr>
        <w:t xml:space="preserve"> הו</w:t>
      </w:r>
      <w:r w:rsidR="00515F35">
        <w:rPr>
          <w:rFonts w:hint="cs"/>
          <w:rtl/>
        </w:rPr>
        <w:t xml:space="preserve">נחו על </w:t>
      </w:r>
      <w:r>
        <w:rPr>
          <w:rFonts w:hint="cs"/>
          <w:rtl/>
        </w:rPr>
        <w:t xml:space="preserve">שולחן הכנסת העשרים וחמש על ידי חברת הכנסת שרן </w:t>
      </w:r>
      <w:r w:rsidR="00515F35">
        <w:rPr>
          <w:rFonts w:hint="cs"/>
          <w:rtl/>
        </w:rPr>
        <w:t xml:space="preserve">מרים </w:t>
      </w:r>
      <w:r>
        <w:rPr>
          <w:rFonts w:hint="cs"/>
          <w:rtl/>
        </w:rPr>
        <w:t>השכל (</w:t>
      </w:r>
      <w:r w:rsidR="00515F35">
        <w:rPr>
          <w:rFonts w:hint="cs"/>
          <w:rtl/>
        </w:rPr>
        <w:t>פ/4593/25</w:t>
      </w:r>
      <w:r>
        <w:rPr>
          <w:rFonts w:hint="cs"/>
          <w:rtl/>
        </w:rPr>
        <w:t>)</w:t>
      </w:r>
      <w:r w:rsidR="00515F35">
        <w:rPr>
          <w:rFonts w:hint="cs"/>
          <w:rtl/>
        </w:rPr>
        <w:t xml:space="preserve"> ו</w:t>
      </w:r>
      <w:r>
        <w:rPr>
          <w:rFonts w:hint="cs"/>
          <w:rtl/>
        </w:rPr>
        <w:t>על ידי חבר</w:t>
      </w:r>
      <w:r w:rsidR="00515F35">
        <w:rPr>
          <w:rFonts w:hint="cs"/>
          <w:rtl/>
        </w:rPr>
        <w:t>י</w:t>
      </w:r>
      <w:r>
        <w:rPr>
          <w:rFonts w:hint="cs"/>
          <w:rtl/>
        </w:rPr>
        <w:t xml:space="preserve"> הכנסת אלי דלל</w:t>
      </w:r>
      <w:r w:rsidR="00515F35">
        <w:rPr>
          <w:rFonts w:hint="cs"/>
          <w:rtl/>
        </w:rPr>
        <w:t xml:space="preserve"> וקטי </w:t>
      </w:r>
      <w:proofErr w:type="spellStart"/>
      <w:r w:rsidR="00515F35">
        <w:rPr>
          <w:rFonts w:hint="cs"/>
          <w:rtl/>
        </w:rPr>
        <w:t>קטרין</w:t>
      </w:r>
      <w:proofErr w:type="spellEnd"/>
      <w:r w:rsidR="00515F35">
        <w:rPr>
          <w:rFonts w:hint="cs"/>
          <w:rtl/>
        </w:rPr>
        <w:t xml:space="preserve"> שטרית</w:t>
      </w:r>
      <w:r>
        <w:rPr>
          <w:rFonts w:hint="cs"/>
          <w:rtl/>
        </w:rPr>
        <w:t xml:space="preserve"> (</w:t>
      </w:r>
      <w:r w:rsidR="00515F35">
        <w:rPr>
          <w:rFonts w:hint="cs"/>
          <w:rtl/>
        </w:rPr>
        <w:t>פ/4594/25</w:t>
      </w:r>
      <w:r>
        <w:rPr>
          <w:rFonts w:hint="cs"/>
          <w:rtl/>
        </w:rPr>
        <w:t>).</w:t>
      </w:r>
    </w:p>
    <w:p w14:paraId="7F6961CB" w14:textId="2A1CC462" w:rsidR="00E13C27" w:rsidRPr="0029318F" w:rsidRDefault="00E13C27" w:rsidP="0042552A">
      <w:pPr>
        <w:pStyle w:val="Hesber"/>
        <w:rPr>
          <w:rtl/>
        </w:rPr>
      </w:pPr>
      <w:bookmarkStart w:id="9" w:name="_GoBack"/>
      <w:bookmarkEnd w:id="9"/>
    </w:p>
    <w:p w14:paraId="5F50CBD9" w14:textId="77777777" w:rsidR="003B2F32" w:rsidRDefault="00476779">
      <w:pPr>
        <w:spacing w:line="276" w:lineRule="auto"/>
        <w:jc w:val="left"/>
      </w:pPr>
      <w:bookmarkStart w:id="10" w:name="selectedDocDateB"/>
      <w:bookmarkEnd w:id="10"/>
      <w:r>
        <w:rPr>
          <w:rFonts w:eastAsia="David" w:hint="cs"/>
          <w:sz w:val="26"/>
          <w:szCs w:val="26"/>
          <w:rtl/>
        </w:rPr>
        <w:t>--------------------------------</w:t>
      </w:r>
    </w:p>
    <w:p w14:paraId="39A91E6C" w14:textId="77777777" w:rsidR="003B2F32" w:rsidRDefault="00476779">
      <w:pPr>
        <w:jc w:val="left"/>
      </w:pPr>
      <w:r>
        <w:rPr>
          <w:rFonts w:eastAsia="David" w:hint="cs"/>
          <w:sz w:val="26"/>
          <w:szCs w:val="26"/>
          <w:rtl/>
        </w:rPr>
        <w:t>הוגשה ליו"ר הכנסת והסגנים</w:t>
      </w:r>
    </w:p>
    <w:p w14:paraId="2800DFDD" w14:textId="77777777" w:rsidR="003B2F32" w:rsidRDefault="00476779">
      <w:pPr>
        <w:jc w:val="left"/>
      </w:pPr>
      <w:r>
        <w:rPr>
          <w:rFonts w:eastAsia="David" w:hint="cs"/>
          <w:sz w:val="26"/>
          <w:szCs w:val="26"/>
          <w:rtl/>
        </w:rPr>
        <w:t>והונחה על שולחן הכנסת ביום</w:t>
      </w:r>
    </w:p>
    <w:p w14:paraId="4498F7D4" w14:textId="77777777" w:rsidR="003B2F32" w:rsidRDefault="00476779">
      <w:pPr>
        <w:jc w:val="left"/>
      </w:pPr>
      <w:r>
        <w:rPr>
          <w:rFonts w:eastAsia="David" w:hint="cs"/>
          <w:sz w:val="26"/>
          <w:szCs w:val="26"/>
          <w:rtl/>
        </w:rPr>
        <w:t xml:space="preserve">י"ט באייר התשפ"ד (27.05.2024) </w:t>
      </w:r>
    </w:p>
    <w:p w14:paraId="3B6851FD" w14:textId="77777777" w:rsidR="003B2F32" w:rsidRDefault="003B2F32"/>
    <w:sectPr w:rsidR="003B2F32" w:rsidSect="00515F35">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476779">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515F35">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3ED7FFB" w14:textId="06538B76" w:rsidR="00A039FB" w:rsidRDefault="00A039FB">
      <w:pPr>
        <w:pStyle w:val="a4"/>
      </w:pPr>
      <w:r>
        <w:rPr>
          <w:rStyle w:val="a6"/>
        </w:rPr>
        <w:footnoteRef/>
      </w:r>
      <w:r>
        <w:rPr>
          <w:rtl/>
        </w:rPr>
        <w:t xml:space="preserve"> </w:t>
      </w:r>
      <w:r>
        <w:rPr>
          <w:rFonts w:hint="cs"/>
          <w:rtl/>
        </w:rPr>
        <w:t xml:space="preserve">ס"ח </w:t>
      </w:r>
      <w:proofErr w:type="spellStart"/>
      <w:r>
        <w:rPr>
          <w:rFonts w:hint="cs"/>
          <w:rtl/>
        </w:rPr>
        <w:t>התשנ"ג</w:t>
      </w:r>
      <w:proofErr w:type="spellEnd"/>
      <w:r>
        <w:rPr>
          <w:rFonts w:hint="cs"/>
          <w:rtl/>
        </w:rPr>
        <w:t>, עמ' 146.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547FC"/>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9318F"/>
    <w:rsid w:val="002A487D"/>
    <w:rsid w:val="002C2E29"/>
    <w:rsid w:val="002C3041"/>
    <w:rsid w:val="002D1EE3"/>
    <w:rsid w:val="002F1D80"/>
    <w:rsid w:val="003232A2"/>
    <w:rsid w:val="00325C14"/>
    <w:rsid w:val="0036422C"/>
    <w:rsid w:val="003710F6"/>
    <w:rsid w:val="003730EC"/>
    <w:rsid w:val="00386E88"/>
    <w:rsid w:val="00396585"/>
    <w:rsid w:val="003B2F32"/>
    <w:rsid w:val="003D6E38"/>
    <w:rsid w:val="003D74A0"/>
    <w:rsid w:val="004033D8"/>
    <w:rsid w:val="004073F0"/>
    <w:rsid w:val="00412A7D"/>
    <w:rsid w:val="00416B4D"/>
    <w:rsid w:val="00417CFC"/>
    <w:rsid w:val="0042552A"/>
    <w:rsid w:val="00476779"/>
    <w:rsid w:val="004A06DC"/>
    <w:rsid w:val="004B24ED"/>
    <w:rsid w:val="004B6625"/>
    <w:rsid w:val="004D2D82"/>
    <w:rsid w:val="004D3876"/>
    <w:rsid w:val="004E4552"/>
    <w:rsid w:val="004E6CDF"/>
    <w:rsid w:val="00510AD8"/>
    <w:rsid w:val="00515F35"/>
    <w:rsid w:val="00553C9D"/>
    <w:rsid w:val="00562A66"/>
    <w:rsid w:val="005679D8"/>
    <w:rsid w:val="005B064E"/>
    <w:rsid w:val="005D51AE"/>
    <w:rsid w:val="0062674B"/>
    <w:rsid w:val="006363B2"/>
    <w:rsid w:val="00644940"/>
    <w:rsid w:val="006818A9"/>
    <w:rsid w:val="006A2D81"/>
    <w:rsid w:val="006A554D"/>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039FB"/>
    <w:rsid w:val="00A14672"/>
    <w:rsid w:val="00A26BD6"/>
    <w:rsid w:val="00A443CF"/>
    <w:rsid w:val="00A6611D"/>
    <w:rsid w:val="00A817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 w:val="00FD37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1416ACE1-906F-4849-8618-D9D8FC4B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F35"/>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515F35"/>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515F35"/>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515F35"/>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515F35"/>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515F35"/>
    <w:pPr>
      <w:spacing w:line="259" w:lineRule="auto"/>
      <w:outlineLvl w:val="4"/>
    </w:pPr>
    <w:rPr>
      <w:color w:val="000000" w:themeColor="text1"/>
    </w:rPr>
  </w:style>
  <w:style w:type="character" w:default="1" w:styleId="a0">
    <w:name w:val="Default Paragraph Font"/>
    <w:uiPriority w:val="1"/>
    <w:semiHidden/>
    <w:unhideWhenUsed/>
    <w:rsid w:val="00515F3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15F35"/>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515F35"/>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515F35"/>
    <w:rPr>
      <w:sz w:val="36"/>
      <w:szCs w:val="52"/>
    </w:rPr>
  </w:style>
  <w:style w:type="paragraph" w:customStyle="1" w:styleId="Cover3-Haknesset">
    <w:name w:val="Cover 3-Haknesset"/>
    <w:basedOn w:val="Cover1-Reshumot"/>
    <w:rsid w:val="00515F35"/>
    <w:rPr>
      <w:b/>
      <w:bCs/>
      <w:spacing w:val="60"/>
    </w:rPr>
  </w:style>
  <w:style w:type="paragraph" w:customStyle="1" w:styleId="Cover4-Date">
    <w:name w:val="Cover 4-Date"/>
    <w:basedOn w:val="a"/>
    <w:rsid w:val="00515F35"/>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515F35"/>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515F35"/>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515F35"/>
    <w:pPr>
      <w:spacing w:before="120" w:after="120"/>
    </w:pPr>
    <w:rPr>
      <w:color w:val="FF0000"/>
      <w:w w:val="80"/>
    </w:rPr>
  </w:style>
  <w:style w:type="paragraph" w:styleId="a3">
    <w:name w:val="endnote text"/>
    <w:basedOn w:val="a"/>
    <w:semiHidden/>
    <w:rsid w:val="00515F35"/>
    <w:pPr>
      <w:ind w:left="227" w:hanging="227"/>
    </w:pPr>
    <w:rPr>
      <w:sz w:val="14"/>
      <w:szCs w:val="22"/>
    </w:rPr>
  </w:style>
  <w:style w:type="paragraph" w:customStyle="1" w:styleId="TableText">
    <w:name w:val="Table Text"/>
    <w:basedOn w:val="a"/>
    <w:rsid w:val="00515F35"/>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515F35"/>
    <w:pPr>
      <w:outlineLvl w:val="2"/>
    </w:pPr>
  </w:style>
  <w:style w:type="paragraph" w:customStyle="1" w:styleId="TableBlock">
    <w:name w:val="Table Block"/>
    <w:basedOn w:val="TableText"/>
    <w:rsid w:val="00515F35"/>
    <w:pPr>
      <w:jc w:val="both"/>
    </w:pPr>
  </w:style>
  <w:style w:type="paragraph" w:customStyle="1" w:styleId="TableHead">
    <w:name w:val="Table Head"/>
    <w:basedOn w:val="TableText"/>
    <w:rsid w:val="00515F35"/>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515F35"/>
    <w:pPr>
      <w:outlineLvl w:val="9"/>
    </w:pPr>
  </w:style>
  <w:style w:type="paragraph" w:customStyle="1" w:styleId="Hesber">
    <w:name w:val="Hesber"/>
    <w:basedOn w:val="a"/>
    <w:rsid w:val="00515F35"/>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515F35"/>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515F35"/>
    <w:rPr>
      <w:vertAlign w:val="superscript"/>
    </w:rPr>
  </w:style>
  <w:style w:type="paragraph" w:customStyle="1" w:styleId="HesberHeading">
    <w:name w:val="Hesber Heading"/>
    <w:basedOn w:val="Hesber"/>
    <w:rsid w:val="00515F35"/>
    <w:pPr>
      <w:tabs>
        <w:tab w:val="left" w:pos="624"/>
        <w:tab w:val="left" w:pos="1247"/>
      </w:tabs>
    </w:pPr>
    <w:rPr>
      <w:b/>
      <w:bCs/>
    </w:rPr>
  </w:style>
  <w:style w:type="paragraph" w:customStyle="1" w:styleId="HesberWriters">
    <w:name w:val="Hesber Writers"/>
    <w:basedOn w:val="Hesber"/>
    <w:rsid w:val="00515F35"/>
    <w:pPr>
      <w:spacing w:before="120" w:after="120"/>
      <w:ind w:left="1418"/>
      <w:jc w:val="right"/>
    </w:pPr>
    <w:rPr>
      <w:b/>
      <w:bCs/>
    </w:rPr>
  </w:style>
  <w:style w:type="paragraph" w:customStyle="1" w:styleId="Hesber1st">
    <w:name w:val="Hesber 1st"/>
    <w:basedOn w:val="Hesber"/>
    <w:rsid w:val="00515F35"/>
    <w:pPr>
      <w:tabs>
        <w:tab w:val="left" w:pos="680"/>
        <w:tab w:val="left" w:pos="1020"/>
      </w:tabs>
      <w:ind w:firstLine="0"/>
    </w:pPr>
  </w:style>
  <w:style w:type="character" w:styleId="a7">
    <w:name w:val="endnote reference"/>
    <w:basedOn w:val="a0"/>
    <w:semiHidden/>
    <w:rsid w:val="00515F35"/>
    <w:rPr>
      <w:vertAlign w:val="superscript"/>
    </w:rPr>
  </w:style>
  <w:style w:type="paragraph" w:customStyle="1" w:styleId="TableBlockOutdent">
    <w:name w:val="Table BlockOutdent"/>
    <w:basedOn w:val="TableBlock"/>
    <w:rsid w:val="00515F35"/>
    <w:pPr>
      <w:ind w:left="624" w:hanging="624"/>
    </w:pPr>
  </w:style>
  <w:style w:type="paragraph" w:styleId="a8">
    <w:name w:val="header"/>
    <w:basedOn w:val="a"/>
    <w:rsid w:val="00515F35"/>
    <w:pPr>
      <w:tabs>
        <w:tab w:val="center" w:pos="4153"/>
        <w:tab w:val="right" w:pos="8306"/>
      </w:tabs>
    </w:pPr>
  </w:style>
  <w:style w:type="paragraph" w:styleId="a9">
    <w:name w:val="footer"/>
    <w:basedOn w:val="a"/>
    <w:rsid w:val="00515F35"/>
    <w:pPr>
      <w:tabs>
        <w:tab w:val="center" w:pos="4153"/>
        <w:tab w:val="right" w:pos="8306"/>
      </w:tabs>
    </w:pPr>
  </w:style>
  <w:style w:type="paragraph" w:customStyle="1" w:styleId="HeadDivreiHesber">
    <w:name w:val="Head DivreiHesber"/>
    <w:basedOn w:val="a"/>
    <w:rsid w:val="00515F35"/>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515F35"/>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515F35"/>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locked/>
    <w:rsid w:val="006A554D"/>
    <w:rPr>
      <w:rFonts w:ascii="Arial" w:eastAsia="Arial Unicode MS" w:hAnsi="Arial" w:cs="David"/>
      <w:snapToGrid w:val="0"/>
      <w:sz w:val="14"/>
    </w:rPr>
  </w:style>
  <w:style w:type="character" w:customStyle="1" w:styleId="10">
    <w:name w:val="כותרת 1 תו"/>
    <w:basedOn w:val="a0"/>
    <w:link w:val="1"/>
    <w:uiPriority w:val="9"/>
    <w:rsid w:val="00515F35"/>
    <w:rPr>
      <w:rFonts w:asciiTheme="majorHAnsi" w:eastAsiaTheme="majorEastAsia" w:hAnsiTheme="majorHAnsi" w:cs="David"/>
      <w:bCs/>
      <w:sz w:val="32"/>
      <w:szCs w:val="36"/>
    </w:rPr>
  </w:style>
  <w:style w:type="character" w:customStyle="1" w:styleId="20">
    <w:name w:val="כותרת 2 תו"/>
    <w:basedOn w:val="a0"/>
    <w:link w:val="2"/>
    <w:rsid w:val="00515F35"/>
    <w:rPr>
      <w:rFonts w:asciiTheme="majorHAnsi" w:eastAsiaTheme="majorEastAsia" w:hAnsiTheme="majorHAnsi" w:cs="David"/>
      <w:bCs/>
      <w:sz w:val="26"/>
      <w:szCs w:val="36"/>
      <w:u w:val="single"/>
    </w:rPr>
  </w:style>
  <w:style w:type="character" w:customStyle="1" w:styleId="30">
    <w:name w:val="כותרת 3 תו"/>
    <w:basedOn w:val="a0"/>
    <w:link w:val="3"/>
    <w:rsid w:val="00515F35"/>
    <w:rPr>
      <w:rFonts w:asciiTheme="majorHAnsi" w:eastAsiaTheme="majorEastAsia" w:hAnsiTheme="majorHAnsi" w:cs="David"/>
      <w:sz w:val="24"/>
      <w:szCs w:val="28"/>
      <w:u w:val="double"/>
    </w:rPr>
  </w:style>
  <w:style w:type="character" w:customStyle="1" w:styleId="40">
    <w:name w:val="כותרת 4 תו"/>
    <w:basedOn w:val="a0"/>
    <w:link w:val="4"/>
    <w:uiPriority w:val="9"/>
    <w:rsid w:val="00515F35"/>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515F35"/>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515F35"/>
    <w:pPr>
      <w:widowControl/>
      <w:spacing w:before="120" w:after="120"/>
      <w:outlineLvl w:val="9"/>
    </w:pPr>
    <w:rPr>
      <w:rtl/>
      <w:cs/>
    </w:rPr>
  </w:style>
  <w:style w:type="paragraph" w:styleId="TOC1">
    <w:name w:val="toc 1"/>
    <w:basedOn w:val="a"/>
    <w:next w:val="a"/>
    <w:autoRedefine/>
    <w:uiPriority w:val="39"/>
    <w:unhideWhenUsed/>
    <w:rsid w:val="00515F35"/>
    <w:pPr>
      <w:tabs>
        <w:tab w:val="right" w:leader="dot" w:pos="9629"/>
      </w:tabs>
      <w:spacing w:after="100"/>
    </w:pPr>
    <w:rPr>
      <w:bCs/>
      <w:szCs w:val="22"/>
    </w:rPr>
  </w:style>
  <w:style w:type="paragraph" w:styleId="TOC2">
    <w:name w:val="toc 2"/>
    <w:basedOn w:val="a"/>
    <w:next w:val="a"/>
    <w:uiPriority w:val="39"/>
    <w:unhideWhenUsed/>
    <w:rsid w:val="00515F35"/>
    <w:pPr>
      <w:tabs>
        <w:tab w:val="right" w:leader="dot" w:pos="9628"/>
      </w:tabs>
      <w:spacing w:after="100"/>
    </w:pPr>
    <w:rPr>
      <w:szCs w:val="22"/>
    </w:rPr>
  </w:style>
  <w:style w:type="character" w:styleId="Hyperlink">
    <w:name w:val="Hyperlink"/>
    <w:basedOn w:val="a0"/>
    <w:uiPriority w:val="99"/>
    <w:unhideWhenUsed/>
    <w:rsid w:val="00515F35"/>
    <w:rPr>
      <w:color w:val="0000FF" w:themeColor="hyperlink"/>
      <w:u w:val="single"/>
    </w:rPr>
  </w:style>
  <w:style w:type="paragraph" w:styleId="TOC3">
    <w:name w:val="toc 3"/>
    <w:basedOn w:val="a"/>
    <w:next w:val="a"/>
    <w:uiPriority w:val="39"/>
    <w:unhideWhenUsed/>
    <w:rsid w:val="00515F35"/>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515F35"/>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515F35"/>
    <w:pPr>
      <w:tabs>
        <w:tab w:val="right" w:leader="dot" w:pos="9628"/>
      </w:tabs>
      <w:spacing w:after="100"/>
      <w:ind w:left="567"/>
    </w:pPr>
    <w:rPr>
      <w:szCs w:val="22"/>
    </w:rPr>
  </w:style>
  <w:style w:type="paragraph" w:styleId="TOC6">
    <w:name w:val="toc 6"/>
    <w:basedOn w:val="a"/>
    <w:next w:val="a"/>
    <w:autoRedefine/>
    <w:semiHidden/>
    <w:unhideWhenUsed/>
    <w:rsid w:val="00515F35"/>
    <w:pPr>
      <w:spacing w:after="100"/>
      <w:ind w:left="850"/>
    </w:pPr>
  </w:style>
  <w:style w:type="paragraph" w:styleId="TOC7">
    <w:name w:val="toc 7"/>
    <w:basedOn w:val="a"/>
    <w:next w:val="a"/>
    <w:autoRedefine/>
    <w:semiHidden/>
    <w:unhideWhenUsed/>
    <w:rsid w:val="00515F35"/>
    <w:pPr>
      <w:spacing w:after="100"/>
      <w:ind w:left="1020"/>
    </w:pPr>
  </w:style>
  <w:style w:type="paragraph" w:styleId="TOC8">
    <w:name w:val="toc 8"/>
    <w:basedOn w:val="a"/>
    <w:next w:val="a"/>
    <w:autoRedefine/>
    <w:semiHidden/>
    <w:unhideWhenUsed/>
    <w:rsid w:val="00515F35"/>
    <w:pPr>
      <w:spacing w:after="100"/>
      <w:ind w:left="1190"/>
    </w:pPr>
  </w:style>
  <w:style w:type="paragraph" w:styleId="TOC9">
    <w:name w:val="toc 9"/>
    <w:basedOn w:val="a"/>
    <w:next w:val="a"/>
    <w:autoRedefine/>
    <w:semiHidden/>
    <w:unhideWhenUsed/>
    <w:rsid w:val="00515F35"/>
    <w:pPr>
      <w:spacing w:after="100"/>
      <w:ind w:left="1360"/>
    </w:pPr>
  </w:style>
  <w:style w:type="paragraph" w:customStyle="1" w:styleId="TableHead2">
    <w:name w:val="Table Head2"/>
    <w:basedOn w:val="TableHead"/>
    <w:qFormat/>
    <w:rsid w:val="00515F35"/>
    <w:pPr>
      <w:outlineLvl w:val="9"/>
    </w:pPr>
  </w:style>
  <w:style w:type="paragraph" w:customStyle="1" w:styleId="TableSideHeading2">
    <w:name w:val="Table SideHeading2"/>
    <w:basedOn w:val="TableSideHeading"/>
    <w:autoRedefine/>
    <w:qFormat/>
    <w:rsid w:val="00515F35"/>
    <w:pPr>
      <w:keepLines w:val="0"/>
      <w:outlineLvl w:val="9"/>
    </w:pPr>
  </w:style>
  <w:style w:type="paragraph" w:customStyle="1" w:styleId="0">
    <w:name w:val="סגנון שורה ראשונה:  0  ס''מ"/>
    <w:basedOn w:val="2"/>
    <w:rsid w:val="00515F35"/>
    <w:rPr>
      <w:rFonts w:eastAsia="Times New Roman"/>
    </w:rPr>
  </w:style>
  <w:style w:type="paragraph" w:styleId="af">
    <w:name w:val="List Paragraph"/>
    <w:basedOn w:val="a"/>
    <w:uiPriority w:val="34"/>
    <w:qFormat/>
    <w:rsid w:val="00515F35"/>
    <w:pPr>
      <w:widowControl/>
      <w:spacing w:line="259" w:lineRule="auto"/>
    </w:pPr>
    <w:rPr>
      <w:rFonts w:asciiTheme="minorHAnsi" w:hAnsiTheme="minorHAnsi"/>
      <w:sz w:val="22"/>
    </w:rPr>
  </w:style>
  <w:style w:type="table" w:styleId="af0">
    <w:name w:val="Table Grid"/>
    <w:basedOn w:val="a1"/>
    <w:rsid w:val="00515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515F3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515F3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515F35"/>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515F35"/>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462123">
      <w:bodyDiv w:val="1"/>
      <w:marLeft w:val="0"/>
      <w:marRight w:val="0"/>
      <w:marTop w:val="0"/>
      <w:marBottom w:val="0"/>
      <w:divBdr>
        <w:top w:val="none" w:sz="0" w:space="0" w:color="auto"/>
        <w:left w:val="none" w:sz="0" w:space="0" w:color="auto"/>
        <w:bottom w:val="none" w:sz="0" w:space="0" w:color="auto"/>
        <w:right w:val="none" w:sz="0" w:space="0" w:color="auto"/>
      </w:divBdr>
    </w:div>
    <w:div w:id="1950894148">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290d5b49-c690-4c6f-bbb9-1e50dab33eee"/>
    <ds:schemaRef ds:uri="http://purl.org/dc/dcmitype/"/>
  </ds:schemaRefs>
</ds:datastoreItem>
</file>

<file path=customXml/itemProps3.xml><?xml version="1.0" encoding="utf-8"?>
<ds:datastoreItem xmlns:ds="http://schemas.openxmlformats.org/officeDocument/2006/customXml" ds:itemID="{AA27E09B-6485-4FF4-ADC7-6D17D84E9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45DA03-0DC2-40BA-B811-E17761B5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444</Words>
  <Characters>2537</Characters>
  <Application>Microsoft Office Word</Application>
  <DocSecurity>0</DocSecurity>
  <Lines>21</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14</cp:revision>
  <cp:lastPrinted>2013-07-04T08:25:00Z</cp:lastPrinted>
  <dcterms:created xsi:type="dcterms:W3CDTF">2015-04-20T09:58:00Z</dcterms:created>
  <dcterms:modified xsi:type="dcterms:W3CDTF">2024-05-26T06:19:00Z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2218183</vt:r8>
  </property>
</Properties>
</file>