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2217179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6" w14:textId="4C61709E"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ארז מלול</w:t>
      </w:r>
      <w:r>
        <w:br/>
      </w:r>
      <w:r>
        <w:rPr>
          <w:rFonts w:hint="cs"/>
          <w:b/>
          <w:bCs/>
          <w:rtl/>
        </w:rPr>
        <w:t xml:space="preserve"> </w:t>
      </w:r>
      <w:r>
        <w:tab/>
      </w:r>
      <w:r>
        <w:tab/>
      </w:r>
      <w:r>
        <w:tab/>
      </w:r>
      <w:r>
        <w:tab/>
      </w:r>
      <w:r>
        <w:rPr>
          <w:rFonts w:hint="cs"/>
          <w:b/>
          <w:bCs/>
          <w:rtl/>
        </w:rPr>
        <w:t>משה פסל</w:t>
      </w:r>
      <w:bookmarkEnd w:id="3"/>
    </w:p>
    <w:p w14:paraId="5ACC47F3" w14:textId="77777777" w:rsidR="00051EF6" w:rsidRDefault="00051EF6" w:rsidP="00051EF6">
      <w:pPr>
        <w:pStyle w:val="David"/>
        <w:ind w:left="3600"/>
        <w:rPr>
          <w:rtl/>
        </w:rPr>
      </w:pPr>
      <w:bookmarkStart w:id="4" w:name="LGS_Join_List"/>
      <w:r>
        <w:t>______________________________________________</w:t>
      </w:r>
    </w:p>
    <w:p w14:paraId="5D72D1D9" w14:textId="69F10A05" w:rsidR="00051EF6" w:rsidRPr="00904591" w:rsidRDefault="00051EF6" w:rsidP="00051EF6">
      <w:pPr>
        <w:pStyle w:val="David"/>
        <w:ind w:left="5760" w:firstLine="720"/>
        <w:rPr>
          <w:sz w:val="4"/>
          <w:szCs w:val="4"/>
          <w:rtl/>
        </w:rPr>
      </w:pPr>
      <w:r w:rsidRPr="00051EF6">
        <w:rPr>
          <w:rtl/>
        </w:rPr>
        <w:t>פ/4541/25</w:t>
      </w:r>
      <w:r w:rsidRPr="00051EF6">
        <w:t xml:space="preserve"> </w:t>
      </w:r>
      <w:r>
        <w:t xml:space="preserve"> </w:t>
      </w:r>
    </w:p>
    <w:p w14:paraId="7F6961AA" w14:textId="39F9D96B" w:rsidR="00E13C27" w:rsidRPr="00CF1AA2" w:rsidRDefault="007D585A" w:rsidP="0036422C">
      <w:pPr>
        <w:pStyle w:val="David"/>
        <w:ind w:left="3544"/>
        <w:rPr>
          <w:b/>
          <w:bCs/>
          <w:sz w:val="16"/>
          <w:szCs w:val="16"/>
          <w:rtl/>
        </w:rPr>
      </w:pPr>
      <w:r>
        <w:rPr>
          <w:rtl/>
        </w:rPr>
        <w:t xml:space="preserve"> </w:t>
      </w:r>
      <w:bookmarkEnd w:id="4"/>
      <w:r w:rsidR="002200A1" w:rsidRPr="00CF1AA2">
        <w:rPr>
          <w:rFonts w:hint="cs"/>
          <w:rtl/>
        </w:rPr>
        <w:tab/>
      </w:r>
      <w:bookmarkStart w:id="5" w:name="LGS_PM_NamesJoin"/>
      <w:r>
        <w:rPr>
          <w:rFonts w:hint="cs"/>
          <w:rtl/>
        </w:rPr>
        <w:t xml:space="preserve"> </w:t>
      </w:r>
      <w:bookmarkEnd w:id="5"/>
    </w:p>
    <w:p w14:paraId="7F6961AB" w14:textId="58B82311" w:rsidR="00E13C27" w:rsidRPr="000C235D" w:rsidRDefault="000C235D" w:rsidP="00051EF6">
      <w:pPr>
        <w:pStyle w:val="David"/>
        <w:rPr>
          <w:b/>
          <w:bCs/>
          <w:rtl/>
        </w:rPr>
      </w:pPr>
      <w:r w:rsidRPr="000C235D">
        <w:rPr>
          <w:rFonts w:hint="cs"/>
          <w:b/>
          <w:bCs/>
          <w:rtl/>
        </w:rPr>
        <w:t xml:space="preserve">               </w:t>
      </w:r>
      <w:r>
        <w:rPr>
          <w:rFonts w:hint="cs"/>
          <w:b/>
          <w:bCs/>
          <w:rtl/>
        </w:rPr>
        <w:t xml:space="preserve">                 </w:t>
      </w:r>
      <w:r w:rsidRPr="000C235D">
        <w:rPr>
          <w:rFonts w:hint="cs"/>
          <w:b/>
          <w:bCs/>
          <w:rtl/>
        </w:rPr>
        <w:t xml:space="preserve"> </w:t>
      </w:r>
      <w:r w:rsidR="000A00BE" w:rsidRPr="000C235D">
        <w:rPr>
          <w:b/>
          <w:bCs/>
          <w:rtl/>
        </w:rPr>
        <w:t>הצעת חוק נציב תלונו</w:t>
      </w:r>
      <w:r w:rsidR="000A00BE" w:rsidRPr="000C235D">
        <w:rPr>
          <w:rFonts w:hint="cs"/>
          <w:b/>
          <w:bCs/>
          <w:rtl/>
        </w:rPr>
        <w:t xml:space="preserve">ת </w:t>
      </w:r>
      <w:r w:rsidR="000A00BE" w:rsidRPr="000C235D">
        <w:rPr>
          <w:b/>
          <w:bCs/>
          <w:rtl/>
        </w:rPr>
        <w:t>הציבור על רבנים</w:t>
      </w:r>
      <w:r w:rsidR="00051EF6">
        <w:rPr>
          <w:rFonts w:hint="cs"/>
          <w:b/>
          <w:bCs/>
          <w:rtl/>
        </w:rPr>
        <w:t>,</w:t>
      </w:r>
      <w:r w:rsidR="000A00BE" w:rsidRPr="000C235D">
        <w:rPr>
          <w:rFonts w:hint="cs"/>
          <w:b/>
          <w:bCs/>
          <w:rtl/>
        </w:rPr>
        <w:t xml:space="preserve"> </w:t>
      </w:r>
      <w:r w:rsidR="000A00BE" w:rsidRPr="000C235D">
        <w:rPr>
          <w:b/>
          <w:bCs/>
          <w:rtl/>
        </w:rPr>
        <w:t>התשפ"ד</w:t>
      </w:r>
      <w:r w:rsidR="00051EF6">
        <w:rPr>
          <w:rFonts w:hint="cs"/>
          <w:b/>
          <w:bCs/>
          <w:rtl/>
        </w:rPr>
        <w:t>–</w:t>
      </w:r>
      <w:r w:rsidR="000A00BE" w:rsidRPr="000C235D">
        <w:rPr>
          <w:b/>
          <w:bCs/>
          <w:rtl/>
        </w:rPr>
        <w:t>2024</w:t>
      </w:r>
    </w:p>
    <w:p w14:paraId="1DB3CD2B" w14:textId="77777777" w:rsidR="00386C5D" w:rsidRDefault="00386C5D" w:rsidP="00386C5D">
      <w:pPr>
        <w:pStyle w:val="David"/>
        <w:rPr>
          <w:b/>
          <w:bCs/>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5895"/>
      </w:tblGrid>
      <w:tr w:rsidR="00386C5D" w14:paraId="6AD8FB5C" w14:textId="77777777" w:rsidTr="005C311E">
        <w:trPr>
          <w:cantSplit/>
        </w:trPr>
        <w:tc>
          <w:tcPr>
            <w:tcW w:w="1871" w:type="dxa"/>
          </w:tcPr>
          <w:p w14:paraId="15D2B04F" w14:textId="77777777" w:rsidR="00386C5D" w:rsidRDefault="00386C5D" w:rsidP="00DF05B0">
            <w:pPr>
              <w:pStyle w:val="TableSideHeading"/>
              <w:keepLines w:val="0"/>
            </w:pPr>
            <w:r>
              <w:rPr>
                <w:rFonts w:hint="cs"/>
                <w:rtl/>
              </w:rPr>
              <w:t>הגדרות</w:t>
            </w:r>
          </w:p>
        </w:tc>
        <w:tc>
          <w:tcPr>
            <w:tcW w:w="624" w:type="dxa"/>
          </w:tcPr>
          <w:p w14:paraId="4EC27754" w14:textId="77777777" w:rsidR="00386C5D" w:rsidRDefault="00386C5D" w:rsidP="00DF05B0">
            <w:pPr>
              <w:pStyle w:val="TableText"/>
              <w:keepLines w:val="0"/>
              <w:tabs>
                <w:tab w:val="clear" w:pos="624"/>
              </w:tabs>
            </w:pPr>
            <w:r>
              <w:rPr>
                <w:rFonts w:hint="cs"/>
                <w:rtl/>
              </w:rPr>
              <w:t>1.</w:t>
            </w:r>
          </w:p>
        </w:tc>
        <w:tc>
          <w:tcPr>
            <w:tcW w:w="7143" w:type="dxa"/>
            <w:gridSpan w:val="3"/>
          </w:tcPr>
          <w:p w14:paraId="1568A6F0" w14:textId="77777777" w:rsidR="00386C5D" w:rsidRPr="00896C79" w:rsidRDefault="00386C5D" w:rsidP="005C311E">
            <w:pPr>
              <w:pStyle w:val="TableBlock"/>
              <w:tabs>
                <w:tab w:val="left" w:pos="624"/>
                <w:tab w:val="left" w:pos="1247"/>
              </w:tabs>
            </w:pPr>
            <w:r w:rsidRPr="00896C79">
              <w:rPr>
                <w:rFonts w:hint="cs"/>
                <w:rtl/>
              </w:rPr>
              <w:t xml:space="preserve">בחוק זה </w:t>
            </w:r>
            <w:r w:rsidRPr="00896C79">
              <w:rPr>
                <w:rtl/>
              </w:rPr>
              <w:t>–</w:t>
            </w:r>
          </w:p>
        </w:tc>
      </w:tr>
      <w:tr w:rsidR="00386C5D" w14:paraId="4CEED48D" w14:textId="77777777" w:rsidTr="005C311E">
        <w:trPr>
          <w:cantSplit/>
        </w:trPr>
        <w:tc>
          <w:tcPr>
            <w:tcW w:w="1871" w:type="dxa"/>
          </w:tcPr>
          <w:p w14:paraId="212FDEC7" w14:textId="77777777" w:rsidR="00386C5D" w:rsidRDefault="00386C5D" w:rsidP="00DF05B0">
            <w:pPr>
              <w:pStyle w:val="TableSideHeading"/>
              <w:keepLines w:val="0"/>
              <w:rPr>
                <w:rtl/>
              </w:rPr>
            </w:pPr>
          </w:p>
        </w:tc>
        <w:tc>
          <w:tcPr>
            <w:tcW w:w="624" w:type="dxa"/>
          </w:tcPr>
          <w:p w14:paraId="44823090" w14:textId="77777777" w:rsidR="00386C5D" w:rsidRDefault="00386C5D" w:rsidP="00DF05B0">
            <w:pPr>
              <w:pStyle w:val="TableText"/>
              <w:keepLines w:val="0"/>
              <w:tabs>
                <w:tab w:val="clear" w:pos="624"/>
              </w:tabs>
              <w:rPr>
                <w:rtl/>
              </w:rPr>
            </w:pPr>
          </w:p>
        </w:tc>
        <w:tc>
          <w:tcPr>
            <w:tcW w:w="7143" w:type="dxa"/>
            <w:gridSpan w:val="3"/>
          </w:tcPr>
          <w:p w14:paraId="518DEDF6" w14:textId="77777777" w:rsidR="00386C5D" w:rsidRPr="00896C79" w:rsidRDefault="00386C5D" w:rsidP="005C311E">
            <w:pPr>
              <w:pStyle w:val="TableBlockOutdent"/>
              <w:rPr>
                <w:rtl/>
              </w:rPr>
            </w:pPr>
            <w:r>
              <w:rPr>
                <w:rtl/>
              </w:rPr>
              <w:t>"השר" – השר לשירותי דת</w:t>
            </w:r>
            <w:r>
              <w:rPr>
                <w:rFonts w:hint="cs"/>
                <w:rtl/>
              </w:rPr>
              <w:t>.</w:t>
            </w:r>
          </w:p>
        </w:tc>
      </w:tr>
      <w:tr w:rsidR="00386C5D" w14:paraId="1EA273D6" w14:textId="77777777" w:rsidTr="005C311E">
        <w:trPr>
          <w:cantSplit/>
        </w:trPr>
        <w:tc>
          <w:tcPr>
            <w:tcW w:w="1871" w:type="dxa"/>
          </w:tcPr>
          <w:p w14:paraId="015D0B6E" w14:textId="2CE2418E" w:rsidR="00386C5D" w:rsidRDefault="00386C5D" w:rsidP="00DF05B0">
            <w:pPr>
              <w:pStyle w:val="TableSideHeading"/>
              <w:keepLines w:val="0"/>
            </w:pPr>
            <w:r>
              <w:rPr>
                <w:rFonts w:hint="cs"/>
                <w:rtl/>
              </w:rPr>
              <w:t xml:space="preserve">נציב תלונות </w:t>
            </w:r>
            <w:r w:rsidR="005C311E">
              <w:rPr>
                <w:rtl/>
              </w:rPr>
              <w:br/>
            </w:r>
            <w:r>
              <w:rPr>
                <w:rFonts w:hint="cs"/>
                <w:rtl/>
              </w:rPr>
              <w:t>הציבור על רבנים</w:t>
            </w:r>
          </w:p>
        </w:tc>
        <w:tc>
          <w:tcPr>
            <w:tcW w:w="624" w:type="dxa"/>
          </w:tcPr>
          <w:p w14:paraId="698C2525" w14:textId="77777777" w:rsidR="00386C5D" w:rsidRDefault="00386C5D" w:rsidP="00DF05B0">
            <w:pPr>
              <w:pStyle w:val="TableText"/>
              <w:keepLines w:val="0"/>
              <w:tabs>
                <w:tab w:val="clear" w:pos="624"/>
              </w:tabs>
            </w:pPr>
            <w:r>
              <w:rPr>
                <w:rFonts w:hint="cs"/>
                <w:rtl/>
              </w:rPr>
              <w:t>2.</w:t>
            </w:r>
          </w:p>
        </w:tc>
        <w:tc>
          <w:tcPr>
            <w:tcW w:w="7143" w:type="dxa"/>
            <w:gridSpan w:val="3"/>
          </w:tcPr>
          <w:p w14:paraId="4079E066" w14:textId="77777777" w:rsidR="00386C5D" w:rsidRPr="00896C79" w:rsidRDefault="00386C5D" w:rsidP="005C311E">
            <w:pPr>
              <w:pStyle w:val="TableBlock"/>
            </w:pPr>
            <w:r w:rsidRPr="00896C79">
              <w:rPr>
                <w:rtl/>
              </w:rPr>
              <w:t>(א)</w:t>
            </w:r>
            <w:r w:rsidRPr="00896C79">
              <w:rPr>
                <w:rtl/>
              </w:rPr>
              <w:tab/>
              <w:t>השר, בהסכמת הרבנים הראשיים ובאישור מועצת הרבנות הראשית לישראל, ימ</w:t>
            </w:r>
            <w:r>
              <w:rPr>
                <w:rtl/>
              </w:rPr>
              <w:t>נה נציב לתלונות הציבור על רבנים</w:t>
            </w:r>
            <w:r w:rsidRPr="00896C79">
              <w:rPr>
                <w:rtl/>
              </w:rPr>
              <w:t xml:space="preserve"> (להלן – הנציב), שיברר, בהתאם להוראות חוק זה, תלונות ציבור על התנהגות רבני עיר, רבני יישוב, רבנים אזוריים ורבני שכונות במסגרת מילוי תפקידם.</w:t>
            </w:r>
          </w:p>
        </w:tc>
      </w:tr>
      <w:tr w:rsidR="00386C5D" w14:paraId="1882357D" w14:textId="77777777" w:rsidTr="005C311E">
        <w:trPr>
          <w:cantSplit/>
        </w:trPr>
        <w:tc>
          <w:tcPr>
            <w:tcW w:w="1871" w:type="dxa"/>
          </w:tcPr>
          <w:p w14:paraId="594296DB" w14:textId="77777777" w:rsidR="00386C5D" w:rsidRDefault="00386C5D" w:rsidP="00DF05B0">
            <w:pPr>
              <w:pStyle w:val="TableSideHeading"/>
              <w:keepLines w:val="0"/>
              <w:rPr>
                <w:rtl/>
              </w:rPr>
            </w:pPr>
          </w:p>
        </w:tc>
        <w:tc>
          <w:tcPr>
            <w:tcW w:w="624" w:type="dxa"/>
          </w:tcPr>
          <w:p w14:paraId="6AA23FA6" w14:textId="77777777" w:rsidR="00386C5D" w:rsidRDefault="00386C5D" w:rsidP="00DF05B0">
            <w:pPr>
              <w:pStyle w:val="TableText"/>
              <w:keepLines w:val="0"/>
              <w:tabs>
                <w:tab w:val="clear" w:pos="624"/>
              </w:tabs>
              <w:rPr>
                <w:rtl/>
              </w:rPr>
            </w:pPr>
          </w:p>
        </w:tc>
        <w:tc>
          <w:tcPr>
            <w:tcW w:w="7143" w:type="dxa"/>
            <w:gridSpan w:val="3"/>
          </w:tcPr>
          <w:p w14:paraId="6D70B950" w14:textId="77777777" w:rsidR="00386C5D" w:rsidRPr="00896C79" w:rsidRDefault="00386C5D" w:rsidP="005C311E">
            <w:pPr>
              <w:pStyle w:val="TableBlock"/>
              <w:rPr>
                <w:rtl/>
              </w:rPr>
            </w:pPr>
            <w:r w:rsidRPr="00896C79">
              <w:rPr>
                <w:rtl/>
              </w:rPr>
              <w:t>(ב)</w:t>
            </w:r>
            <w:r w:rsidRPr="00896C79">
              <w:rPr>
                <w:rtl/>
              </w:rPr>
              <w:tab/>
              <w:t>לא יתמנה לנציב אלא מי שכשיר לכהן כרב עיר.</w:t>
            </w:r>
          </w:p>
        </w:tc>
      </w:tr>
      <w:tr w:rsidR="00386C5D" w14:paraId="4F7559AC" w14:textId="77777777" w:rsidTr="005C311E">
        <w:trPr>
          <w:cantSplit/>
        </w:trPr>
        <w:tc>
          <w:tcPr>
            <w:tcW w:w="1871" w:type="dxa"/>
          </w:tcPr>
          <w:p w14:paraId="564AC6F6" w14:textId="77777777" w:rsidR="00386C5D" w:rsidRDefault="00386C5D" w:rsidP="00DF05B0">
            <w:pPr>
              <w:pStyle w:val="TableSideHeading"/>
            </w:pPr>
          </w:p>
        </w:tc>
        <w:tc>
          <w:tcPr>
            <w:tcW w:w="624" w:type="dxa"/>
          </w:tcPr>
          <w:p w14:paraId="0DBFC14F" w14:textId="77777777" w:rsidR="00386C5D" w:rsidRDefault="00386C5D" w:rsidP="00DF05B0">
            <w:pPr>
              <w:pStyle w:val="TableText"/>
            </w:pPr>
          </w:p>
        </w:tc>
        <w:tc>
          <w:tcPr>
            <w:tcW w:w="624" w:type="dxa"/>
          </w:tcPr>
          <w:p w14:paraId="1067A36F" w14:textId="77777777" w:rsidR="00386C5D" w:rsidRPr="005C311E" w:rsidRDefault="00386C5D" w:rsidP="005C311E">
            <w:pPr>
              <w:pStyle w:val="TableText"/>
              <w:jc w:val="both"/>
            </w:pPr>
            <w:r w:rsidRPr="005C311E">
              <w:rPr>
                <w:rFonts w:hint="cs"/>
                <w:rtl/>
              </w:rPr>
              <w:t>(ג)</w:t>
            </w:r>
            <w:r w:rsidRPr="005C311E">
              <w:rPr>
                <w:rtl/>
              </w:rPr>
              <w:tab/>
            </w:r>
            <w:r w:rsidRPr="005C311E">
              <w:rPr>
                <w:rtl/>
              </w:rPr>
              <w:tab/>
            </w:r>
          </w:p>
        </w:tc>
        <w:tc>
          <w:tcPr>
            <w:tcW w:w="6519" w:type="dxa"/>
            <w:gridSpan w:val="2"/>
          </w:tcPr>
          <w:p w14:paraId="72F5817C" w14:textId="68C6E43C" w:rsidR="00386C5D" w:rsidRPr="00896C79" w:rsidRDefault="00386C5D" w:rsidP="005C311E">
            <w:pPr>
              <w:pStyle w:val="TableBlock"/>
            </w:pPr>
            <w:r>
              <w:rPr>
                <w:rFonts w:hint="cs"/>
                <w:rtl/>
              </w:rPr>
              <w:t>(</w:t>
            </w:r>
            <w:r w:rsidRPr="00896C79">
              <w:rPr>
                <w:rtl/>
              </w:rPr>
              <w:t>1)</w:t>
            </w:r>
            <w:r>
              <w:rPr>
                <w:rtl/>
              </w:rPr>
              <w:tab/>
            </w:r>
            <w:r w:rsidRPr="00896C79">
              <w:rPr>
                <w:rtl/>
              </w:rPr>
              <w:t>כל אדם הרואה עצמו נפגע בשל התנהגותו של רב במסגרת מילוי תפקידו</w:t>
            </w:r>
            <w:r>
              <w:rPr>
                <w:rtl/>
              </w:rPr>
              <w:t xml:space="preserve"> כרב, או מי שאותו אדם הסמיך לכך</w:t>
            </w:r>
            <w:r w:rsidR="005C311E">
              <w:rPr>
                <w:rFonts w:hint="cs"/>
                <w:rtl/>
              </w:rPr>
              <w:t>, רשאי להגיש תלונה לנציב.</w:t>
            </w:r>
          </w:p>
        </w:tc>
      </w:tr>
      <w:tr w:rsidR="00386C5D" w14:paraId="5818D84F" w14:textId="77777777" w:rsidTr="005C311E">
        <w:trPr>
          <w:cantSplit/>
        </w:trPr>
        <w:tc>
          <w:tcPr>
            <w:tcW w:w="1871" w:type="dxa"/>
          </w:tcPr>
          <w:p w14:paraId="63FDFD6A" w14:textId="77777777" w:rsidR="00386C5D" w:rsidRDefault="00386C5D" w:rsidP="00DF05B0">
            <w:pPr>
              <w:pStyle w:val="TableSideHeading"/>
            </w:pPr>
          </w:p>
        </w:tc>
        <w:tc>
          <w:tcPr>
            <w:tcW w:w="624" w:type="dxa"/>
          </w:tcPr>
          <w:p w14:paraId="21EFB4DC" w14:textId="77777777" w:rsidR="00386C5D" w:rsidRDefault="00386C5D" w:rsidP="00DF05B0">
            <w:pPr>
              <w:pStyle w:val="TableText"/>
            </w:pPr>
          </w:p>
        </w:tc>
        <w:tc>
          <w:tcPr>
            <w:tcW w:w="624" w:type="dxa"/>
          </w:tcPr>
          <w:p w14:paraId="03FA1E3D" w14:textId="77777777" w:rsidR="00386C5D" w:rsidRPr="005C311E" w:rsidRDefault="00386C5D" w:rsidP="005C311E">
            <w:pPr>
              <w:pStyle w:val="TableText"/>
              <w:jc w:val="both"/>
              <w:rPr>
                <w:rtl/>
              </w:rPr>
            </w:pPr>
          </w:p>
        </w:tc>
        <w:tc>
          <w:tcPr>
            <w:tcW w:w="6519" w:type="dxa"/>
            <w:gridSpan w:val="2"/>
          </w:tcPr>
          <w:p w14:paraId="2D66B41F" w14:textId="77777777" w:rsidR="00386C5D" w:rsidRPr="00896C79" w:rsidRDefault="00386C5D" w:rsidP="005C311E">
            <w:pPr>
              <w:pStyle w:val="TableBlock"/>
              <w:rPr>
                <w:rtl/>
              </w:rPr>
            </w:pPr>
            <w:r w:rsidRPr="00896C79">
              <w:rPr>
                <w:rtl/>
              </w:rPr>
              <w:t>(2)</w:t>
            </w:r>
            <w:r w:rsidRPr="00896C79">
              <w:rPr>
                <w:rtl/>
              </w:rPr>
              <w:tab/>
              <w:t>השר או נשיא מועצת הרבנות הראשית, רשאי לבקש מהנציב לברר עניין הנוגע להתנהגותו של רב במסגרת מילוי תפקידו כרב.</w:t>
            </w:r>
          </w:p>
        </w:tc>
      </w:tr>
      <w:tr w:rsidR="00386C5D" w14:paraId="35CC07CA" w14:textId="77777777" w:rsidTr="005C311E">
        <w:trPr>
          <w:cantSplit/>
        </w:trPr>
        <w:tc>
          <w:tcPr>
            <w:tcW w:w="1871" w:type="dxa"/>
          </w:tcPr>
          <w:p w14:paraId="4C2F40BD" w14:textId="77777777" w:rsidR="00386C5D" w:rsidRDefault="00386C5D" w:rsidP="00DF05B0">
            <w:pPr>
              <w:pStyle w:val="TableSideHeading"/>
            </w:pPr>
          </w:p>
        </w:tc>
        <w:tc>
          <w:tcPr>
            <w:tcW w:w="624" w:type="dxa"/>
          </w:tcPr>
          <w:p w14:paraId="4BD37E08" w14:textId="77777777" w:rsidR="00386C5D" w:rsidRDefault="00386C5D" w:rsidP="00DF05B0">
            <w:pPr>
              <w:pStyle w:val="TableText"/>
              <w:jc w:val="both"/>
            </w:pPr>
          </w:p>
        </w:tc>
        <w:tc>
          <w:tcPr>
            <w:tcW w:w="7143" w:type="dxa"/>
            <w:gridSpan w:val="3"/>
          </w:tcPr>
          <w:p w14:paraId="0B96DDEA" w14:textId="77777777" w:rsidR="00386C5D" w:rsidRPr="00896C79" w:rsidRDefault="00386C5D" w:rsidP="005C311E">
            <w:pPr>
              <w:pStyle w:val="TableBlock"/>
              <w:rPr>
                <w:rtl/>
              </w:rPr>
            </w:pPr>
            <w:r w:rsidRPr="00896C79">
              <w:rPr>
                <w:rtl/>
              </w:rPr>
              <w:t>(ד)</w:t>
            </w:r>
            <w:r w:rsidRPr="00896C79">
              <w:rPr>
                <w:rtl/>
              </w:rPr>
              <w:tab/>
              <w:t>מצא הנציב שהתלונה הייתה מוצדקת יו</w:t>
            </w:r>
            <w:r>
              <w:rPr>
                <w:rtl/>
              </w:rPr>
              <w:t xml:space="preserve">דיע על כך למתלונן, לרב הנילון, </w:t>
            </w:r>
            <w:r w:rsidRPr="00896C79">
              <w:rPr>
                <w:rtl/>
              </w:rPr>
              <w:t>לשר ולנשיא מועצת הרבנות הראשית, לפי העניין, בצירוף החלטתו; בהודעה כאמור רשאי הנציב לפרט את תמצית ממצאיו, כולם או חלקם, ואם העלה הבירור כי קיים ליקוי, רשאי הוא להצביע על הצורך בתיקונו ועל הדרך הראויה לכך.</w:t>
            </w:r>
          </w:p>
        </w:tc>
      </w:tr>
      <w:tr w:rsidR="00386C5D" w14:paraId="3B1B24D6" w14:textId="77777777" w:rsidTr="005C311E">
        <w:trPr>
          <w:cantSplit/>
        </w:trPr>
        <w:tc>
          <w:tcPr>
            <w:tcW w:w="1871" w:type="dxa"/>
          </w:tcPr>
          <w:p w14:paraId="6F53A98B" w14:textId="77777777" w:rsidR="00386C5D" w:rsidRDefault="00386C5D" w:rsidP="00DF05B0">
            <w:pPr>
              <w:pStyle w:val="TableSideHeading"/>
            </w:pPr>
          </w:p>
        </w:tc>
        <w:tc>
          <w:tcPr>
            <w:tcW w:w="624" w:type="dxa"/>
          </w:tcPr>
          <w:p w14:paraId="779C3F8A" w14:textId="77777777" w:rsidR="00386C5D" w:rsidRDefault="00386C5D" w:rsidP="00DF05B0">
            <w:pPr>
              <w:pStyle w:val="TableText"/>
              <w:jc w:val="both"/>
            </w:pPr>
          </w:p>
        </w:tc>
        <w:tc>
          <w:tcPr>
            <w:tcW w:w="7143" w:type="dxa"/>
            <w:gridSpan w:val="3"/>
          </w:tcPr>
          <w:p w14:paraId="403E8FB0" w14:textId="77777777" w:rsidR="00386C5D" w:rsidRPr="00896C79" w:rsidRDefault="00386C5D" w:rsidP="005C311E">
            <w:pPr>
              <w:pStyle w:val="TableBlock"/>
              <w:rPr>
                <w:rtl/>
              </w:rPr>
            </w:pPr>
            <w:r>
              <w:rPr>
                <w:rtl/>
              </w:rPr>
              <w:t>(ה)</w:t>
            </w:r>
            <w:r>
              <w:rPr>
                <w:rtl/>
              </w:rPr>
              <w:tab/>
            </w:r>
            <w:r w:rsidRPr="00896C79">
              <w:rPr>
                <w:rtl/>
              </w:rPr>
              <w:t>התקבלה הודעה על צורך בתיקון ליקוי כאמור בסעיף קטן (ד) יודיע הרב הנילון לנציב על הצעדים שננקטו לתיקון הליקוי; לא התקבלה הודעה בתוך זמן סביר או שההודעה איננה מניחה את דעתו של הנציב, רשאי הוא להביא את העניין לפני השר ונשיא מועצת הרבנות הראשית.</w:t>
            </w:r>
          </w:p>
        </w:tc>
      </w:tr>
      <w:tr w:rsidR="00386C5D" w14:paraId="364EC133" w14:textId="77777777" w:rsidTr="005C311E">
        <w:trPr>
          <w:cantSplit/>
        </w:trPr>
        <w:tc>
          <w:tcPr>
            <w:tcW w:w="1871" w:type="dxa"/>
          </w:tcPr>
          <w:p w14:paraId="1B60EDAD" w14:textId="77777777" w:rsidR="00386C5D" w:rsidRDefault="00386C5D" w:rsidP="00DF05B0">
            <w:pPr>
              <w:pStyle w:val="TableSideHeading"/>
            </w:pPr>
          </w:p>
        </w:tc>
        <w:tc>
          <w:tcPr>
            <w:tcW w:w="624" w:type="dxa"/>
          </w:tcPr>
          <w:p w14:paraId="708AC7B5" w14:textId="77777777" w:rsidR="00386C5D" w:rsidRDefault="00386C5D" w:rsidP="00DF05B0">
            <w:pPr>
              <w:pStyle w:val="TableText"/>
              <w:jc w:val="both"/>
            </w:pPr>
          </w:p>
        </w:tc>
        <w:tc>
          <w:tcPr>
            <w:tcW w:w="7143" w:type="dxa"/>
            <w:gridSpan w:val="3"/>
          </w:tcPr>
          <w:p w14:paraId="171C5DFF" w14:textId="77777777" w:rsidR="00386C5D" w:rsidRPr="00896C79" w:rsidRDefault="00386C5D" w:rsidP="005C311E">
            <w:pPr>
              <w:pStyle w:val="TableBlock"/>
              <w:rPr>
                <w:rtl/>
              </w:rPr>
            </w:pPr>
            <w:r w:rsidRPr="00896C79">
              <w:rPr>
                <w:rtl/>
              </w:rPr>
              <w:t>(ו)</w:t>
            </w:r>
            <w:r w:rsidRPr="00896C79">
              <w:rPr>
                <w:rtl/>
              </w:rPr>
              <w:tab/>
              <w:t>מצא הנציב שהתלונה לא הייתה מוצדקת, יודיע על כך בכתב למתלונן, לשר ולנשיא מועצת הרבנות, ורשאי הנציב לפרט להם את תמצית ממצאיו.</w:t>
            </w:r>
          </w:p>
        </w:tc>
      </w:tr>
      <w:tr w:rsidR="00386C5D" w14:paraId="28E35DBF" w14:textId="77777777" w:rsidTr="005C311E">
        <w:trPr>
          <w:cantSplit/>
        </w:trPr>
        <w:tc>
          <w:tcPr>
            <w:tcW w:w="1871" w:type="dxa"/>
          </w:tcPr>
          <w:p w14:paraId="065698E6" w14:textId="77777777" w:rsidR="00386C5D" w:rsidRDefault="00386C5D" w:rsidP="00DF05B0">
            <w:pPr>
              <w:pStyle w:val="TableSideHeading"/>
            </w:pPr>
          </w:p>
        </w:tc>
        <w:tc>
          <w:tcPr>
            <w:tcW w:w="624" w:type="dxa"/>
          </w:tcPr>
          <w:p w14:paraId="43345B17" w14:textId="77777777" w:rsidR="00386C5D" w:rsidRDefault="00386C5D" w:rsidP="00DF05B0">
            <w:pPr>
              <w:pStyle w:val="TableText"/>
              <w:jc w:val="both"/>
            </w:pPr>
          </w:p>
        </w:tc>
        <w:tc>
          <w:tcPr>
            <w:tcW w:w="7143" w:type="dxa"/>
            <w:gridSpan w:val="3"/>
          </w:tcPr>
          <w:p w14:paraId="4A974949" w14:textId="77777777" w:rsidR="00386C5D" w:rsidRPr="00896C79" w:rsidRDefault="00386C5D" w:rsidP="005C311E">
            <w:pPr>
              <w:pStyle w:val="TableBlock"/>
              <w:rPr>
                <w:rtl/>
              </w:rPr>
            </w:pPr>
            <w:r w:rsidRPr="00896C79">
              <w:rPr>
                <w:rtl/>
              </w:rPr>
              <w:t>(ז)</w:t>
            </w:r>
            <w:r w:rsidRPr="00896C79">
              <w:rPr>
                <w:rtl/>
              </w:rPr>
              <w:tab/>
              <w:t xml:space="preserve">העלה </w:t>
            </w:r>
            <w:r>
              <w:rPr>
                <w:rFonts w:hint="cs"/>
                <w:rtl/>
              </w:rPr>
              <w:t xml:space="preserve">בירור </w:t>
            </w:r>
            <w:r w:rsidRPr="00896C79">
              <w:rPr>
                <w:rtl/>
              </w:rPr>
              <w:t xml:space="preserve">התלונה חשש למעשה פלילי, יביא הנציב את העניין לידיעת היועץ המשפטי לממשלה, וכן לידיעת השר ונשיא מועצת הרבנות הראשית; העלה </w:t>
            </w:r>
            <w:r>
              <w:rPr>
                <w:rFonts w:hint="cs"/>
                <w:rtl/>
              </w:rPr>
              <w:t xml:space="preserve">בירור </w:t>
            </w:r>
            <w:r w:rsidRPr="00896C79">
              <w:rPr>
                <w:rtl/>
              </w:rPr>
              <w:t>התלונה חשש לעבירה משמעתית יביא הנציב את העניין לידיעת השר ונשיא מועצת הרבנות הראשית ורשאי הוא להמליץ לשר או לרבנים הראשיים על הגשת קובלנה לבית הדין המשמעתי לרבנים.</w:t>
            </w:r>
          </w:p>
        </w:tc>
      </w:tr>
      <w:tr w:rsidR="00386C5D" w14:paraId="28F7A3A8" w14:textId="77777777" w:rsidTr="005C311E">
        <w:trPr>
          <w:cantSplit/>
        </w:trPr>
        <w:tc>
          <w:tcPr>
            <w:tcW w:w="1871" w:type="dxa"/>
          </w:tcPr>
          <w:p w14:paraId="35903544" w14:textId="77777777" w:rsidR="00386C5D" w:rsidRDefault="00386C5D" w:rsidP="00DF05B0">
            <w:pPr>
              <w:pStyle w:val="TableSideHeading"/>
            </w:pPr>
          </w:p>
        </w:tc>
        <w:tc>
          <w:tcPr>
            <w:tcW w:w="624" w:type="dxa"/>
          </w:tcPr>
          <w:p w14:paraId="7858331D" w14:textId="77777777" w:rsidR="00386C5D" w:rsidRDefault="00386C5D" w:rsidP="00DF05B0">
            <w:pPr>
              <w:pStyle w:val="TableText"/>
              <w:jc w:val="both"/>
            </w:pPr>
          </w:p>
        </w:tc>
        <w:tc>
          <w:tcPr>
            <w:tcW w:w="7143" w:type="dxa"/>
            <w:gridSpan w:val="3"/>
          </w:tcPr>
          <w:p w14:paraId="6AADCF53" w14:textId="77777777" w:rsidR="00386C5D" w:rsidRPr="00896C79" w:rsidRDefault="00386C5D" w:rsidP="005C311E">
            <w:pPr>
              <w:pStyle w:val="TableBlock"/>
              <w:rPr>
                <w:rtl/>
              </w:rPr>
            </w:pPr>
            <w:r w:rsidRPr="00896C79">
              <w:rPr>
                <w:rtl/>
              </w:rPr>
              <w:t>(ח)</w:t>
            </w:r>
            <w:r w:rsidRPr="00896C79">
              <w:rPr>
                <w:rtl/>
              </w:rPr>
              <w:tab/>
              <w:t xml:space="preserve">הנציב לא יברר תלונה על מעשה </w:t>
            </w:r>
            <w:r>
              <w:rPr>
                <w:rFonts w:hint="cs"/>
                <w:rtl/>
              </w:rPr>
              <w:t>שמתנהל</w:t>
            </w:r>
            <w:r w:rsidRPr="00896C79">
              <w:rPr>
                <w:rtl/>
              </w:rPr>
              <w:t xml:space="preserve"> בשלו חקירת משטרה או הליך פלילי או משמעתי כנגד רב, ואם החל בבירור התלונה רשאי הוא להפסיק את בירורה.</w:t>
            </w:r>
          </w:p>
        </w:tc>
      </w:tr>
      <w:tr w:rsidR="00386C5D" w14:paraId="709DA677" w14:textId="77777777" w:rsidTr="005C311E">
        <w:trPr>
          <w:cantSplit/>
        </w:trPr>
        <w:tc>
          <w:tcPr>
            <w:tcW w:w="1871" w:type="dxa"/>
          </w:tcPr>
          <w:p w14:paraId="3F4E2B37" w14:textId="77777777" w:rsidR="00386C5D" w:rsidRDefault="00386C5D" w:rsidP="00DF05B0">
            <w:pPr>
              <w:pStyle w:val="TableSideHeading"/>
            </w:pPr>
          </w:p>
        </w:tc>
        <w:tc>
          <w:tcPr>
            <w:tcW w:w="624" w:type="dxa"/>
          </w:tcPr>
          <w:p w14:paraId="34DCA5E3" w14:textId="77777777" w:rsidR="00386C5D" w:rsidRDefault="00386C5D" w:rsidP="00DF05B0">
            <w:pPr>
              <w:pStyle w:val="TableText"/>
              <w:jc w:val="both"/>
            </w:pPr>
          </w:p>
        </w:tc>
        <w:tc>
          <w:tcPr>
            <w:tcW w:w="7143" w:type="dxa"/>
            <w:gridSpan w:val="3"/>
          </w:tcPr>
          <w:p w14:paraId="0FD4C531" w14:textId="77777777" w:rsidR="00386C5D" w:rsidRPr="00896C79" w:rsidRDefault="00386C5D" w:rsidP="005C311E">
            <w:pPr>
              <w:pStyle w:val="TableBlock"/>
              <w:rPr>
                <w:rtl/>
              </w:rPr>
            </w:pPr>
            <w:r w:rsidRPr="00896C79">
              <w:rPr>
                <w:rtl/>
              </w:rPr>
              <w:t>(ט)</w:t>
            </w:r>
            <w:r w:rsidRPr="00896C79">
              <w:rPr>
                <w:rtl/>
              </w:rPr>
              <w:tab/>
              <w:t>הנציב רשאי שלא לברר תלונה שהיא קנטרנית או טורדנית על פניה או עוסקת בזוטי דברים.</w:t>
            </w:r>
          </w:p>
        </w:tc>
      </w:tr>
      <w:tr w:rsidR="00386C5D" w14:paraId="087E5C50" w14:textId="77777777" w:rsidTr="005C311E">
        <w:trPr>
          <w:cantSplit/>
        </w:trPr>
        <w:tc>
          <w:tcPr>
            <w:tcW w:w="1871" w:type="dxa"/>
          </w:tcPr>
          <w:p w14:paraId="6B080FE0" w14:textId="77777777" w:rsidR="00386C5D" w:rsidRDefault="00386C5D" w:rsidP="00DF05B0">
            <w:pPr>
              <w:pStyle w:val="TableSideHeading"/>
            </w:pPr>
          </w:p>
        </w:tc>
        <w:tc>
          <w:tcPr>
            <w:tcW w:w="624" w:type="dxa"/>
          </w:tcPr>
          <w:p w14:paraId="2F55ECE7" w14:textId="77777777" w:rsidR="00386C5D" w:rsidRDefault="00386C5D" w:rsidP="00DF05B0">
            <w:pPr>
              <w:pStyle w:val="TableText"/>
              <w:jc w:val="both"/>
            </w:pPr>
          </w:p>
        </w:tc>
        <w:tc>
          <w:tcPr>
            <w:tcW w:w="624" w:type="dxa"/>
          </w:tcPr>
          <w:p w14:paraId="0E6E1C62" w14:textId="77777777" w:rsidR="00386C5D" w:rsidRPr="005C311E" w:rsidRDefault="00386C5D" w:rsidP="005C311E">
            <w:pPr>
              <w:pStyle w:val="TableText"/>
              <w:jc w:val="both"/>
              <w:rPr>
                <w:rtl/>
              </w:rPr>
            </w:pPr>
            <w:r w:rsidRPr="005C311E">
              <w:rPr>
                <w:rFonts w:hint="cs"/>
                <w:rtl/>
              </w:rPr>
              <w:t>(י)</w:t>
            </w:r>
          </w:p>
        </w:tc>
        <w:tc>
          <w:tcPr>
            <w:tcW w:w="6519" w:type="dxa"/>
            <w:gridSpan w:val="2"/>
          </w:tcPr>
          <w:p w14:paraId="31439380" w14:textId="670277CE" w:rsidR="00386C5D" w:rsidRPr="00896C79" w:rsidRDefault="00386C5D" w:rsidP="005C311E">
            <w:pPr>
              <w:pStyle w:val="TableBlock"/>
              <w:rPr>
                <w:rtl/>
              </w:rPr>
            </w:pPr>
            <w:r w:rsidRPr="00896C79">
              <w:rPr>
                <w:rtl/>
              </w:rPr>
              <w:t>(1)</w:t>
            </w:r>
            <w:r w:rsidRPr="00896C79">
              <w:rPr>
                <w:rtl/>
              </w:rPr>
              <w:tab/>
              <w:t>הנציב רשאי, אם מצא לנכון לעשות כן בעקבות ממצאיו, להמליץ למועצת הרבנות הראשית, לסיים את כהונתו של רב, וזו תדון בהמלצה לאחר שאפשרה לרב להשמיע את עמדתו בתוך 60 ימים; החליטה מועצת הרבנות הראשית שלא לקבל</w:t>
            </w:r>
            <w:r>
              <w:rPr>
                <w:rtl/>
              </w:rPr>
              <w:t xml:space="preserve"> את המלצת הנציב, תנמק את החלטתה</w:t>
            </w:r>
            <w:r w:rsidR="005C311E">
              <w:rPr>
                <w:rFonts w:hint="cs"/>
                <w:rtl/>
              </w:rPr>
              <w:t>.</w:t>
            </w:r>
          </w:p>
        </w:tc>
      </w:tr>
      <w:tr w:rsidR="00386C5D" w14:paraId="711EF433" w14:textId="77777777" w:rsidTr="005C311E">
        <w:trPr>
          <w:cantSplit/>
        </w:trPr>
        <w:tc>
          <w:tcPr>
            <w:tcW w:w="1871" w:type="dxa"/>
          </w:tcPr>
          <w:p w14:paraId="72A80F20" w14:textId="77777777" w:rsidR="00386C5D" w:rsidRDefault="00386C5D" w:rsidP="00DF05B0">
            <w:pPr>
              <w:pStyle w:val="TableSideHeading"/>
            </w:pPr>
          </w:p>
        </w:tc>
        <w:tc>
          <w:tcPr>
            <w:tcW w:w="624" w:type="dxa"/>
          </w:tcPr>
          <w:p w14:paraId="345922F4" w14:textId="77777777" w:rsidR="00386C5D" w:rsidRDefault="00386C5D" w:rsidP="00DF05B0">
            <w:pPr>
              <w:pStyle w:val="TableText"/>
              <w:jc w:val="both"/>
            </w:pPr>
          </w:p>
        </w:tc>
        <w:tc>
          <w:tcPr>
            <w:tcW w:w="624" w:type="dxa"/>
          </w:tcPr>
          <w:p w14:paraId="5A9ECCDF" w14:textId="77777777" w:rsidR="00386C5D" w:rsidRPr="005C311E" w:rsidRDefault="00386C5D" w:rsidP="005C311E">
            <w:pPr>
              <w:pStyle w:val="TableText"/>
              <w:jc w:val="both"/>
              <w:rPr>
                <w:rtl/>
              </w:rPr>
            </w:pPr>
          </w:p>
        </w:tc>
        <w:tc>
          <w:tcPr>
            <w:tcW w:w="6519" w:type="dxa"/>
            <w:gridSpan w:val="2"/>
          </w:tcPr>
          <w:p w14:paraId="192665E0" w14:textId="53E48E1D" w:rsidR="00386C5D" w:rsidRPr="00F87E28" w:rsidRDefault="00386C5D" w:rsidP="005C311E">
            <w:pPr>
              <w:pStyle w:val="TableBlock"/>
              <w:rPr>
                <w:rtl/>
              </w:rPr>
            </w:pPr>
            <w:r w:rsidRPr="00896C79">
              <w:rPr>
                <w:rtl/>
              </w:rPr>
              <w:t>(2)</w:t>
            </w:r>
            <w:r w:rsidRPr="00896C79">
              <w:rPr>
                <w:rtl/>
              </w:rPr>
              <w:tab/>
              <w:t xml:space="preserve">החלטה </w:t>
            </w:r>
            <w:r>
              <w:rPr>
                <w:rFonts w:hint="cs"/>
                <w:rtl/>
              </w:rPr>
              <w:t xml:space="preserve">על סיום כהונתו של רב </w:t>
            </w:r>
            <w:r w:rsidRPr="00896C79">
              <w:rPr>
                <w:rtl/>
              </w:rPr>
              <w:t>כאמור בפסקה (1), תתקבל על ידי מועצת הרבנות ה</w:t>
            </w:r>
            <w:r w:rsidR="005C311E">
              <w:rPr>
                <w:rtl/>
              </w:rPr>
              <w:t>ראשית ברוב של שני שלישים מחבריה</w:t>
            </w:r>
            <w:r w:rsidR="005C311E">
              <w:rPr>
                <w:rFonts w:hint="cs"/>
                <w:rtl/>
              </w:rPr>
              <w:t>.</w:t>
            </w:r>
          </w:p>
        </w:tc>
      </w:tr>
      <w:tr w:rsidR="00386C5D" w14:paraId="0EF3E7E3" w14:textId="77777777" w:rsidTr="005C311E">
        <w:trPr>
          <w:cantSplit/>
        </w:trPr>
        <w:tc>
          <w:tcPr>
            <w:tcW w:w="1871" w:type="dxa"/>
          </w:tcPr>
          <w:p w14:paraId="4B8B40B6" w14:textId="77777777" w:rsidR="00386C5D" w:rsidRDefault="00386C5D" w:rsidP="00DF05B0">
            <w:pPr>
              <w:pStyle w:val="TableSideHeading"/>
            </w:pPr>
          </w:p>
        </w:tc>
        <w:tc>
          <w:tcPr>
            <w:tcW w:w="624" w:type="dxa"/>
          </w:tcPr>
          <w:p w14:paraId="383E6D72" w14:textId="77777777" w:rsidR="00386C5D" w:rsidRDefault="00386C5D" w:rsidP="00DF05B0">
            <w:pPr>
              <w:pStyle w:val="TableText"/>
              <w:jc w:val="both"/>
            </w:pPr>
          </w:p>
        </w:tc>
        <w:tc>
          <w:tcPr>
            <w:tcW w:w="624" w:type="dxa"/>
          </w:tcPr>
          <w:p w14:paraId="4DF97466" w14:textId="77777777" w:rsidR="00386C5D" w:rsidRPr="005C311E" w:rsidRDefault="00386C5D" w:rsidP="005C311E">
            <w:pPr>
              <w:pStyle w:val="TableText"/>
              <w:jc w:val="both"/>
              <w:rPr>
                <w:rtl/>
              </w:rPr>
            </w:pPr>
          </w:p>
        </w:tc>
        <w:tc>
          <w:tcPr>
            <w:tcW w:w="6519" w:type="dxa"/>
            <w:gridSpan w:val="2"/>
          </w:tcPr>
          <w:p w14:paraId="75F3398E" w14:textId="77777777" w:rsidR="00386C5D" w:rsidRPr="00916ADF" w:rsidRDefault="00386C5D" w:rsidP="005C311E">
            <w:pPr>
              <w:pStyle w:val="TableBlock"/>
              <w:rPr>
                <w:rtl/>
              </w:rPr>
            </w:pPr>
            <w:r w:rsidRPr="00896C79">
              <w:rPr>
                <w:rtl/>
              </w:rPr>
              <w:t>(3)</w:t>
            </w:r>
            <w:r w:rsidRPr="00896C79">
              <w:rPr>
                <w:rtl/>
              </w:rPr>
              <w:tab/>
              <w:t xml:space="preserve">חבר מועצת הרבנות הראשית לא ישתתף בהליך כאמור בסעיף קטן זה, </w:t>
            </w:r>
            <w:r>
              <w:rPr>
                <w:rFonts w:hint="cs"/>
                <w:rtl/>
              </w:rPr>
              <w:t>לגבי</w:t>
            </w:r>
            <w:r w:rsidRPr="00896C79">
              <w:rPr>
                <w:rtl/>
              </w:rPr>
              <w:t xml:space="preserve"> רב שהוא קרוב משפחתו.</w:t>
            </w:r>
          </w:p>
        </w:tc>
      </w:tr>
      <w:tr w:rsidR="00386C5D" w14:paraId="35303DAA" w14:textId="77777777" w:rsidTr="005C311E">
        <w:trPr>
          <w:cantSplit/>
        </w:trPr>
        <w:tc>
          <w:tcPr>
            <w:tcW w:w="1871" w:type="dxa"/>
          </w:tcPr>
          <w:p w14:paraId="3E13A723" w14:textId="77777777" w:rsidR="00386C5D" w:rsidRDefault="00386C5D" w:rsidP="00DF05B0">
            <w:pPr>
              <w:pStyle w:val="TableSideHeading"/>
            </w:pPr>
          </w:p>
        </w:tc>
        <w:tc>
          <w:tcPr>
            <w:tcW w:w="624" w:type="dxa"/>
          </w:tcPr>
          <w:p w14:paraId="12FFC1FC" w14:textId="77777777" w:rsidR="00386C5D" w:rsidRDefault="00386C5D" w:rsidP="00DF05B0">
            <w:pPr>
              <w:pStyle w:val="TableText"/>
              <w:jc w:val="both"/>
            </w:pPr>
          </w:p>
        </w:tc>
        <w:tc>
          <w:tcPr>
            <w:tcW w:w="7143" w:type="dxa"/>
            <w:gridSpan w:val="3"/>
          </w:tcPr>
          <w:p w14:paraId="78C192F8" w14:textId="77777777" w:rsidR="00386C5D" w:rsidRPr="00896C79" w:rsidRDefault="00386C5D" w:rsidP="005C311E">
            <w:pPr>
              <w:pStyle w:val="TableBlock"/>
              <w:rPr>
                <w:rtl/>
              </w:rPr>
            </w:pPr>
            <w:r w:rsidRPr="00896C79">
              <w:rPr>
                <w:rtl/>
              </w:rPr>
              <w:t>(יא)</w:t>
            </w:r>
            <w:r w:rsidRPr="00896C79">
              <w:rPr>
                <w:rtl/>
              </w:rPr>
              <w:tab/>
              <w:t>מועצת הרבנות הראשית רשאית, ברוב של שני שלישים מחבריה, מיוזמתה או לפי הצעת הרבנים הראשיים לישראל או השר, להעביר את הנציב מכהונתו בהתאם להוראות סעיף 8 לחוק נציב תלונו</w:t>
            </w:r>
            <w:r>
              <w:rPr>
                <w:rtl/>
              </w:rPr>
              <w:t>ת הציבור על שופטים, התשס"ב–</w:t>
            </w:r>
            <w:r>
              <w:rPr>
                <w:rFonts w:hint="cs"/>
                <w:rtl/>
              </w:rPr>
              <w:t>2002</w:t>
            </w:r>
            <w:r w:rsidRPr="005C311E">
              <w:rPr>
                <w:rStyle w:val="a5"/>
                <w:rFonts w:ascii="David" w:hAnsi="David"/>
                <w:sz w:val="26"/>
                <w:rtl/>
              </w:rPr>
              <w:footnoteReference w:id="2"/>
            </w:r>
            <w:r w:rsidRPr="00896C79">
              <w:rPr>
                <w:rtl/>
              </w:rPr>
              <w:t xml:space="preserve"> (</w:t>
            </w:r>
            <w:r>
              <w:rPr>
                <w:rFonts w:hint="cs"/>
                <w:rtl/>
              </w:rPr>
              <w:t xml:space="preserve">להלן </w:t>
            </w:r>
            <w:r>
              <w:rPr>
                <w:rtl/>
              </w:rPr>
              <w:t>–</w:t>
            </w:r>
            <w:r>
              <w:rPr>
                <w:rFonts w:hint="cs"/>
                <w:rtl/>
              </w:rPr>
              <w:t xml:space="preserve"> חוק נציב תלונות הציבור על שופטים</w:t>
            </w:r>
            <w:r w:rsidRPr="00896C79">
              <w:rPr>
                <w:rtl/>
              </w:rPr>
              <w:t>), בשינויים המחויבים.</w:t>
            </w:r>
          </w:p>
        </w:tc>
      </w:tr>
      <w:tr w:rsidR="00386C5D" w14:paraId="7DC2BDDE" w14:textId="77777777" w:rsidTr="005C311E">
        <w:trPr>
          <w:cantSplit/>
        </w:trPr>
        <w:tc>
          <w:tcPr>
            <w:tcW w:w="1871" w:type="dxa"/>
          </w:tcPr>
          <w:p w14:paraId="16BA691E" w14:textId="77777777" w:rsidR="00386C5D" w:rsidRDefault="00386C5D" w:rsidP="00DF05B0">
            <w:pPr>
              <w:pStyle w:val="TableSideHeading"/>
            </w:pPr>
          </w:p>
        </w:tc>
        <w:tc>
          <w:tcPr>
            <w:tcW w:w="624" w:type="dxa"/>
          </w:tcPr>
          <w:p w14:paraId="085F6CE2" w14:textId="77777777" w:rsidR="00386C5D" w:rsidRDefault="00386C5D" w:rsidP="00DF05B0">
            <w:pPr>
              <w:pStyle w:val="TableText"/>
              <w:jc w:val="both"/>
            </w:pPr>
          </w:p>
        </w:tc>
        <w:tc>
          <w:tcPr>
            <w:tcW w:w="7143" w:type="dxa"/>
            <w:gridSpan w:val="3"/>
          </w:tcPr>
          <w:p w14:paraId="4FE0CA6E" w14:textId="77777777" w:rsidR="00386C5D" w:rsidRPr="00896C79" w:rsidRDefault="00386C5D" w:rsidP="005C311E">
            <w:pPr>
              <w:pStyle w:val="TableBlock"/>
              <w:rPr>
                <w:rtl/>
              </w:rPr>
            </w:pPr>
            <w:r w:rsidRPr="00896C79">
              <w:rPr>
                <w:rtl/>
              </w:rPr>
              <w:t>(יב)</w:t>
            </w:r>
            <w:r w:rsidRPr="00896C79">
              <w:rPr>
                <w:rtl/>
              </w:rPr>
              <w:tab/>
              <w:t>הנציב רשאי להמליץ על הפסקת כהונתו של רב יישוב בשל אי התאמה למאפייני היישוב או בשל תפקוד לקוי של רב היישוב, והכל בהתאם לכללים שיקבע השר לעניין זה ועל פי המנגנון שייקבע בהם.</w:t>
            </w:r>
          </w:p>
        </w:tc>
      </w:tr>
      <w:tr w:rsidR="00386C5D" w14:paraId="438A66D7" w14:textId="77777777" w:rsidTr="005C311E">
        <w:trPr>
          <w:cantSplit/>
        </w:trPr>
        <w:tc>
          <w:tcPr>
            <w:tcW w:w="1871" w:type="dxa"/>
          </w:tcPr>
          <w:p w14:paraId="32FADAAC" w14:textId="77777777" w:rsidR="00386C5D" w:rsidRDefault="00386C5D" w:rsidP="00DF05B0">
            <w:pPr>
              <w:pStyle w:val="TableSideHeading"/>
            </w:pPr>
          </w:p>
        </w:tc>
        <w:tc>
          <w:tcPr>
            <w:tcW w:w="624" w:type="dxa"/>
          </w:tcPr>
          <w:p w14:paraId="5CA3B70C" w14:textId="77777777" w:rsidR="00386C5D" w:rsidRDefault="00386C5D" w:rsidP="00DF05B0">
            <w:pPr>
              <w:pStyle w:val="TableText"/>
              <w:jc w:val="both"/>
            </w:pPr>
          </w:p>
        </w:tc>
        <w:tc>
          <w:tcPr>
            <w:tcW w:w="7143" w:type="dxa"/>
            <w:gridSpan w:val="3"/>
          </w:tcPr>
          <w:p w14:paraId="0FB23AE7" w14:textId="77777777" w:rsidR="00386C5D" w:rsidRPr="00896C79" w:rsidRDefault="00386C5D" w:rsidP="005C311E">
            <w:pPr>
              <w:pStyle w:val="TableBlock"/>
              <w:rPr>
                <w:rtl/>
              </w:rPr>
            </w:pPr>
            <w:r w:rsidRPr="00896C79">
              <w:rPr>
                <w:rtl/>
              </w:rPr>
              <w:t>(יג)</w:t>
            </w:r>
            <w:r w:rsidRPr="00896C79">
              <w:rPr>
                <w:rtl/>
              </w:rPr>
              <w:tab/>
              <w:t>בעניינים שלא נקבעו בסעיף זה, יחולו על הנציב, על עבודתו, על סמכויותיו, על משך</w:t>
            </w:r>
            <w:r>
              <w:rPr>
                <w:rtl/>
              </w:rPr>
              <w:t xml:space="preserve"> כהונתו ועל תנאי כהונתו הוראות </w:t>
            </w:r>
            <w:r w:rsidRPr="00896C79">
              <w:rPr>
                <w:rtl/>
              </w:rPr>
              <w:t>חו</w:t>
            </w:r>
            <w:r>
              <w:rPr>
                <w:rtl/>
              </w:rPr>
              <w:t>ק נציב תלונות הציבור על שופטים</w:t>
            </w:r>
            <w:r w:rsidRPr="00896C79">
              <w:rPr>
                <w:rtl/>
              </w:rPr>
              <w:t>, בשינויים המחויבים ובשינויים אלה:</w:t>
            </w:r>
          </w:p>
        </w:tc>
      </w:tr>
      <w:tr w:rsidR="00386C5D" w14:paraId="3B83EAF2" w14:textId="77777777" w:rsidTr="005C311E">
        <w:trPr>
          <w:cantSplit/>
        </w:trPr>
        <w:tc>
          <w:tcPr>
            <w:tcW w:w="1871" w:type="dxa"/>
          </w:tcPr>
          <w:p w14:paraId="2F98256A" w14:textId="77777777" w:rsidR="00386C5D" w:rsidRDefault="00386C5D" w:rsidP="00DF05B0">
            <w:pPr>
              <w:pStyle w:val="TableSideHeading"/>
            </w:pPr>
          </w:p>
        </w:tc>
        <w:tc>
          <w:tcPr>
            <w:tcW w:w="624" w:type="dxa"/>
          </w:tcPr>
          <w:p w14:paraId="7AE02F24" w14:textId="77777777" w:rsidR="00386C5D" w:rsidRDefault="00386C5D" w:rsidP="00DF05B0">
            <w:pPr>
              <w:pStyle w:val="TableText"/>
              <w:jc w:val="both"/>
            </w:pPr>
          </w:p>
        </w:tc>
        <w:tc>
          <w:tcPr>
            <w:tcW w:w="624" w:type="dxa"/>
          </w:tcPr>
          <w:p w14:paraId="057D7DE7" w14:textId="77777777" w:rsidR="00386C5D" w:rsidRPr="005C311E" w:rsidRDefault="00386C5D" w:rsidP="005C311E">
            <w:pPr>
              <w:pStyle w:val="TableText"/>
              <w:jc w:val="both"/>
              <w:rPr>
                <w:rtl/>
              </w:rPr>
            </w:pPr>
          </w:p>
        </w:tc>
        <w:tc>
          <w:tcPr>
            <w:tcW w:w="6519" w:type="dxa"/>
            <w:gridSpan w:val="2"/>
          </w:tcPr>
          <w:p w14:paraId="3A53CA47" w14:textId="0D5A422B" w:rsidR="00386C5D" w:rsidRPr="00896C79" w:rsidRDefault="00386C5D" w:rsidP="005C311E">
            <w:pPr>
              <w:pStyle w:val="TableBlock"/>
              <w:rPr>
                <w:rtl/>
              </w:rPr>
            </w:pPr>
            <w:r w:rsidRPr="00896C79">
              <w:rPr>
                <w:rtl/>
              </w:rPr>
              <w:t>(1)</w:t>
            </w:r>
            <w:r w:rsidRPr="00896C79">
              <w:rPr>
                <w:rtl/>
              </w:rPr>
              <w:tab/>
              <w:t xml:space="preserve">הוראות סעיפים 1, 3 עד 9, 17(3) עד (5), 18(ב) </w:t>
            </w:r>
            <w:r>
              <w:rPr>
                <w:rFonts w:hint="cs"/>
                <w:rtl/>
              </w:rPr>
              <w:t>ו-</w:t>
            </w:r>
            <w:r w:rsidRPr="00896C79">
              <w:rPr>
                <w:rtl/>
              </w:rPr>
              <w:t>22(ו)</w:t>
            </w:r>
            <w:r>
              <w:rPr>
                <w:rtl/>
              </w:rPr>
              <w:t xml:space="preserve"> – לא יחולו לעניין הנציב</w:t>
            </w:r>
            <w:r w:rsidR="005C311E">
              <w:rPr>
                <w:rFonts w:hint="cs"/>
                <w:rtl/>
              </w:rPr>
              <w:t>;</w:t>
            </w:r>
          </w:p>
        </w:tc>
      </w:tr>
      <w:tr w:rsidR="00386C5D" w14:paraId="251D4CBA" w14:textId="77777777" w:rsidTr="005C311E">
        <w:trPr>
          <w:cantSplit/>
        </w:trPr>
        <w:tc>
          <w:tcPr>
            <w:tcW w:w="1871" w:type="dxa"/>
          </w:tcPr>
          <w:p w14:paraId="4ED927FF" w14:textId="77777777" w:rsidR="00386C5D" w:rsidRDefault="00386C5D" w:rsidP="00DF05B0">
            <w:pPr>
              <w:pStyle w:val="TableSideHeading"/>
            </w:pPr>
          </w:p>
        </w:tc>
        <w:tc>
          <w:tcPr>
            <w:tcW w:w="624" w:type="dxa"/>
          </w:tcPr>
          <w:p w14:paraId="7BE0328E" w14:textId="77777777" w:rsidR="00386C5D" w:rsidRDefault="00386C5D" w:rsidP="00DF05B0">
            <w:pPr>
              <w:pStyle w:val="TableText"/>
              <w:jc w:val="both"/>
            </w:pPr>
          </w:p>
        </w:tc>
        <w:tc>
          <w:tcPr>
            <w:tcW w:w="624" w:type="dxa"/>
          </w:tcPr>
          <w:p w14:paraId="63007861" w14:textId="77777777" w:rsidR="00386C5D" w:rsidRPr="005C311E" w:rsidRDefault="00386C5D" w:rsidP="005C311E">
            <w:pPr>
              <w:pStyle w:val="TableText"/>
              <w:jc w:val="both"/>
              <w:rPr>
                <w:rtl/>
              </w:rPr>
            </w:pPr>
          </w:p>
        </w:tc>
        <w:tc>
          <w:tcPr>
            <w:tcW w:w="6519" w:type="dxa"/>
            <w:gridSpan w:val="2"/>
          </w:tcPr>
          <w:p w14:paraId="241718C0" w14:textId="67EDE774" w:rsidR="00386C5D" w:rsidRPr="00F85D6B" w:rsidRDefault="00386C5D" w:rsidP="005C311E">
            <w:pPr>
              <w:pStyle w:val="TableBlock"/>
              <w:rPr>
                <w:rtl/>
              </w:rPr>
            </w:pPr>
            <w:r w:rsidRPr="00896C79">
              <w:rPr>
                <w:rtl/>
              </w:rPr>
              <w:t>(2)</w:t>
            </w:r>
            <w:r w:rsidRPr="00896C79">
              <w:rPr>
                <w:rtl/>
              </w:rPr>
              <w:tab/>
              <w:t>בסעיף 2 לחוק, הסיפה, ה</w:t>
            </w:r>
            <w:r>
              <w:rPr>
                <w:rtl/>
              </w:rPr>
              <w:t>חל במילים "לרבות בדרך"</w:t>
            </w:r>
            <w:r w:rsidR="005C311E">
              <w:rPr>
                <w:rFonts w:hint="cs"/>
                <w:rtl/>
              </w:rPr>
              <w:t xml:space="preserve"> </w:t>
            </w:r>
            <w:r w:rsidR="005C311E">
              <w:rPr>
                <w:rFonts w:hint="eastAsia"/>
                <w:rtl/>
              </w:rPr>
              <w:t>–</w:t>
            </w:r>
            <w:r>
              <w:rPr>
                <w:rtl/>
              </w:rPr>
              <w:t xml:space="preserve"> לא תיקרא</w:t>
            </w:r>
            <w:r w:rsidR="005C311E">
              <w:rPr>
                <w:rFonts w:hint="cs"/>
                <w:rtl/>
              </w:rPr>
              <w:t>;</w:t>
            </w:r>
          </w:p>
        </w:tc>
      </w:tr>
      <w:tr w:rsidR="00386C5D" w14:paraId="2391EA3D" w14:textId="77777777" w:rsidTr="005C311E">
        <w:trPr>
          <w:cantSplit/>
        </w:trPr>
        <w:tc>
          <w:tcPr>
            <w:tcW w:w="1871" w:type="dxa"/>
          </w:tcPr>
          <w:p w14:paraId="70154047" w14:textId="77777777" w:rsidR="00386C5D" w:rsidRDefault="00386C5D" w:rsidP="00DF05B0">
            <w:pPr>
              <w:pStyle w:val="TableSideHeading"/>
            </w:pPr>
          </w:p>
        </w:tc>
        <w:tc>
          <w:tcPr>
            <w:tcW w:w="624" w:type="dxa"/>
          </w:tcPr>
          <w:p w14:paraId="7A4FD348" w14:textId="77777777" w:rsidR="00386C5D" w:rsidRDefault="00386C5D" w:rsidP="00DF05B0">
            <w:pPr>
              <w:pStyle w:val="TableText"/>
              <w:jc w:val="both"/>
            </w:pPr>
          </w:p>
        </w:tc>
        <w:tc>
          <w:tcPr>
            <w:tcW w:w="624" w:type="dxa"/>
          </w:tcPr>
          <w:p w14:paraId="63697C25" w14:textId="77777777" w:rsidR="00386C5D" w:rsidRPr="005C311E" w:rsidRDefault="00386C5D" w:rsidP="005C311E">
            <w:pPr>
              <w:pStyle w:val="TableText"/>
              <w:jc w:val="both"/>
              <w:rPr>
                <w:rtl/>
              </w:rPr>
            </w:pPr>
          </w:p>
        </w:tc>
        <w:tc>
          <w:tcPr>
            <w:tcW w:w="6519" w:type="dxa"/>
            <w:gridSpan w:val="2"/>
          </w:tcPr>
          <w:p w14:paraId="60CC958B" w14:textId="09958DBA" w:rsidR="00386C5D" w:rsidRPr="00896C79" w:rsidRDefault="00386C5D" w:rsidP="005C311E">
            <w:pPr>
              <w:pStyle w:val="TableBlock"/>
              <w:rPr>
                <w:rtl/>
              </w:rPr>
            </w:pPr>
            <w:r w:rsidRPr="00896C79">
              <w:rPr>
                <w:rtl/>
              </w:rPr>
              <w:t>(3)</w:t>
            </w:r>
            <w:r w:rsidRPr="00896C79">
              <w:rPr>
                <w:rtl/>
              </w:rPr>
              <w:tab/>
              <w:t>בסעיף 10 לחוק, במקום "לשופט" יקראו "לרב עיר, לרב</w:t>
            </w:r>
            <w:r>
              <w:rPr>
                <w:rtl/>
              </w:rPr>
              <w:t xml:space="preserve"> יישוב, לרב אזורי או לרב שכונה"</w:t>
            </w:r>
            <w:r w:rsidR="005C311E">
              <w:rPr>
                <w:rFonts w:hint="cs"/>
                <w:rtl/>
              </w:rPr>
              <w:t>;</w:t>
            </w:r>
          </w:p>
        </w:tc>
      </w:tr>
      <w:tr w:rsidR="00386C5D" w14:paraId="297AC2FB" w14:textId="77777777" w:rsidTr="005C311E">
        <w:trPr>
          <w:cantSplit/>
        </w:trPr>
        <w:tc>
          <w:tcPr>
            <w:tcW w:w="1871" w:type="dxa"/>
          </w:tcPr>
          <w:p w14:paraId="2FD3D97D" w14:textId="77777777" w:rsidR="00386C5D" w:rsidRDefault="00386C5D" w:rsidP="00DF05B0">
            <w:pPr>
              <w:pStyle w:val="TableSideHeading"/>
            </w:pPr>
          </w:p>
        </w:tc>
        <w:tc>
          <w:tcPr>
            <w:tcW w:w="624" w:type="dxa"/>
          </w:tcPr>
          <w:p w14:paraId="6D4B5425" w14:textId="77777777" w:rsidR="00386C5D" w:rsidRDefault="00386C5D" w:rsidP="00DF05B0">
            <w:pPr>
              <w:pStyle w:val="TableText"/>
              <w:jc w:val="both"/>
            </w:pPr>
          </w:p>
        </w:tc>
        <w:tc>
          <w:tcPr>
            <w:tcW w:w="624" w:type="dxa"/>
          </w:tcPr>
          <w:p w14:paraId="7DE7F112" w14:textId="77777777" w:rsidR="00386C5D" w:rsidRPr="005C311E" w:rsidRDefault="00386C5D" w:rsidP="005C311E">
            <w:pPr>
              <w:pStyle w:val="TableText"/>
              <w:jc w:val="both"/>
              <w:rPr>
                <w:rtl/>
              </w:rPr>
            </w:pPr>
          </w:p>
        </w:tc>
        <w:tc>
          <w:tcPr>
            <w:tcW w:w="6519" w:type="dxa"/>
            <w:gridSpan w:val="2"/>
          </w:tcPr>
          <w:p w14:paraId="46183374" w14:textId="77777777" w:rsidR="00386C5D" w:rsidRPr="00896C79" w:rsidRDefault="00386C5D" w:rsidP="005C311E">
            <w:pPr>
              <w:pStyle w:val="TableBlock"/>
              <w:rPr>
                <w:rtl/>
              </w:rPr>
            </w:pPr>
            <w:r>
              <w:rPr>
                <w:rtl/>
              </w:rPr>
              <w:t>(4)</w:t>
            </w:r>
            <w:r>
              <w:rPr>
                <w:rtl/>
              </w:rPr>
              <w:tab/>
              <w:t>בסעיף 19 לחוק –</w:t>
            </w:r>
          </w:p>
        </w:tc>
      </w:tr>
      <w:tr w:rsidR="00386C5D" w14:paraId="47A302C2" w14:textId="77777777" w:rsidTr="005C311E">
        <w:trPr>
          <w:cantSplit/>
        </w:trPr>
        <w:tc>
          <w:tcPr>
            <w:tcW w:w="1871" w:type="dxa"/>
          </w:tcPr>
          <w:p w14:paraId="6596E8DA" w14:textId="77777777" w:rsidR="00386C5D" w:rsidRDefault="00386C5D" w:rsidP="00DF05B0">
            <w:pPr>
              <w:pStyle w:val="TableSideHeading"/>
            </w:pPr>
          </w:p>
        </w:tc>
        <w:tc>
          <w:tcPr>
            <w:tcW w:w="624" w:type="dxa"/>
          </w:tcPr>
          <w:p w14:paraId="696FF2F2" w14:textId="77777777" w:rsidR="00386C5D" w:rsidRDefault="00386C5D" w:rsidP="00DF05B0">
            <w:pPr>
              <w:pStyle w:val="TableText"/>
              <w:jc w:val="both"/>
            </w:pPr>
          </w:p>
        </w:tc>
        <w:tc>
          <w:tcPr>
            <w:tcW w:w="624" w:type="dxa"/>
          </w:tcPr>
          <w:p w14:paraId="06C82282" w14:textId="77777777" w:rsidR="00386C5D" w:rsidRPr="005C311E" w:rsidRDefault="00386C5D" w:rsidP="005C311E">
            <w:pPr>
              <w:pStyle w:val="TableText"/>
              <w:jc w:val="both"/>
              <w:rPr>
                <w:rtl/>
              </w:rPr>
            </w:pPr>
          </w:p>
        </w:tc>
        <w:tc>
          <w:tcPr>
            <w:tcW w:w="624" w:type="dxa"/>
          </w:tcPr>
          <w:p w14:paraId="46E07A9E" w14:textId="77777777" w:rsidR="00386C5D" w:rsidRPr="005C311E" w:rsidRDefault="00386C5D" w:rsidP="005C311E">
            <w:pPr>
              <w:pStyle w:val="TableText"/>
              <w:jc w:val="both"/>
              <w:rPr>
                <w:rtl/>
              </w:rPr>
            </w:pPr>
          </w:p>
        </w:tc>
        <w:tc>
          <w:tcPr>
            <w:tcW w:w="5895" w:type="dxa"/>
          </w:tcPr>
          <w:p w14:paraId="2CCCCB61" w14:textId="77777777" w:rsidR="00386C5D" w:rsidRPr="00896C79" w:rsidRDefault="00386C5D" w:rsidP="005C311E">
            <w:pPr>
              <w:pStyle w:val="TableBlock"/>
              <w:rPr>
                <w:rtl/>
              </w:rPr>
            </w:pPr>
            <w:r w:rsidRPr="00896C79">
              <w:rPr>
                <w:rtl/>
              </w:rPr>
              <w:t>(</w:t>
            </w:r>
            <w:r>
              <w:rPr>
                <w:rFonts w:hint="cs"/>
                <w:rtl/>
              </w:rPr>
              <w:t>1</w:t>
            </w:r>
            <w:r w:rsidRPr="00896C79">
              <w:rPr>
                <w:rtl/>
              </w:rPr>
              <w:t>)</w:t>
            </w:r>
            <w:r w:rsidRPr="00896C79">
              <w:rPr>
                <w:rtl/>
              </w:rPr>
              <w:tab/>
              <w:t>בסעיף קטן (א), הסיפה, החל במילים "כשופט, לרבות" – לא תיקרא;</w:t>
            </w:r>
          </w:p>
        </w:tc>
      </w:tr>
      <w:tr w:rsidR="00386C5D" w14:paraId="62F3DBA2" w14:textId="77777777" w:rsidTr="005C311E">
        <w:trPr>
          <w:cantSplit/>
        </w:trPr>
        <w:tc>
          <w:tcPr>
            <w:tcW w:w="1871" w:type="dxa"/>
          </w:tcPr>
          <w:p w14:paraId="53ADA0FF" w14:textId="77777777" w:rsidR="00386C5D" w:rsidRDefault="00386C5D" w:rsidP="00DF05B0">
            <w:pPr>
              <w:pStyle w:val="TableSideHeading"/>
            </w:pPr>
          </w:p>
        </w:tc>
        <w:tc>
          <w:tcPr>
            <w:tcW w:w="624" w:type="dxa"/>
          </w:tcPr>
          <w:p w14:paraId="47062C48" w14:textId="77777777" w:rsidR="00386C5D" w:rsidRDefault="00386C5D" w:rsidP="00DF05B0">
            <w:pPr>
              <w:pStyle w:val="TableText"/>
              <w:jc w:val="both"/>
            </w:pPr>
          </w:p>
        </w:tc>
        <w:tc>
          <w:tcPr>
            <w:tcW w:w="624" w:type="dxa"/>
          </w:tcPr>
          <w:p w14:paraId="52DD913C" w14:textId="77777777" w:rsidR="00386C5D" w:rsidRPr="005C311E" w:rsidRDefault="00386C5D" w:rsidP="005C311E">
            <w:pPr>
              <w:pStyle w:val="TableText"/>
              <w:jc w:val="both"/>
              <w:rPr>
                <w:rtl/>
              </w:rPr>
            </w:pPr>
          </w:p>
        </w:tc>
        <w:tc>
          <w:tcPr>
            <w:tcW w:w="624" w:type="dxa"/>
          </w:tcPr>
          <w:p w14:paraId="191984CA" w14:textId="77777777" w:rsidR="00386C5D" w:rsidRPr="005C311E" w:rsidRDefault="00386C5D" w:rsidP="005C311E">
            <w:pPr>
              <w:pStyle w:val="TableText"/>
              <w:jc w:val="both"/>
              <w:rPr>
                <w:rtl/>
              </w:rPr>
            </w:pPr>
          </w:p>
        </w:tc>
        <w:tc>
          <w:tcPr>
            <w:tcW w:w="5895" w:type="dxa"/>
          </w:tcPr>
          <w:p w14:paraId="0307F2A2" w14:textId="696A8CC9" w:rsidR="00386C5D" w:rsidRPr="00896C79" w:rsidRDefault="00386C5D" w:rsidP="005C311E">
            <w:pPr>
              <w:pStyle w:val="TableBlock"/>
              <w:rPr>
                <w:rtl/>
              </w:rPr>
            </w:pPr>
            <w:r w:rsidRPr="00896C79">
              <w:rPr>
                <w:rtl/>
              </w:rPr>
              <w:t>(</w:t>
            </w:r>
            <w:r>
              <w:rPr>
                <w:rFonts w:hint="cs"/>
                <w:rtl/>
              </w:rPr>
              <w:t>2</w:t>
            </w:r>
            <w:r w:rsidRPr="00896C79">
              <w:rPr>
                <w:rtl/>
              </w:rPr>
              <w:t>)</w:t>
            </w:r>
            <w:r w:rsidRPr="00896C79">
              <w:rPr>
                <w:rtl/>
              </w:rPr>
              <w:tab/>
              <w:t xml:space="preserve">בסעיף קטן (ד), במקום "לשופט הנילון, לנשיא, לשר, למנהל ולנשיא בית המשפט שבו מכהן אותו שופט" יקראו "לרב הנילון, לנשיא מועצת הרבנות הראשית ולשר לשירותי </w:t>
            </w:r>
            <w:r w:rsidR="005C311E">
              <w:rPr>
                <w:rtl/>
              </w:rPr>
              <w:t>דת"</w:t>
            </w:r>
            <w:r w:rsidR="005C311E">
              <w:rPr>
                <w:rFonts w:hint="cs"/>
                <w:rtl/>
              </w:rPr>
              <w:t>;</w:t>
            </w:r>
          </w:p>
        </w:tc>
      </w:tr>
      <w:tr w:rsidR="00386C5D" w14:paraId="4019E406" w14:textId="77777777" w:rsidTr="005C311E">
        <w:trPr>
          <w:cantSplit/>
        </w:trPr>
        <w:tc>
          <w:tcPr>
            <w:tcW w:w="1871" w:type="dxa"/>
          </w:tcPr>
          <w:p w14:paraId="403DCB31" w14:textId="77777777" w:rsidR="00386C5D" w:rsidRDefault="00386C5D" w:rsidP="00DF05B0">
            <w:pPr>
              <w:pStyle w:val="TableSideHeading"/>
            </w:pPr>
          </w:p>
        </w:tc>
        <w:tc>
          <w:tcPr>
            <w:tcW w:w="624" w:type="dxa"/>
          </w:tcPr>
          <w:p w14:paraId="1DA8F284" w14:textId="77777777" w:rsidR="00386C5D" w:rsidRDefault="00386C5D" w:rsidP="00DF05B0">
            <w:pPr>
              <w:pStyle w:val="TableText"/>
              <w:jc w:val="both"/>
            </w:pPr>
          </w:p>
        </w:tc>
        <w:tc>
          <w:tcPr>
            <w:tcW w:w="624" w:type="dxa"/>
          </w:tcPr>
          <w:p w14:paraId="756C7204" w14:textId="77777777" w:rsidR="00386C5D" w:rsidRPr="005C311E" w:rsidRDefault="00386C5D" w:rsidP="005C311E">
            <w:pPr>
              <w:pStyle w:val="TableText"/>
              <w:jc w:val="both"/>
              <w:rPr>
                <w:rtl/>
              </w:rPr>
            </w:pPr>
          </w:p>
        </w:tc>
        <w:tc>
          <w:tcPr>
            <w:tcW w:w="6519" w:type="dxa"/>
            <w:gridSpan w:val="2"/>
          </w:tcPr>
          <w:p w14:paraId="5C5EE8E8" w14:textId="413298D4" w:rsidR="00386C5D" w:rsidRPr="009E5479" w:rsidRDefault="00386C5D" w:rsidP="005C311E">
            <w:pPr>
              <w:pStyle w:val="TableBlock"/>
              <w:rPr>
                <w:rtl/>
              </w:rPr>
            </w:pPr>
            <w:r w:rsidRPr="00896C79">
              <w:rPr>
                <w:rtl/>
              </w:rPr>
              <w:t>(5)</w:t>
            </w:r>
            <w:r w:rsidRPr="00896C79">
              <w:rPr>
                <w:rtl/>
              </w:rPr>
              <w:tab/>
              <w:t>בסעיף 29, במקום "משרד המ</w:t>
            </w:r>
            <w:r>
              <w:rPr>
                <w:rtl/>
              </w:rPr>
              <w:t>שפטים" יקראו "המשרד לשירותי דת"</w:t>
            </w:r>
            <w:r w:rsidR="005C311E">
              <w:rPr>
                <w:rFonts w:hint="cs"/>
                <w:rtl/>
              </w:rPr>
              <w:t>;</w:t>
            </w:r>
          </w:p>
        </w:tc>
      </w:tr>
      <w:tr w:rsidR="00386C5D" w14:paraId="17377254" w14:textId="77777777" w:rsidTr="005C311E">
        <w:trPr>
          <w:cantSplit/>
        </w:trPr>
        <w:tc>
          <w:tcPr>
            <w:tcW w:w="1871" w:type="dxa"/>
          </w:tcPr>
          <w:p w14:paraId="3C4D888E" w14:textId="77777777" w:rsidR="00386C5D" w:rsidRDefault="00386C5D" w:rsidP="00DF05B0">
            <w:pPr>
              <w:pStyle w:val="TableSideHeading"/>
            </w:pPr>
          </w:p>
        </w:tc>
        <w:tc>
          <w:tcPr>
            <w:tcW w:w="624" w:type="dxa"/>
          </w:tcPr>
          <w:p w14:paraId="057C8947" w14:textId="77777777" w:rsidR="00386C5D" w:rsidRDefault="00386C5D" w:rsidP="00DF05B0">
            <w:pPr>
              <w:pStyle w:val="TableText"/>
              <w:jc w:val="both"/>
            </w:pPr>
          </w:p>
        </w:tc>
        <w:tc>
          <w:tcPr>
            <w:tcW w:w="624" w:type="dxa"/>
          </w:tcPr>
          <w:p w14:paraId="15AB2C88" w14:textId="77777777" w:rsidR="00386C5D" w:rsidRPr="005C311E" w:rsidRDefault="00386C5D" w:rsidP="005C311E">
            <w:pPr>
              <w:pStyle w:val="TableText"/>
              <w:jc w:val="both"/>
              <w:rPr>
                <w:rtl/>
              </w:rPr>
            </w:pPr>
          </w:p>
        </w:tc>
        <w:tc>
          <w:tcPr>
            <w:tcW w:w="6519" w:type="dxa"/>
            <w:gridSpan w:val="2"/>
          </w:tcPr>
          <w:p w14:paraId="62D818AC" w14:textId="77777777" w:rsidR="00386C5D" w:rsidRPr="00AA713F" w:rsidRDefault="00386C5D" w:rsidP="005C311E">
            <w:pPr>
              <w:pStyle w:val="TableBlock"/>
              <w:rPr>
                <w:rtl/>
              </w:rPr>
            </w:pPr>
            <w:r w:rsidRPr="00896C79">
              <w:rPr>
                <w:rtl/>
              </w:rPr>
              <w:t>(6)</w:t>
            </w:r>
            <w:r w:rsidRPr="00896C79">
              <w:rPr>
                <w:rtl/>
              </w:rPr>
              <w:tab/>
              <w:t xml:space="preserve">בכל מקום, </w:t>
            </w:r>
            <w:r>
              <w:rPr>
                <w:rFonts w:hint="cs"/>
                <w:rtl/>
              </w:rPr>
              <w:t>הסמכויות הנתונות לשר המשפטים ולנשיא בית המשפט העליון, יהיו נתונות לשר לשירותי דת ולנשיא מועצת הרבנות הראשית, בהתאמה</w:t>
            </w:r>
            <w:r w:rsidRPr="00896C79">
              <w:rPr>
                <w:rtl/>
              </w:rPr>
              <w:t>.</w:t>
            </w:r>
          </w:p>
        </w:tc>
      </w:tr>
    </w:tbl>
    <w:p w14:paraId="4529ACF3" w14:textId="77777777" w:rsidR="00386C5D" w:rsidRPr="00595B0F" w:rsidRDefault="00386C5D" w:rsidP="00386C5D">
      <w:pPr>
        <w:pStyle w:val="HeadDivreiHesber"/>
        <w:rPr>
          <w:rtl/>
        </w:rPr>
      </w:pPr>
      <w:r w:rsidRPr="00595B0F">
        <w:rPr>
          <w:rFonts w:hint="cs"/>
          <w:rtl/>
        </w:rPr>
        <w:t>דברי הסבר</w:t>
      </w:r>
    </w:p>
    <w:p w14:paraId="7F6961CB" w14:textId="3E16DF68" w:rsidR="00E13C27" w:rsidRDefault="00386C5D" w:rsidP="00386C5D">
      <w:pPr>
        <w:pStyle w:val="Hesber"/>
        <w:rPr>
          <w:rtl/>
        </w:rPr>
      </w:pPr>
      <w:r w:rsidRPr="00595B0F">
        <w:rPr>
          <w:rtl/>
        </w:rPr>
        <w:t xml:space="preserve">חוק זה מסמיך את השר </w:t>
      </w:r>
      <w:r>
        <w:rPr>
          <w:rFonts w:hint="cs"/>
          <w:rtl/>
        </w:rPr>
        <w:t xml:space="preserve">לשירותי דת </w:t>
      </w:r>
      <w:r w:rsidRPr="00595B0F">
        <w:rPr>
          <w:rtl/>
        </w:rPr>
        <w:t xml:space="preserve">למנות בהסכמת הרבנים הראשיים </w:t>
      </w:r>
      <w:r>
        <w:rPr>
          <w:rFonts w:hint="cs"/>
          <w:rtl/>
        </w:rPr>
        <w:t xml:space="preserve">ובאישור מועצת הרבנות הראשית, </w:t>
      </w:r>
      <w:r w:rsidRPr="00595B0F">
        <w:rPr>
          <w:rtl/>
        </w:rPr>
        <w:t xml:space="preserve">נציב תלונות </w:t>
      </w:r>
      <w:r>
        <w:rPr>
          <w:rFonts w:hint="cs"/>
          <w:rtl/>
        </w:rPr>
        <w:t xml:space="preserve">הציבור </w:t>
      </w:r>
      <w:r w:rsidRPr="00595B0F">
        <w:rPr>
          <w:rtl/>
        </w:rPr>
        <w:t xml:space="preserve">על רבנים, וזאת לצורך שיפור וייעול השירות לצרכני שירותי הדת. כמו כן, </w:t>
      </w:r>
      <w:r>
        <w:rPr>
          <w:rFonts w:hint="cs"/>
          <w:rtl/>
        </w:rPr>
        <w:t>החוק</w:t>
      </w:r>
      <w:r w:rsidRPr="00595B0F">
        <w:rPr>
          <w:rtl/>
        </w:rPr>
        <w:t xml:space="preserve"> מגדיר את </w:t>
      </w:r>
      <w:r>
        <w:rPr>
          <w:rFonts w:hint="cs"/>
          <w:rtl/>
        </w:rPr>
        <w:t>ה</w:t>
      </w:r>
      <w:r w:rsidRPr="00595B0F">
        <w:rPr>
          <w:rtl/>
        </w:rPr>
        <w:t xml:space="preserve">סמכויות </w:t>
      </w:r>
      <w:r>
        <w:rPr>
          <w:rFonts w:hint="cs"/>
          <w:rtl/>
        </w:rPr>
        <w:t>השונות הנתונות ל</w:t>
      </w:r>
      <w:r w:rsidRPr="00595B0F">
        <w:rPr>
          <w:rtl/>
        </w:rPr>
        <w:t>נציב במסגרת תפקידו.</w:t>
      </w:r>
    </w:p>
    <w:p w14:paraId="4D1DDD00" w14:textId="77777777" w:rsidR="005C311E" w:rsidRDefault="005C311E">
      <w:pPr>
        <w:jc w:val="left"/>
        <w:rPr>
          <w:rFonts w:eastAsia="David"/>
          <w:sz w:val="26"/>
          <w:szCs w:val="26"/>
          <w:rtl/>
        </w:rPr>
      </w:pPr>
      <w:bookmarkStart w:id="6" w:name="selectedDocDateB"/>
      <w:bookmarkEnd w:id="6"/>
    </w:p>
    <w:p w14:paraId="0176A771" w14:textId="77777777" w:rsidR="00A32D2C" w:rsidRDefault="005C311E">
      <w:pPr>
        <w:jc w:val="left"/>
      </w:pPr>
      <w:bookmarkStart w:id="7" w:name="_GoBack"/>
      <w:bookmarkEnd w:id="7"/>
      <w:r>
        <w:rPr>
          <w:rFonts w:eastAsia="David" w:hint="cs"/>
          <w:sz w:val="26"/>
          <w:szCs w:val="26"/>
          <w:rtl/>
        </w:rPr>
        <w:t>--------------------------------</w:t>
      </w:r>
    </w:p>
    <w:p w14:paraId="40024702" w14:textId="77777777" w:rsidR="00A32D2C" w:rsidRDefault="005C311E">
      <w:pPr>
        <w:jc w:val="left"/>
      </w:pPr>
      <w:r>
        <w:rPr>
          <w:rFonts w:eastAsia="David" w:hint="cs"/>
          <w:sz w:val="26"/>
          <w:szCs w:val="26"/>
          <w:rtl/>
        </w:rPr>
        <w:t xml:space="preserve">הוגשה ליו"ר הכנסת </w:t>
      </w:r>
      <w:r>
        <w:rPr>
          <w:rFonts w:eastAsia="David" w:hint="cs"/>
          <w:sz w:val="26"/>
          <w:szCs w:val="26"/>
          <w:rtl/>
        </w:rPr>
        <w:t>והסגנים</w:t>
      </w:r>
    </w:p>
    <w:p w14:paraId="326AF0F8" w14:textId="77777777" w:rsidR="00A32D2C" w:rsidRDefault="005C311E">
      <w:pPr>
        <w:jc w:val="left"/>
      </w:pPr>
      <w:r>
        <w:rPr>
          <w:rFonts w:eastAsia="David" w:hint="cs"/>
          <w:sz w:val="26"/>
          <w:szCs w:val="26"/>
          <w:rtl/>
        </w:rPr>
        <w:t>והונחה על שולחן הכנסת ביום</w:t>
      </w:r>
    </w:p>
    <w:p w14:paraId="4BAB25D9" w14:textId="77777777" w:rsidR="00A32D2C" w:rsidRDefault="005C311E">
      <w:pPr>
        <w:jc w:val="left"/>
      </w:pPr>
      <w:r>
        <w:rPr>
          <w:rFonts w:eastAsia="David" w:hint="cs"/>
          <w:sz w:val="26"/>
          <w:szCs w:val="26"/>
          <w:rtl/>
        </w:rPr>
        <w:t xml:space="preserve">כ"ד באדר ב' התשפ"ד (03.04.2024) </w:t>
      </w:r>
    </w:p>
    <w:p w14:paraId="2DD28CF7" w14:textId="77777777" w:rsidR="00A32D2C" w:rsidRDefault="00A32D2C">
      <w:pPr>
        <w:spacing w:line="276" w:lineRule="auto"/>
        <w:jc w:val="left"/>
      </w:pPr>
    </w:p>
    <w:sectPr w:rsidR="00A32D2C" w:rsidSect="005C311E">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5C311E">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5C311E">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01C8395" w14:textId="77777777" w:rsidR="00386C5D" w:rsidRDefault="00386C5D" w:rsidP="00386C5D">
      <w:pPr>
        <w:pStyle w:val="a4"/>
      </w:pPr>
      <w:r>
        <w:rPr>
          <w:rStyle w:val="a5"/>
        </w:rPr>
        <w:footnoteRef/>
      </w:r>
      <w:r>
        <w:rPr>
          <w:rtl/>
        </w:rPr>
        <w:t xml:space="preserve"> </w:t>
      </w:r>
      <w:r>
        <w:rPr>
          <w:rFonts w:hint="cs"/>
          <w:rtl/>
        </w:rPr>
        <w:t>ס"ח התשס"ב, עמ' 590.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A1445"/>
    <w:multiLevelType w:val="multilevel"/>
    <w:tmpl w:val="B43ABA22"/>
    <w:lvl w:ilvl="0">
      <w:start w:val="1"/>
      <w:numFmt w:val="decimal"/>
      <w:lvlText w:val="%1."/>
      <w:lvlJc w:val="left"/>
      <w:pPr>
        <w:ind w:left="360" w:hanging="360"/>
      </w:pPr>
      <w:rPr>
        <w:rFonts w:ascii="David" w:eastAsia="David" w:hAnsi="David" w:cs="David"/>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7"/>
  </w:num>
  <w:num w:numId="15">
    <w:abstractNumId w:val="13"/>
  </w:num>
  <w:num w:numId="16">
    <w:abstractNumId w:val="14"/>
  </w:num>
  <w:num w:numId="17">
    <w:abstractNumId w:val="14"/>
    <w:lvlOverride w:ilvl="0">
      <w:startOverride w:val="1"/>
    </w:lvlOverride>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3725A"/>
    <w:rsid w:val="00051EF6"/>
    <w:rsid w:val="00063A3E"/>
    <w:rsid w:val="00072CAC"/>
    <w:rsid w:val="0007681A"/>
    <w:rsid w:val="000A00BE"/>
    <w:rsid w:val="000A542E"/>
    <w:rsid w:val="000C235D"/>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C5D"/>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C311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4363"/>
    <w:rsid w:val="009A7257"/>
    <w:rsid w:val="009D6E0A"/>
    <w:rsid w:val="009E1E33"/>
    <w:rsid w:val="00A14672"/>
    <w:rsid w:val="00A26BD6"/>
    <w:rsid w:val="00A32D2C"/>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1FF3D95F-D6A1-492C-B926-AA82E355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11E"/>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5C311E"/>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5C311E"/>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5C311E"/>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5C311E"/>
    <w:pPr>
      <w:numPr>
        <w:numId w:val="19"/>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5C311E"/>
    <w:pPr>
      <w:spacing w:line="259" w:lineRule="auto"/>
      <w:outlineLvl w:val="4"/>
    </w:pPr>
    <w:rPr>
      <w:color w:val="000000" w:themeColor="text1"/>
    </w:rPr>
  </w:style>
  <w:style w:type="character" w:default="1" w:styleId="a0">
    <w:name w:val="Default Paragraph Font"/>
    <w:uiPriority w:val="1"/>
    <w:unhideWhenUsed/>
    <w:rsid w:val="005C311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C311E"/>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5C311E"/>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5C311E"/>
    <w:rPr>
      <w:sz w:val="36"/>
      <w:szCs w:val="52"/>
    </w:rPr>
  </w:style>
  <w:style w:type="paragraph" w:customStyle="1" w:styleId="Cover3-Haknesset">
    <w:name w:val="Cover 3-Haknesset"/>
    <w:basedOn w:val="Cover1-Reshumot"/>
    <w:rsid w:val="005C311E"/>
    <w:rPr>
      <w:b/>
      <w:bCs/>
      <w:spacing w:val="60"/>
    </w:rPr>
  </w:style>
  <w:style w:type="paragraph" w:customStyle="1" w:styleId="Cover4-Date">
    <w:name w:val="Cover 4-Date"/>
    <w:basedOn w:val="a"/>
    <w:rsid w:val="005C311E"/>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5C311E"/>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5C311E"/>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5C311E"/>
    <w:pPr>
      <w:spacing w:before="120" w:after="120"/>
    </w:pPr>
    <w:rPr>
      <w:color w:val="FF0000"/>
      <w:w w:val="80"/>
    </w:rPr>
  </w:style>
  <w:style w:type="paragraph" w:styleId="a3">
    <w:name w:val="endnote text"/>
    <w:basedOn w:val="a"/>
    <w:semiHidden/>
    <w:rsid w:val="005C311E"/>
    <w:pPr>
      <w:ind w:left="227" w:hanging="227"/>
    </w:pPr>
    <w:rPr>
      <w:sz w:val="14"/>
      <w:szCs w:val="22"/>
    </w:rPr>
  </w:style>
  <w:style w:type="paragraph" w:customStyle="1" w:styleId="TableText">
    <w:name w:val="Table Text"/>
    <w:basedOn w:val="a"/>
    <w:rsid w:val="005C311E"/>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5C311E"/>
    <w:pPr>
      <w:outlineLvl w:val="2"/>
    </w:pPr>
  </w:style>
  <w:style w:type="paragraph" w:customStyle="1" w:styleId="TableBlock">
    <w:name w:val="Table Block"/>
    <w:basedOn w:val="TableText"/>
    <w:rsid w:val="005C311E"/>
    <w:pPr>
      <w:jc w:val="both"/>
    </w:pPr>
  </w:style>
  <w:style w:type="paragraph" w:customStyle="1" w:styleId="TableHead">
    <w:name w:val="Table Head"/>
    <w:basedOn w:val="TableText"/>
    <w:rsid w:val="005C311E"/>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5C311E"/>
    <w:pPr>
      <w:outlineLvl w:val="9"/>
    </w:pPr>
  </w:style>
  <w:style w:type="paragraph" w:customStyle="1" w:styleId="Hesber">
    <w:name w:val="Hesber"/>
    <w:basedOn w:val="a"/>
    <w:rsid w:val="005C311E"/>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5C311E"/>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5C311E"/>
    <w:rPr>
      <w:vertAlign w:val="superscript"/>
    </w:rPr>
  </w:style>
  <w:style w:type="paragraph" w:customStyle="1" w:styleId="HesberHeading">
    <w:name w:val="Hesber Heading"/>
    <w:basedOn w:val="Hesber"/>
    <w:rsid w:val="005C311E"/>
    <w:pPr>
      <w:tabs>
        <w:tab w:val="left" w:pos="624"/>
        <w:tab w:val="left" w:pos="1247"/>
      </w:tabs>
    </w:pPr>
    <w:rPr>
      <w:b/>
      <w:bCs/>
    </w:rPr>
  </w:style>
  <w:style w:type="paragraph" w:customStyle="1" w:styleId="HesberWriters">
    <w:name w:val="Hesber Writers"/>
    <w:basedOn w:val="Hesber"/>
    <w:rsid w:val="005C311E"/>
    <w:pPr>
      <w:spacing w:before="120" w:after="120"/>
      <w:ind w:left="1418"/>
      <w:jc w:val="right"/>
    </w:pPr>
    <w:rPr>
      <w:b/>
      <w:bCs/>
    </w:rPr>
  </w:style>
  <w:style w:type="paragraph" w:customStyle="1" w:styleId="Hesber1st">
    <w:name w:val="Hesber 1st"/>
    <w:basedOn w:val="Hesber"/>
    <w:rsid w:val="005C311E"/>
    <w:pPr>
      <w:tabs>
        <w:tab w:val="left" w:pos="680"/>
        <w:tab w:val="left" w:pos="1020"/>
      </w:tabs>
      <w:ind w:firstLine="0"/>
    </w:pPr>
  </w:style>
  <w:style w:type="character" w:styleId="a6">
    <w:name w:val="endnote reference"/>
    <w:basedOn w:val="a0"/>
    <w:semiHidden/>
    <w:rsid w:val="005C311E"/>
    <w:rPr>
      <w:vertAlign w:val="superscript"/>
    </w:rPr>
  </w:style>
  <w:style w:type="paragraph" w:customStyle="1" w:styleId="TableBlockOutdent">
    <w:name w:val="Table BlockOutdent"/>
    <w:basedOn w:val="TableBlock"/>
    <w:rsid w:val="005C311E"/>
    <w:pPr>
      <w:ind w:left="624" w:hanging="624"/>
    </w:pPr>
  </w:style>
  <w:style w:type="paragraph" w:styleId="a7">
    <w:name w:val="header"/>
    <w:basedOn w:val="a"/>
    <w:rsid w:val="005C311E"/>
    <w:pPr>
      <w:tabs>
        <w:tab w:val="center" w:pos="4153"/>
        <w:tab w:val="right" w:pos="8306"/>
      </w:tabs>
    </w:pPr>
  </w:style>
  <w:style w:type="paragraph" w:styleId="a8">
    <w:name w:val="footer"/>
    <w:basedOn w:val="a"/>
    <w:rsid w:val="005C311E"/>
    <w:pPr>
      <w:tabs>
        <w:tab w:val="center" w:pos="4153"/>
        <w:tab w:val="right" w:pos="8306"/>
      </w:tabs>
    </w:pPr>
  </w:style>
  <w:style w:type="paragraph" w:customStyle="1" w:styleId="HeadDivreiHesber">
    <w:name w:val="Head DivreiHesber"/>
    <w:basedOn w:val="a"/>
    <w:rsid w:val="005C311E"/>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5C311E"/>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5C311E"/>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5C311E"/>
    <w:rPr>
      <w:rFonts w:asciiTheme="majorHAnsi" w:eastAsiaTheme="majorEastAsia" w:hAnsiTheme="majorHAnsi" w:cs="David"/>
      <w:bCs/>
      <w:sz w:val="32"/>
      <w:szCs w:val="36"/>
    </w:rPr>
  </w:style>
  <w:style w:type="character" w:customStyle="1" w:styleId="20">
    <w:name w:val="כותרת 2 תו"/>
    <w:basedOn w:val="a0"/>
    <w:link w:val="2"/>
    <w:rsid w:val="005C311E"/>
    <w:rPr>
      <w:rFonts w:asciiTheme="majorHAnsi" w:eastAsiaTheme="majorEastAsia" w:hAnsiTheme="majorHAnsi" w:cs="David"/>
      <w:bCs/>
      <w:sz w:val="26"/>
      <w:szCs w:val="36"/>
      <w:u w:val="single"/>
    </w:rPr>
  </w:style>
  <w:style w:type="character" w:customStyle="1" w:styleId="30">
    <w:name w:val="כותרת 3 תו"/>
    <w:basedOn w:val="a0"/>
    <w:link w:val="3"/>
    <w:rsid w:val="005C311E"/>
    <w:rPr>
      <w:rFonts w:asciiTheme="majorHAnsi" w:eastAsiaTheme="majorEastAsia" w:hAnsiTheme="majorHAnsi" w:cs="David"/>
      <w:sz w:val="24"/>
      <w:szCs w:val="28"/>
      <w:u w:val="double"/>
    </w:rPr>
  </w:style>
  <w:style w:type="character" w:customStyle="1" w:styleId="40">
    <w:name w:val="כותרת 4 תו"/>
    <w:basedOn w:val="a0"/>
    <w:link w:val="4"/>
    <w:uiPriority w:val="9"/>
    <w:rsid w:val="005C311E"/>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5C311E"/>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5C311E"/>
    <w:pPr>
      <w:widowControl/>
      <w:spacing w:before="120" w:after="120"/>
      <w:outlineLvl w:val="9"/>
    </w:pPr>
    <w:rPr>
      <w:rtl/>
      <w:cs/>
    </w:rPr>
  </w:style>
  <w:style w:type="paragraph" w:styleId="TOC1">
    <w:name w:val="toc 1"/>
    <w:basedOn w:val="a"/>
    <w:next w:val="a"/>
    <w:autoRedefine/>
    <w:uiPriority w:val="39"/>
    <w:unhideWhenUsed/>
    <w:rsid w:val="005C311E"/>
    <w:pPr>
      <w:tabs>
        <w:tab w:val="right" w:leader="dot" w:pos="9629"/>
      </w:tabs>
      <w:spacing w:after="100"/>
    </w:pPr>
    <w:rPr>
      <w:bCs/>
      <w:szCs w:val="22"/>
    </w:rPr>
  </w:style>
  <w:style w:type="paragraph" w:styleId="TOC2">
    <w:name w:val="toc 2"/>
    <w:basedOn w:val="a"/>
    <w:next w:val="a"/>
    <w:uiPriority w:val="39"/>
    <w:unhideWhenUsed/>
    <w:rsid w:val="005C311E"/>
    <w:pPr>
      <w:tabs>
        <w:tab w:val="right" w:leader="dot" w:pos="9628"/>
      </w:tabs>
      <w:spacing w:after="100"/>
    </w:pPr>
    <w:rPr>
      <w:szCs w:val="22"/>
    </w:rPr>
  </w:style>
  <w:style w:type="character" w:styleId="Hyperlink">
    <w:name w:val="Hyperlink"/>
    <w:basedOn w:val="a0"/>
    <w:uiPriority w:val="99"/>
    <w:unhideWhenUsed/>
    <w:rsid w:val="005C311E"/>
    <w:rPr>
      <w:color w:val="0000FF" w:themeColor="hyperlink"/>
      <w:u w:val="single"/>
    </w:rPr>
  </w:style>
  <w:style w:type="paragraph" w:styleId="TOC3">
    <w:name w:val="toc 3"/>
    <w:basedOn w:val="a"/>
    <w:next w:val="a"/>
    <w:uiPriority w:val="39"/>
    <w:unhideWhenUsed/>
    <w:rsid w:val="005C311E"/>
    <w:pPr>
      <w:numPr>
        <w:numId w:val="22"/>
      </w:numPr>
      <w:tabs>
        <w:tab w:val="right" w:leader="dot" w:pos="9629"/>
      </w:tabs>
      <w:spacing w:after="100"/>
      <w:ind w:left="811" w:hanging="357"/>
    </w:pPr>
    <w:rPr>
      <w:szCs w:val="22"/>
    </w:rPr>
  </w:style>
  <w:style w:type="paragraph" w:styleId="TOC4">
    <w:name w:val="toc 4"/>
    <w:basedOn w:val="a"/>
    <w:next w:val="a"/>
    <w:autoRedefine/>
    <w:unhideWhenUsed/>
    <w:qFormat/>
    <w:rsid w:val="005C311E"/>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5C311E"/>
    <w:pPr>
      <w:tabs>
        <w:tab w:val="right" w:leader="dot" w:pos="9628"/>
      </w:tabs>
      <w:spacing w:after="100"/>
      <w:ind w:left="567"/>
    </w:pPr>
    <w:rPr>
      <w:szCs w:val="22"/>
    </w:rPr>
  </w:style>
  <w:style w:type="paragraph" w:styleId="TOC6">
    <w:name w:val="toc 6"/>
    <w:basedOn w:val="a"/>
    <w:next w:val="a"/>
    <w:autoRedefine/>
    <w:semiHidden/>
    <w:unhideWhenUsed/>
    <w:rsid w:val="005C311E"/>
    <w:pPr>
      <w:spacing w:after="100"/>
      <w:ind w:left="850"/>
    </w:pPr>
  </w:style>
  <w:style w:type="paragraph" w:styleId="TOC7">
    <w:name w:val="toc 7"/>
    <w:basedOn w:val="a"/>
    <w:next w:val="a"/>
    <w:autoRedefine/>
    <w:semiHidden/>
    <w:unhideWhenUsed/>
    <w:rsid w:val="005C311E"/>
    <w:pPr>
      <w:spacing w:after="100"/>
      <w:ind w:left="1020"/>
    </w:pPr>
  </w:style>
  <w:style w:type="paragraph" w:styleId="TOC8">
    <w:name w:val="toc 8"/>
    <w:basedOn w:val="a"/>
    <w:next w:val="a"/>
    <w:autoRedefine/>
    <w:semiHidden/>
    <w:unhideWhenUsed/>
    <w:rsid w:val="005C311E"/>
    <w:pPr>
      <w:spacing w:after="100"/>
      <w:ind w:left="1190"/>
    </w:pPr>
  </w:style>
  <w:style w:type="paragraph" w:styleId="TOC9">
    <w:name w:val="toc 9"/>
    <w:basedOn w:val="a"/>
    <w:next w:val="a"/>
    <w:autoRedefine/>
    <w:semiHidden/>
    <w:unhideWhenUsed/>
    <w:rsid w:val="005C311E"/>
    <w:pPr>
      <w:spacing w:after="100"/>
      <w:ind w:left="1360"/>
    </w:pPr>
  </w:style>
  <w:style w:type="paragraph" w:customStyle="1" w:styleId="TableHead2">
    <w:name w:val="Table Head2"/>
    <w:basedOn w:val="TableHead"/>
    <w:qFormat/>
    <w:rsid w:val="005C311E"/>
    <w:pPr>
      <w:outlineLvl w:val="9"/>
    </w:pPr>
  </w:style>
  <w:style w:type="paragraph" w:customStyle="1" w:styleId="TableSideHeading2">
    <w:name w:val="Table SideHeading2"/>
    <w:basedOn w:val="TableSideHeading"/>
    <w:autoRedefine/>
    <w:qFormat/>
    <w:rsid w:val="005C311E"/>
    <w:pPr>
      <w:keepLines w:val="0"/>
      <w:outlineLvl w:val="9"/>
    </w:pPr>
  </w:style>
  <w:style w:type="paragraph" w:customStyle="1" w:styleId="0">
    <w:name w:val="סגנון שורה ראשונה:  0  ס''מ"/>
    <w:basedOn w:val="2"/>
    <w:rsid w:val="005C311E"/>
    <w:rPr>
      <w:rFonts w:eastAsia="Times New Roman"/>
    </w:rPr>
  </w:style>
  <w:style w:type="paragraph" w:styleId="ae">
    <w:name w:val="List Paragraph"/>
    <w:basedOn w:val="a"/>
    <w:uiPriority w:val="34"/>
    <w:qFormat/>
    <w:rsid w:val="005C311E"/>
    <w:pPr>
      <w:widowControl/>
      <w:spacing w:line="259" w:lineRule="auto"/>
    </w:pPr>
    <w:rPr>
      <w:rFonts w:asciiTheme="minorHAnsi" w:hAnsiTheme="minorHAnsi"/>
      <w:sz w:val="22"/>
    </w:rPr>
  </w:style>
  <w:style w:type="table" w:styleId="af">
    <w:name w:val="Table Grid"/>
    <w:basedOn w:val="a1"/>
    <w:rsid w:val="005C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5C31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5C31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5C311E"/>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5C311E"/>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CDF02036-51F3-4938-BE07-15824ED0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90d5b49-c690-4c6f-bbb9-1e50dab33eee"/>
    <ds:schemaRef ds:uri="http://purl.org/dc/dcmitype/"/>
  </ds:schemaRefs>
</ds:datastoreItem>
</file>

<file path=customXml/itemProps4.xml><?xml version="1.0" encoding="utf-8"?>
<ds:datastoreItem xmlns:ds="http://schemas.openxmlformats.org/officeDocument/2006/customXml" ds:itemID="{AAE21895-EB21-4AAB-BC73-65CA14B6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10</cp:revision>
  <cp:lastPrinted>2013-07-04T08:25:00Z</cp:lastPrinted>
  <dcterms:created xsi:type="dcterms:W3CDTF">2015-04-20T09:58:00Z</dcterms:created>
  <dcterms:modified xsi:type="dcterms:W3CDTF">2024-04-02T15:13:00Z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2217179</vt:r8>
  </property>
</Properties>
</file>