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2214514</w:t>
      </w:r>
      <w:bookmarkEnd w:id="0"/>
    </w:p>
    <w:p w14:paraId="294E8334" w14:textId="77777777" w:rsidR="00812315" w:rsidRDefault="00812315" w:rsidP="00812315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וחמש</w:t>
      </w:r>
      <w:bookmarkEnd w:id="1"/>
    </w:p>
    <w:p w14:paraId="440C1E0F" w14:textId="77777777" w:rsidR="00812315" w:rsidRPr="00450A67" w:rsidRDefault="00812315" w:rsidP="00812315">
      <w:pPr>
        <w:pStyle w:val="HeadHatzaotHok"/>
        <w:rPr>
          <w:sz w:val="28"/>
          <w:szCs w:val="28"/>
          <w:rtl/>
        </w:rPr>
      </w:pPr>
    </w:p>
    <w:p w14:paraId="1FE9F9D2" w14:textId="77777777" w:rsidR="00812315" w:rsidRDefault="00812315" w:rsidP="00812315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Pr="00F67051">
        <w:rPr>
          <w:b/>
          <w:bCs/>
        </w:rPr>
        <w:tab/>
      </w:r>
      <w:r>
        <w:rPr>
          <w:rFonts w:hint="cs"/>
          <w:b/>
          <w:bCs/>
          <w:rtl/>
        </w:rPr>
        <w:t>אושר שקלים</w:t>
      </w:r>
    </w:p>
    <w:p w14:paraId="6E21B4FE" w14:textId="77777777" w:rsidR="00812315" w:rsidRPr="00CF1AA2" w:rsidRDefault="00812315" w:rsidP="00812315">
      <w:pPr>
        <w:pStyle w:val="David"/>
        <w:ind w:left="3544"/>
        <w:rPr>
          <w:b/>
          <w:bCs/>
          <w:rtl/>
        </w:rPr>
      </w:pPr>
      <w:bookmarkStart w:id="3" w:name="LGS_Join_List"/>
      <w:r>
        <w:rPr>
          <w:rtl/>
        </w:rPr>
        <w:t xml:space="preserve"> </w:t>
      </w:r>
      <w:bookmarkEnd w:id="3"/>
      <w:r w:rsidRPr="00CF1AA2">
        <w:rPr>
          <w:rFonts w:hint="cs"/>
          <w:rtl/>
        </w:rPr>
        <w:tab/>
      </w:r>
      <w:bookmarkStart w:id="4" w:name="LGS_PM_NamesJoin"/>
      <w:r>
        <w:rPr>
          <w:rFonts w:hint="cs"/>
          <w:rtl/>
        </w:rPr>
        <w:t xml:space="preserve"> </w:t>
      </w:r>
      <w:bookmarkEnd w:id="4"/>
    </w:p>
    <w:p w14:paraId="213B260E" w14:textId="77777777" w:rsidR="0009786F" w:rsidRDefault="00812315" w:rsidP="0009786F">
      <w:pPr>
        <w:pStyle w:val="David"/>
        <w:spacing w:before="0" w:line="240" w:lineRule="auto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4D9F6" wp14:editId="3FEA9E30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3ED9D" id="Freeform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Pr="00E06736">
        <w:rPr>
          <w:rFonts w:hint="cs"/>
          <w:rtl/>
        </w:rPr>
        <w:tab/>
      </w:r>
      <w:r>
        <w:tab/>
      </w:r>
      <w:r>
        <w:tab/>
      </w:r>
      <w:r w:rsidRPr="00E06736">
        <w:rPr>
          <w:rFonts w:hint="cs"/>
          <w:rtl/>
        </w:rPr>
        <w:tab/>
      </w:r>
      <w:r w:rsidRPr="00E06736">
        <w:tab/>
      </w:r>
    </w:p>
    <w:p w14:paraId="1E296DF6" w14:textId="752FBB74" w:rsidR="00812315" w:rsidRDefault="0009786F" w:rsidP="0009786F">
      <w:pPr>
        <w:pStyle w:val="David"/>
        <w:spacing w:before="0" w:line="240" w:lineRule="auto"/>
        <w:ind w:left="6424" w:firstLine="56"/>
        <w:rPr>
          <w:rtl/>
        </w:rPr>
      </w:pPr>
      <w:r>
        <w:rPr>
          <w:rFonts w:hint="cs"/>
          <w:rtl/>
        </w:rPr>
        <w:t>פ/4550/25</w:t>
      </w:r>
      <w:r w:rsidR="00812315" w:rsidRPr="00E06736">
        <w:rPr>
          <w:rFonts w:hint="cs"/>
          <w:rtl/>
        </w:rPr>
        <w:tab/>
      </w:r>
      <w:r w:rsidR="00812315" w:rsidRPr="00E06736">
        <w:rPr>
          <w:rFonts w:hint="cs"/>
          <w:rtl/>
        </w:rPr>
        <w:tab/>
      </w:r>
      <w:r w:rsidR="00812315" w:rsidRPr="00E06736">
        <w:rPr>
          <w:rFonts w:hint="cs"/>
          <w:rtl/>
        </w:rPr>
        <w:tab/>
      </w:r>
    </w:p>
    <w:p w14:paraId="5BC8C154" w14:textId="77777777" w:rsidR="00F81327" w:rsidRDefault="00F81327" w:rsidP="00F81327">
      <w:pPr>
        <w:pStyle w:val="HeadHatzaotHok"/>
        <w:spacing w:before="0"/>
        <w:rPr>
          <w:rtl/>
        </w:rPr>
      </w:pPr>
      <w:bookmarkStart w:id="5" w:name="LGS_Subject"/>
      <w:bookmarkStart w:id="6" w:name="_GoBack"/>
    </w:p>
    <w:p w14:paraId="4AE989C1" w14:textId="08000471" w:rsidR="007607E5" w:rsidRDefault="00812315" w:rsidP="00F81327">
      <w:pPr>
        <w:pStyle w:val="HeadHatzaotHok"/>
        <w:spacing w:before="0"/>
        <w:rPr>
          <w:rtl/>
        </w:rPr>
      </w:pPr>
      <w:r>
        <w:rPr>
          <w:rFonts w:hint="cs"/>
          <w:rtl/>
        </w:rPr>
        <w:t>הצעת חוק העונשין (תיקון – עונש מוות על-תנאי למי שהורשע במעשה טרור של רצח בנסיבות מחמירות), התשפ"ד–2024</w:t>
      </w:r>
      <w:bookmarkEnd w:id="5"/>
      <w:r w:rsidR="007607E5" w:rsidRPr="007607E5">
        <w:rPr>
          <w:rtl/>
        </w:rPr>
        <w:t xml:space="preserve"> </w:t>
      </w:r>
    </w:p>
    <w:p w14:paraId="3FAD96B9" w14:textId="77777777" w:rsidR="00F81327" w:rsidRDefault="00F81327" w:rsidP="00F81327">
      <w:pPr>
        <w:pStyle w:val="HeadHatzaotHok"/>
        <w:spacing w:before="0"/>
        <w:rPr>
          <w:rtl/>
        </w:rPr>
      </w:pPr>
    </w:p>
    <w:tbl>
      <w:tblPr>
        <w:bidiVisual/>
        <w:tblW w:w="965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1872"/>
        <w:gridCol w:w="624"/>
        <w:gridCol w:w="4650"/>
        <w:gridCol w:w="18"/>
      </w:tblGrid>
      <w:tr w:rsidR="007607E5" w:rsidRPr="00C34DE2" w14:paraId="7C703C80" w14:textId="77777777" w:rsidTr="00F95FB7">
        <w:trPr>
          <w:cantSplit/>
        </w:trPr>
        <w:tc>
          <w:tcPr>
            <w:tcW w:w="1870" w:type="dxa"/>
          </w:tcPr>
          <w:bookmarkEnd w:id="6"/>
          <w:p w14:paraId="7C568EB2" w14:textId="77777777" w:rsidR="007607E5" w:rsidRDefault="007607E5" w:rsidP="00F95FB7">
            <w:pPr>
              <w:pStyle w:val="TableSideHeading"/>
              <w:keepLines w:val="0"/>
              <w:tabs>
                <w:tab w:val="right" w:pos="3067"/>
              </w:tabs>
              <w:rPr>
                <w:rtl/>
              </w:rPr>
            </w:pPr>
            <w:r>
              <w:rPr>
                <w:rFonts w:hint="cs"/>
                <w:rtl/>
              </w:rPr>
              <w:t>הוספת סעיף 96א</w:t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24" w:type="dxa"/>
          </w:tcPr>
          <w:p w14:paraId="1FAD3DD9" w14:textId="77777777" w:rsidR="007607E5" w:rsidRDefault="007607E5" w:rsidP="00F95FB7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64" w:type="dxa"/>
            <w:gridSpan w:val="4"/>
          </w:tcPr>
          <w:p w14:paraId="542A78FC" w14:textId="4F0CE4D9" w:rsidR="007607E5" w:rsidRPr="00765485" w:rsidRDefault="007607E5" w:rsidP="00F95FB7">
            <w:pPr>
              <w:pStyle w:val="TableBlock"/>
            </w:pPr>
            <w:r>
              <w:rPr>
                <w:sz w:val="26"/>
                <w:rtl/>
              </w:rPr>
              <w:t>בחוק</w:t>
            </w:r>
            <w:r>
              <w:rPr>
                <w:rFonts w:hint="cs"/>
                <w:sz w:val="26"/>
                <w:rtl/>
              </w:rPr>
              <w:t xml:space="preserve"> </w:t>
            </w:r>
            <w:r w:rsidRPr="008066BE">
              <w:rPr>
                <w:sz w:val="26"/>
                <w:rtl/>
              </w:rPr>
              <w:t xml:space="preserve">העונשין, </w:t>
            </w:r>
            <w:proofErr w:type="spellStart"/>
            <w:r>
              <w:rPr>
                <w:rFonts w:hint="cs"/>
                <w:sz w:val="26"/>
                <w:rtl/>
              </w:rPr>
              <w:t>ה</w:t>
            </w:r>
            <w:r w:rsidRPr="008066BE">
              <w:rPr>
                <w:sz w:val="26"/>
                <w:rtl/>
              </w:rPr>
              <w:t>תשל"ז</w:t>
            </w:r>
            <w:proofErr w:type="spellEnd"/>
            <w:r>
              <w:rPr>
                <w:rFonts w:hint="cs"/>
                <w:sz w:val="26"/>
                <w:rtl/>
              </w:rPr>
              <w:t>–1977</w:t>
            </w:r>
            <w:r>
              <w:rPr>
                <w:rStyle w:val="a5"/>
                <w:sz w:val="26"/>
                <w:rtl/>
              </w:rPr>
              <w:footnoteReference w:id="2"/>
            </w:r>
            <w:r>
              <w:rPr>
                <w:sz w:val="26"/>
                <w:rtl/>
              </w:rPr>
              <w:t xml:space="preserve">, </w:t>
            </w:r>
            <w:r>
              <w:rPr>
                <w:rFonts w:hint="cs"/>
                <w:sz w:val="26"/>
                <w:rtl/>
              </w:rPr>
              <w:t>אחרי סעיף 96 יבוא:</w:t>
            </w:r>
            <w:r>
              <w:rPr>
                <w:sz w:val="26"/>
                <w:rtl/>
              </w:rPr>
              <w:t xml:space="preserve"> </w:t>
            </w:r>
            <w:r w:rsidRPr="00765485">
              <w:t xml:space="preserve"> </w:t>
            </w:r>
          </w:p>
        </w:tc>
      </w:tr>
      <w:tr w:rsidR="007607E5" w14:paraId="55382528" w14:textId="77777777" w:rsidTr="00F95FB7">
        <w:trPr>
          <w:gridAfter w:val="1"/>
          <w:wAfter w:w="18" w:type="dxa"/>
          <w:cantSplit/>
          <w:trHeight w:val="60"/>
        </w:trPr>
        <w:tc>
          <w:tcPr>
            <w:tcW w:w="1870" w:type="dxa"/>
          </w:tcPr>
          <w:p w14:paraId="78CDFC59" w14:textId="77777777" w:rsidR="007607E5" w:rsidRDefault="007607E5" w:rsidP="00F95FB7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1156DA4C" w14:textId="77777777" w:rsidR="007607E5" w:rsidRDefault="007607E5" w:rsidP="00F95FB7">
            <w:pPr>
              <w:pStyle w:val="TableText"/>
              <w:keepLines w:val="0"/>
            </w:pPr>
          </w:p>
        </w:tc>
        <w:tc>
          <w:tcPr>
            <w:tcW w:w="1872" w:type="dxa"/>
          </w:tcPr>
          <w:p w14:paraId="4C0141BE" w14:textId="0E5C2F4B" w:rsidR="007607E5" w:rsidRDefault="00F81327" w:rsidP="00F95FB7">
            <w:pPr>
              <w:pStyle w:val="TableInnerSideHeading"/>
            </w:pPr>
            <w:r>
              <w:rPr>
                <w:rFonts w:hint="cs"/>
                <w:rtl/>
              </w:rPr>
              <w:t>"עונש מוות על-</w:t>
            </w:r>
            <w:r w:rsidR="007607E5">
              <w:rPr>
                <w:rFonts w:hint="cs"/>
                <w:rtl/>
              </w:rPr>
              <w:t>תנאי</w:t>
            </w:r>
          </w:p>
        </w:tc>
        <w:tc>
          <w:tcPr>
            <w:tcW w:w="624" w:type="dxa"/>
          </w:tcPr>
          <w:p w14:paraId="6743EF56" w14:textId="77777777" w:rsidR="007607E5" w:rsidRDefault="007607E5" w:rsidP="00F95FB7">
            <w:pPr>
              <w:pStyle w:val="TableText"/>
            </w:pPr>
            <w:r>
              <w:rPr>
                <w:rFonts w:hint="cs"/>
                <w:rtl/>
              </w:rPr>
              <w:t>96א.</w:t>
            </w:r>
          </w:p>
        </w:tc>
        <w:tc>
          <w:tcPr>
            <w:tcW w:w="4650" w:type="dxa"/>
          </w:tcPr>
          <w:p w14:paraId="3441A3DD" w14:textId="624A9E04" w:rsidR="007607E5" w:rsidRDefault="007607E5" w:rsidP="00F95FB7">
            <w:pPr>
              <w:pStyle w:val="TableBlock"/>
            </w:pPr>
            <w:r>
              <w:rPr>
                <w:rFonts w:hint="cs"/>
                <w:rtl/>
              </w:rPr>
              <w:t>בית המשפט רשאי להורות בגזר הדין של מי שהורשע בעבירה לפי סעיף 301א(א)(10), כי לצד עונ</w:t>
            </w:r>
            <w:r w:rsidR="00F81327">
              <w:rPr>
                <w:rFonts w:hint="cs"/>
                <w:rtl/>
              </w:rPr>
              <w:t>ש המאסר ייגזר עליו עונש מוות על-</w:t>
            </w:r>
            <w:r>
              <w:rPr>
                <w:rFonts w:hint="cs"/>
                <w:rtl/>
              </w:rPr>
              <w:t xml:space="preserve">תנאי, אשר יופעל אם התבקש שחרור מוקדם שלו על ידי ארגון טרור מוכרז כהגדרתו בסעיף 2(א) לחוק המאבק בטרור, </w:t>
            </w:r>
            <w:proofErr w:type="spellStart"/>
            <w:r>
              <w:rPr>
                <w:rFonts w:hint="cs"/>
                <w:rtl/>
              </w:rPr>
              <w:t>התשע"ו</w:t>
            </w:r>
            <w:proofErr w:type="spellEnd"/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2016</w:t>
            </w:r>
            <w:r>
              <w:rPr>
                <w:rStyle w:val="a5"/>
                <w:rtl/>
              </w:rPr>
              <w:footnoteReference w:id="3"/>
            </w:r>
            <w:r w:rsidR="00F81327">
              <w:rPr>
                <w:rFonts w:hint="cs"/>
                <w:rtl/>
              </w:rPr>
              <w:t>,</w:t>
            </w:r>
            <w:r w:rsidR="0009786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טרם ריצוי תקופת המאסר."</w:t>
            </w:r>
          </w:p>
        </w:tc>
      </w:tr>
    </w:tbl>
    <w:p w14:paraId="65F6617F" w14:textId="77777777" w:rsidR="007607E5" w:rsidRDefault="007607E5" w:rsidP="007607E5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807298B" w14:textId="77777777" w:rsidR="007607E5" w:rsidRDefault="007607E5" w:rsidP="0009786F">
      <w:pPr>
        <w:pStyle w:val="Hesber"/>
        <w:spacing w:line="276" w:lineRule="auto"/>
        <w:rPr>
          <w:rtl/>
        </w:rPr>
      </w:pPr>
      <w:r w:rsidRPr="00005069">
        <w:rPr>
          <w:rFonts w:hint="cs"/>
          <w:rtl/>
        </w:rPr>
        <w:t xml:space="preserve">לאורך השנים אנו עדים לאסטרטגיה של </w:t>
      </w:r>
      <w:r>
        <w:rPr>
          <w:rFonts w:hint="cs"/>
          <w:rtl/>
        </w:rPr>
        <w:t>אויבינו</w:t>
      </w:r>
      <w:r w:rsidRPr="00005069">
        <w:rPr>
          <w:rFonts w:hint="cs"/>
          <w:rtl/>
        </w:rPr>
        <w:t xml:space="preserve"> שנועדה לפגוע בריבונות המדינה ובביטחון אזרחיה באמצעות חטיפה של אזרחים וחיילים. </w:t>
      </w:r>
      <w:r>
        <w:rPr>
          <w:rFonts w:hint="cs"/>
          <w:rtl/>
        </w:rPr>
        <w:t>אסטרטגיה</w:t>
      </w:r>
      <w:r w:rsidRPr="00005069">
        <w:rPr>
          <w:rFonts w:hint="cs"/>
          <w:rtl/>
        </w:rPr>
        <w:t xml:space="preserve"> זו נועדה לפגוע ב</w:t>
      </w:r>
      <w:r>
        <w:rPr>
          <w:rFonts w:hint="cs"/>
          <w:rtl/>
        </w:rPr>
        <w:t>חוסן ה</w:t>
      </w:r>
      <w:r w:rsidRPr="00005069">
        <w:rPr>
          <w:rFonts w:hint="cs"/>
          <w:rtl/>
        </w:rPr>
        <w:t>חברה הישראלית, בריבונות</w:t>
      </w:r>
      <w:r>
        <w:rPr>
          <w:rFonts w:hint="cs"/>
          <w:rtl/>
        </w:rPr>
        <w:t>ה</w:t>
      </w:r>
      <w:r w:rsidRPr="00005069">
        <w:rPr>
          <w:rFonts w:hint="cs"/>
          <w:rtl/>
        </w:rPr>
        <w:t xml:space="preserve"> ובביטחו</w:t>
      </w:r>
      <w:r>
        <w:rPr>
          <w:rFonts w:hint="cs"/>
          <w:rtl/>
        </w:rPr>
        <w:t>ן המדינה. מעבר לכך, אסטרטגיה זו</w:t>
      </w:r>
      <w:r w:rsidRPr="00005069">
        <w:rPr>
          <w:rFonts w:hint="cs"/>
          <w:rtl/>
        </w:rPr>
        <w:t xml:space="preserve"> </w:t>
      </w:r>
      <w:r>
        <w:rPr>
          <w:rFonts w:hint="cs"/>
          <w:rtl/>
        </w:rPr>
        <w:t>מאפשרת לאויבנו</w:t>
      </w:r>
      <w:r w:rsidRPr="00005069">
        <w:rPr>
          <w:rFonts w:hint="cs"/>
          <w:rtl/>
        </w:rPr>
        <w:t xml:space="preserve"> </w:t>
      </w:r>
      <w:r>
        <w:rPr>
          <w:rFonts w:hint="cs"/>
          <w:rtl/>
        </w:rPr>
        <w:t xml:space="preserve">לכפות על </w:t>
      </w:r>
      <w:r w:rsidRPr="00005069">
        <w:rPr>
          <w:rFonts w:hint="cs"/>
          <w:rtl/>
        </w:rPr>
        <w:t xml:space="preserve">מדינת ישראל </w:t>
      </w:r>
      <w:r>
        <w:rPr>
          <w:rFonts w:hint="cs"/>
          <w:rtl/>
        </w:rPr>
        <w:t xml:space="preserve">משא ומתן </w:t>
      </w:r>
      <w:r w:rsidRPr="00005069">
        <w:rPr>
          <w:rFonts w:hint="cs"/>
          <w:rtl/>
        </w:rPr>
        <w:t>לשחרור אסירים ומרצחים בתמור</w:t>
      </w:r>
      <w:r>
        <w:rPr>
          <w:rFonts w:hint="cs"/>
          <w:rtl/>
        </w:rPr>
        <w:t>ה</w:t>
      </w:r>
      <w:r w:rsidRPr="00005069">
        <w:rPr>
          <w:rFonts w:hint="cs"/>
          <w:rtl/>
        </w:rPr>
        <w:t xml:space="preserve"> </w:t>
      </w:r>
      <w:r>
        <w:rPr>
          <w:rFonts w:hint="cs"/>
          <w:rtl/>
        </w:rPr>
        <w:t xml:space="preserve">לשחרור </w:t>
      </w:r>
      <w:r w:rsidRPr="00005069">
        <w:rPr>
          <w:rFonts w:hint="cs"/>
          <w:rtl/>
        </w:rPr>
        <w:t xml:space="preserve">החטופים. </w:t>
      </w:r>
      <w:r>
        <w:rPr>
          <w:rFonts w:hint="cs"/>
          <w:rtl/>
        </w:rPr>
        <w:t>מעשי</w:t>
      </w:r>
      <w:r w:rsidRPr="00005069">
        <w:rPr>
          <w:rFonts w:hint="cs"/>
          <w:rtl/>
        </w:rPr>
        <w:t xml:space="preserve"> החטיפה של אזרחים וחיילים וההשלכות הקשות על בריא</w:t>
      </w:r>
      <w:r>
        <w:rPr>
          <w:rFonts w:hint="cs"/>
          <w:rtl/>
        </w:rPr>
        <w:t>ותם ומצבם הם בניגוד מוחלט לדין הבינ</w:t>
      </w:r>
      <w:r w:rsidRPr="00005069">
        <w:rPr>
          <w:rFonts w:hint="cs"/>
          <w:rtl/>
        </w:rPr>
        <w:t>לאומי ולאמנת ז'נבה</w:t>
      </w:r>
      <w:r>
        <w:rPr>
          <w:rFonts w:hint="cs"/>
          <w:rtl/>
        </w:rPr>
        <w:t xml:space="preserve">, ועולים </w:t>
      </w:r>
      <w:r w:rsidRPr="00005069">
        <w:rPr>
          <w:rFonts w:hint="cs"/>
          <w:rtl/>
        </w:rPr>
        <w:t>אף כדי פשע</w:t>
      </w:r>
      <w:r>
        <w:rPr>
          <w:rFonts w:hint="cs"/>
          <w:rtl/>
        </w:rPr>
        <w:t>י</w:t>
      </w:r>
      <w:r w:rsidRPr="00005069">
        <w:rPr>
          <w:rFonts w:hint="cs"/>
          <w:rtl/>
        </w:rPr>
        <w:t xml:space="preserve"> מלחמה ופשע</w:t>
      </w:r>
      <w:r>
        <w:rPr>
          <w:rFonts w:hint="cs"/>
          <w:rtl/>
        </w:rPr>
        <w:t>ים</w:t>
      </w:r>
      <w:r w:rsidRPr="00005069">
        <w:rPr>
          <w:rFonts w:hint="cs"/>
          <w:rtl/>
        </w:rPr>
        <w:t xml:space="preserve"> נגד האנושות. </w:t>
      </w:r>
    </w:p>
    <w:p w14:paraId="05D17C43" w14:textId="384ED5A6" w:rsidR="007607E5" w:rsidRPr="00005069" w:rsidRDefault="007607E5" w:rsidP="0009786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הצעת חוק זו </w:t>
      </w:r>
      <w:r w:rsidR="0009786F">
        <w:rPr>
          <w:rFonts w:hint="cs"/>
          <w:rtl/>
        </w:rPr>
        <w:t>נועדה</w:t>
      </w:r>
      <w:r>
        <w:rPr>
          <w:rFonts w:hint="cs"/>
          <w:rtl/>
        </w:rPr>
        <w:t xml:space="preserve"> לייצר כלי הרתעתי מפני אותם מעשי חטיפה של אזרחים וחיילים.</w:t>
      </w:r>
    </w:p>
    <w:p w14:paraId="7F6961CB" w14:textId="544CB2C1" w:rsidR="00E13C27" w:rsidRDefault="007607E5" w:rsidP="0009786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לפיכך מוצע כי בית המשפט יוכל להטיל על מי שהורשע בעבירה של רצח בנסיבות מחמירות של ביצוע מעשה טרור, </w:t>
      </w:r>
      <w:r w:rsidR="00F81327">
        <w:rPr>
          <w:rFonts w:hint="cs"/>
          <w:rtl/>
        </w:rPr>
        <w:t>בנוסף לעונש המאסר, עונש מוות על-</w:t>
      </w:r>
      <w:r>
        <w:rPr>
          <w:rFonts w:hint="cs"/>
          <w:rtl/>
        </w:rPr>
        <w:t>תנאי, כאשר עונש המוות ייכנס לתוקף במידה וארגון טרור מוכרז יבקש את שחרורו קודם למועד השחרור שנקבע לו, למשל במסגרת משא ומתן לשחרור חטופים.</w:t>
      </w:r>
    </w:p>
    <w:p w14:paraId="074022EC" w14:textId="77777777" w:rsidR="009742C9" w:rsidRDefault="0009786F" w:rsidP="0009786F">
      <w:pPr>
        <w:spacing w:before="0" w:line="240" w:lineRule="auto"/>
        <w:jc w:val="left"/>
      </w:pPr>
      <w:bookmarkStart w:id="7" w:name="selectedDocDateB"/>
      <w:bookmarkEnd w:id="7"/>
      <w:r>
        <w:rPr>
          <w:rFonts w:ascii="David" w:eastAsia="David" w:hAnsi="David" w:cs="David" w:hint="cs"/>
          <w:sz w:val="26"/>
          <w:szCs w:val="26"/>
          <w:rtl/>
        </w:rPr>
        <w:t>--------------------------------</w:t>
      </w:r>
    </w:p>
    <w:p w14:paraId="42886704" w14:textId="77777777" w:rsidR="009742C9" w:rsidRDefault="0009786F" w:rsidP="0009786F">
      <w:pPr>
        <w:spacing w:before="0" w:line="24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הוגשה ליו"ר הכנסת והסגנים</w:t>
      </w:r>
    </w:p>
    <w:p w14:paraId="05E4CF89" w14:textId="77777777" w:rsidR="009742C9" w:rsidRDefault="0009786F" w:rsidP="0009786F">
      <w:pPr>
        <w:spacing w:before="0" w:line="24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והונחה על שולחן הכנסת ביום</w:t>
      </w:r>
    </w:p>
    <w:p w14:paraId="516E159E" w14:textId="134D9EB2" w:rsidR="009742C9" w:rsidRDefault="0009786F" w:rsidP="0009786F">
      <w:pPr>
        <w:spacing w:before="0" w:line="24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 xml:space="preserve">כ"ד באדר ב' התשפ"ד (03.04.2024) </w:t>
      </w:r>
    </w:p>
    <w:sectPr w:rsidR="009742C9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09786F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2E71CDD4" w14:textId="77777777" w:rsidR="007607E5" w:rsidRDefault="007607E5" w:rsidP="007607E5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התשל"ז</w:t>
      </w:r>
      <w:proofErr w:type="spellEnd"/>
      <w:r>
        <w:rPr>
          <w:rFonts w:hint="cs"/>
          <w:rtl/>
        </w:rPr>
        <w:t>, עמ' 226.</w:t>
      </w:r>
    </w:p>
  </w:footnote>
  <w:footnote w:id="3">
    <w:p w14:paraId="5EF21442" w14:textId="77777777" w:rsidR="007607E5" w:rsidRDefault="007607E5" w:rsidP="007607E5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התשע"ו</w:t>
      </w:r>
      <w:proofErr w:type="spellEnd"/>
      <w:r>
        <w:rPr>
          <w:rFonts w:hint="cs"/>
          <w:rtl/>
        </w:rPr>
        <w:t>, עמ' 898.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B0092"/>
    <w:multiLevelType w:val="hybridMultilevel"/>
    <w:tmpl w:val="996893B0"/>
    <w:lvl w:ilvl="0" w:tplc="15FEFEE8">
      <w:start w:val="97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05069"/>
    <w:rsid w:val="00015B27"/>
    <w:rsid w:val="00063A3E"/>
    <w:rsid w:val="00072CAC"/>
    <w:rsid w:val="0007681A"/>
    <w:rsid w:val="0009786F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E34ED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A2DFA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07E5"/>
    <w:rsid w:val="00763CAA"/>
    <w:rsid w:val="00765F66"/>
    <w:rsid w:val="0078664F"/>
    <w:rsid w:val="007A27CE"/>
    <w:rsid w:val="007A332C"/>
    <w:rsid w:val="007C3FA6"/>
    <w:rsid w:val="007D585A"/>
    <w:rsid w:val="007D5A12"/>
    <w:rsid w:val="007E59F9"/>
    <w:rsid w:val="00810BCD"/>
    <w:rsid w:val="00812315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46B1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742C9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67EF6"/>
    <w:rsid w:val="00A82CB7"/>
    <w:rsid w:val="00A942C1"/>
    <w:rsid w:val="00AA2F03"/>
    <w:rsid w:val="00AC36F7"/>
    <w:rsid w:val="00AC63A4"/>
    <w:rsid w:val="00AD239E"/>
    <w:rsid w:val="00B03FB4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D5363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00420"/>
    <w:rsid w:val="00F628D6"/>
    <w:rsid w:val="00F67051"/>
    <w:rsid w:val="00F81327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5BA27678-F822-4666-8993-559E777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4E21C28B32ECF49ADBB6A5BBBCCB3CD" ma:contentTypeVersion="" ma:contentTypeDescription="צור מסמך חדש." ma:contentTypeScope="" ma:versionID="f81d89568b860eeaa06327f0f2d2f14b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a6db6e33f8462d87724f237088727803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90d5b49-c690-4c6f-bbb9-1e50dab33ee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2681-C2C0-4FC8-9A6D-28FF48356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C9EA4-0BFC-4E94-B761-0E4EFB9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14</cp:revision>
  <cp:lastPrinted>2024-04-02T16:46:00Z</cp:lastPrinted>
  <dcterms:created xsi:type="dcterms:W3CDTF">2015-04-20T09:58:00Z</dcterms:created>
  <dcterms:modified xsi:type="dcterms:W3CDTF">2024-04-02T16:46:00Z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0x01010054E21C28B32ECF49ADBB6A5BBBCCB3CD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2214514</vt:r8>
  </property>
</Properties>
</file>