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2216198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וחמש</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 xml:space="preserve">שמחה </w:t>
      </w:r>
      <w:proofErr w:type="spellStart"/>
      <w:r>
        <w:rPr>
          <w:rFonts w:hint="cs"/>
          <w:b/>
          <w:bCs/>
          <w:rtl/>
        </w:rPr>
        <w:t>רוטמן</w:t>
      </w:r>
      <w:bookmarkEnd w:id="3"/>
      <w:proofErr w:type="spellEnd"/>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פ/4558/25</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66CF2948" w:rsidR="00E13C27" w:rsidRPr="00F67051" w:rsidRDefault="00A443CF" w:rsidP="0021633A">
      <w:pPr>
        <w:pStyle w:val="HeadHatzaotHok"/>
        <w:rPr>
          <w:rtl/>
        </w:rPr>
      </w:pPr>
      <w:bookmarkStart w:id="7" w:name="LGS_Subject"/>
      <w:r>
        <w:rPr>
          <w:rFonts w:hint="cs"/>
          <w:rtl/>
        </w:rPr>
        <w:t xml:space="preserve">הצעת חוק סמכויות שעת חירום (מעצרים) (תיקון – מעצרים </w:t>
      </w:r>
      <w:proofErr w:type="spellStart"/>
      <w:r>
        <w:rPr>
          <w:rFonts w:hint="cs"/>
          <w:rtl/>
        </w:rPr>
        <w:t>מינהליים</w:t>
      </w:r>
      <w:proofErr w:type="spellEnd"/>
      <w:r>
        <w:rPr>
          <w:rFonts w:hint="cs"/>
          <w:rtl/>
        </w:rPr>
        <w:t xml:space="preserve"> בגין חברות בארגון טרור), </w:t>
      </w:r>
      <w:proofErr w:type="spellStart"/>
      <w:r>
        <w:rPr>
          <w:rFonts w:hint="cs"/>
          <w:rtl/>
        </w:rPr>
        <w:t>התשפ"ד</w:t>
      </w:r>
      <w:proofErr w:type="spellEnd"/>
      <w:r>
        <w:rPr>
          <w:rFonts w:hint="cs"/>
          <w:rtl/>
        </w:rPr>
        <w:t>–2024</w:t>
      </w:r>
      <w:bookmarkEnd w:id="7"/>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624"/>
        <w:gridCol w:w="624"/>
        <w:gridCol w:w="4651"/>
      </w:tblGrid>
      <w:tr w:rsidR="002F1D80" w14:paraId="035EEF3D" w14:textId="77777777" w:rsidTr="009A2B26">
        <w:trPr>
          <w:cantSplit/>
          <w:trHeight w:val="60"/>
        </w:trPr>
        <w:tc>
          <w:tcPr>
            <w:tcW w:w="1870" w:type="dxa"/>
          </w:tcPr>
          <w:p w14:paraId="3863FF98" w14:textId="6B6F5289" w:rsidR="002F1D80" w:rsidRDefault="00FC3EB0" w:rsidP="002C3041">
            <w:pPr>
              <w:pStyle w:val="TableSideHeading"/>
              <w:keepLines w:val="0"/>
            </w:pPr>
            <w:r>
              <w:rPr>
                <w:rFonts w:hint="cs"/>
                <w:rtl/>
              </w:rPr>
              <w:t>הוספת סעיפים 11א ו-11ב</w:t>
            </w:r>
          </w:p>
        </w:tc>
        <w:tc>
          <w:tcPr>
            <w:tcW w:w="624" w:type="dxa"/>
          </w:tcPr>
          <w:p w14:paraId="6F513EF6" w14:textId="5CCFF7FE" w:rsidR="002F1D80" w:rsidRDefault="007639AF" w:rsidP="002C3041">
            <w:pPr>
              <w:pStyle w:val="TableText"/>
              <w:keepLines w:val="0"/>
            </w:pPr>
            <w:r>
              <w:rPr>
                <w:rFonts w:hint="cs"/>
                <w:rtl/>
              </w:rPr>
              <w:t>1.</w:t>
            </w:r>
          </w:p>
        </w:tc>
        <w:tc>
          <w:tcPr>
            <w:tcW w:w="7147" w:type="dxa"/>
            <w:gridSpan w:val="5"/>
          </w:tcPr>
          <w:p w14:paraId="1AE94DEB" w14:textId="0C95D89E" w:rsidR="002F1D80" w:rsidRPr="00C34DE2" w:rsidRDefault="007639AF" w:rsidP="007639AF">
            <w:pPr>
              <w:pStyle w:val="TableHead"/>
              <w:keepLines w:val="0"/>
              <w:jc w:val="both"/>
            </w:pPr>
            <w:r w:rsidRPr="009B45F3">
              <w:rPr>
                <w:rFonts w:hint="cs"/>
                <w:b w:val="0"/>
                <w:bCs w:val="0"/>
                <w:sz w:val="26"/>
                <w:rtl/>
              </w:rPr>
              <w:t xml:space="preserve">בחוק סמכויות שעת-חירום (מעצרים), </w:t>
            </w:r>
            <w:proofErr w:type="spellStart"/>
            <w:r w:rsidRPr="009B45F3">
              <w:rPr>
                <w:rFonts w:hint="cs"/>
                <w:b w:val="0"/>
                <w:bCs w:val="0"/>
                <w:sz w:val="26"/>
                <w:rtl/>
              </w:rPr>
              <w:t>התשל"ט</w:t>
            </w:r>
            <w:proofErr w:type="spellEnd"/>
            <w:r>
              <w:rPr>
                <w:rFonts w:hint="eastAsia"/>
                <w:b w:val="0"/>
                <w:bCs w:val="0"/>
                <w:sz w:val="26"/>
                <w:rtl/>
              </w:rPr>
              <w:t>–</w:t>
            </w:r>
            <w:r w:rsidRPr="009B45F3">
              <w:rPr>
                <w:rFonts w:hint="cs"/>
                <w:b w:val="0"/>
                <w:bCs w:val="0"/>
                <w:sz w:val="26"/>
                <w:rtl/>
              </w:rPr>
              <w:t>1979</w:t>
            </w:r>
            <w:r w:rsidRPr="00FA2C44">
              <w:rPr>
                <w:rStyle w:val="a6"/>
                <w:b w:val="0"/>
                <w:bCs w:val="0"/>
                <w:szCs w:val="20"/>
                <w:vertAlign w:val="baseline"/>
                <w:rtl/>
              </w:rPr>
              <w:footnoteReference w:id="2"/>
            </w:r>
            <w:r>
              <w:rPr>
                <w:rFonts w:hint="cs"/>
                <w:b w:val="0"/>
                <w:bCs w:val="0"/>
                <w:sz w:val="26"/>
                <w:rtl/>
              </w:rPr>
              <w:t xml:space="preserve"> (להלן </w:t>
            </w:r>
            <w:r>
              <w:rPr>
                <w:b w:val="0"/>
                <w:bCs w:val="0"/>
                <w:sz w:val="26"/>
                <w:rtl/>
              </w:rPr>
              <w:t>–</w:t>
            </w:r>
            <w:r>
              <w:rPr>
                <w:rFonts w:hint="cs"/>
                <w:b w:val="0"/>
                <w:bCs w:val="0"/>
                <w:sz w:val="26"/>
                <w:rtl/>
              </w:rPr>
              <w:t xml:space="preserve"> החוק העיקרי)</w:t>
            </w:r>
            <w:r w:rsidRPr="009B45F3">
              <w:rPr>
                <w:rFonts w:hint="cs"/>
                <w:b w:val="0"/>
                <w:bCs w:val="0"/>
                <w:sz w:val="26"/>
                <w:rtl/>
              </w:rPr>
              <w:t>,</w:t>
            </w:r>
            <w:r w:rsidRPr="009B45F3">
              <w:rPr>
                <w:rFonts w:hint="cs"/>
                <w:sz w:val="26"/>
                <w:rtl/>
              </w:rPr>
              <w:t xml:space="preserve"> </w:t>
            </w:r>
            <w:r>
              <w:rPr>
                <w:rFonts w:hint="cs"/>
                <w:b w:val="0"/>
                <w:bCs w:val="0"/>
                <w:sz w:val="26"/>
                <w:rtl/>
              </w:rPr>
              <w:t>אחר</w:t>
            </w:r>
            <w:r w:rsidR="009A2B26">
              <w:rPr>
                <w:rFonts w:hint="cs"/>
                <w:b w:val="0"/>
                <w:bCs w:val="0"/>
                <w:sz w:val="26"/>
                <w:rtl/>
              </w:rPr>
              <w:t>י</w:t>
            </w:r>
            <w:r>
              <w:rPr>
                <w:rFonts w:hint="cs"/>
                <w:b w:val="0"/>
                <w:bCs w:val="0"/>
                <w:sz w:val="26"/>
                <w:rtl/>
              </w:rPr>
              <w:t xml:space="preserve"> סעיף 11 יבוא:</w:t>
            </w:r>
          </w:p>
        </w:tc>
      </w:tr>
      <w:tr w:rsidR="009A2B26" w14:paraId="0DA034A3" w14:textId="77777777" w:rsidTr="009A2B26">
        <w:trPr>
          <w:cantSplit/>
          <w:trHeight w:val="60"/>
        </w:trPr>
        <w:tc>
          <w:tcPr>
            <w:tcW w:w="1870" w:type="dxa"/>
          </w:tcPr>
          <w:p w14:paraId="5E7D165C" w14:textId="77777777" w:rsidR="009A2B26" w:rsidRDefault="009A2B26">
            <w:pPr>
              <w:pStyle w:val="TableSideHeading"/>
              <w:keepLines w:val="0"/>
            </w:pPr>
          </w:p>
        </w:tc>
        <w:tc>
          <w:tcPr>
            <w:tcW w:w="624" w:type="dxa"/>
          </w:tcPr>
          <w:p w14:paraId="7FCF9E7C" w14:textId="77777777" w:rsidR="009A2B26" w:rsidRDefault="009A2B26">
            <w:pPr>
              <w:pStyle w:val="TableText"/>
              <w:keepLines w:val="0"/>
            </w:pPr>
          </w:p>
        </w:tc>
        <w:tc>
          <w:tcPr>
            <w:tcW w:w="1872" w:type="dxa"/>
            <w:gridSpan w:val="3"/>
          </w:tcPr>
          <w:p w14:paraId="5AFFFDCC" w14:textId="35260FA4" w:rsidR="009A2B26" w:rsidRDefault="00FC3EB0">
            <w:pPr>
              <w:pStyle w:val="TableInnerSideHeading"/>
            </w:pPr>
            <w:r>
              <w:rPr>
                <w:rFonts w:hint="cs"/>
                <w:sz w:val="26"/>
                <w:rtl/>
              </w:rPr>
              <w:t>הגבלת תחולה על אזרחי מדינת ישראל</w:t>
            </w:r>
          </w:p>
        </w:tc>
        <w:tc>
          <w:tcPr>
            <w:tcW w:w="624" w:type="dxa"/>
          </w:tcPr>
          <w:p w14:paraId="29B8539A" w14:textId="345E59A8" w:rsidR="009A2B26" w:rsidRDefault="009A2B26">
            <w:pPr>
              <w:pStyle w:val="TableText"/>
            </w:pPr>
            <w:r>
              <w:rPr>
                <w:rFonts w:hint="cs"/>
                <w:rtl/>
              </w:rPr>
              <w:t>11א.</w:t>
            </w:r>
          </w:p>
        </w:tc>
        <w:tc>
          <w:tcPr>
            <w:tcW w:w="4651" w:type="dxa"/>
          </w:tcPr>
          <w:p w14:paraId="1F6C0248" w14:textId="06624AF5" w:rsidR="009A2B26" w:rsidRDefault="002B00AB" w:rsidP="0035577D">
            <w:pPr>
              <w:pStyle w:val="TableBlock"/>
            </w:pPr>
            <w:r>
              <w:rPr>
                <w:rFonts w:hint="cs"/>
                <w:sz w:val="26"/>
                <w:rtl/>
              </w:rPr>
              <w:t>אין</w:t>
            </w:r>
            <w:r w:rsidR="009A2B26">
              <w:rPr>
                <w:rFonts w:hint="cs"/>
                <w:sz w:val="26"/>
                <w:rtl/>
              </w:rPr>
              <w:t xml:space="preserve"> לעשות שימוש בסמכויות על פי חוק זה</w:t>
            </w:r>
            <w:r>
              <w:rPr>
                <w:rFonts w:hint="cs"/>
                <w:sz w:val="26"/>
                <w:rtl/>
              </w:rPr>
              <w:t>, או לפי</w:t>
            </w:r>
            <w:r w:rsidR="009A2B26">
              <w:rPr>
                <w:rFonts w:hint="cs"/>
                <w:sz w:val="26"/>
                <w:rtl/>
              </w:rPr>
              <w:t xml:space="preserve"> חלק י' בתקנות ההגנה (שעת חירום), 1945</w:t>
            </w:r>
            <w:r w:rsidR="009A2B26">
              <w:rPr>
                <w:rStyle w:val="a6"/>
                <w:sz w:val="26"/>
                <w:rtl/>
              </w:rPr>
              <w:footnoteReference w:id="3"/>
            </w:r>
            <w:r w:rsidR="009A2B26">
              <w:rPr>
                <w:rFonts w:hint="cs"/>
                <w:sz w:val="26"/>
                <w:rtl/>
              </w:rPr>
              <w:t xml:space="preserve"> כנגד אזרח של מדינת ישראל.</w:t>
            </w:r>
          </w:p>
        </w:tc>
      </w:tr>
      <w:tr w:rsidR="00A714B4" w14:paraId="7A0A62C9" w14:textId="77777777" w:rsidTr="009334B5">
        <w:trPr>
          <w:cantSplit/>
          <w:trHeight w:val="60"/>
        </w:trPr>
        <w:tc>
          <w:tcPr>
            <w:tcW w:w="1870" w:type="dxa"/>
          </w:tcPr>
          <w:p w14:paraId="558C8965" w14:textId="77777777" w:rsidR="00A714B4" w:rsidRDefault="00A714B4">
            <w:pPr>
              <w:pStyle w:val="TableSideHeading"/>
            </w:pPr>
          </w:p>
        </w:tc>
        <w:tc>
          <w:tcPr>
            <w:tcW w:w="624" w:type="dxa"/>
          </w:tcPr>
          <w:p w14:paraId="0B7FBBD7" w14:textId="77777777" w:rsidR="00A714B4" w:rsidRDefault="00A714B4">
            <w:pPr>
              <w:pStyle w:val="TableText"/>
            </w:pPr>
          </w:p>
        </w:tc>
        <w:tc>
          <w:tcPr>
            <w:tcW w:w="1872" w:type="dxa"/>
            <w:gridSpan w:val="3"/>
          </w:tcPr>
          <w:p w14:paraId="474E73D9" w14:textId="2C3C0DB1" w:rsidR="00A714B4" w:rsidRDefault="00A714B4">
            <w:pPr>
              <w:pStyle w:val="TableText"/>
            </w:pPr>
            <w:r>
              <w:rPr>
                <w:rFonts w:hint="cs"/>
                <w:rtl/>
              </w:rPr>
              <w:t>הוספת ארגון טרור על ידי שר הביטחון</w:t>
            </w:r>
          </w:p>
        </w:tc>
        <w:tc>
          <w:tcPr>
            <w:tcW w:w="624" w:type="dxa"/>
          </w:tcPr>
          <w:p w14:paraId="27BF16B0" w14:textId="7E9EC6F0" w:rsidR="00A714B4" w:rsidRDefault="00A714B4">
            <w:pPr>
              <w:pStyle w:val="TableText"/>
            </w:pPr>
            <w:r>
              <w:rPr>
                <w:rFonts w:hint="cs"/>
                <w:rtl/>
              </w:rPr>
              <w:t>11ב.</w:t>
            </w:r>
          </w:p>
        </w:tc>
        <w:tc>
          <w:tcPr>
            <w:tcW w:w="4651" w:type="dxa"/>
          </w:tcPr>
          <w:p w14:paraId="68D62305" w14:textId="5ECFFAC6" w:rsidR="00A714B4" w:rsidRDefault="00A714B4" w:rsidP="0035577D">
            <w:pPr>
              <w:pStyle w:val="TableBlock"/>
            </w:pPr>
            <w:r>
              <w:rPr>
                <w:rFonts w:hint="cs"/>
                <w:rtl/>
              </w:rPr>
              <w:t>(א)</w:t>
            </w:r>
            <w:r>
              <w:rPr>
                <w:rtl/>
              </w:rPr>
              <w:tab/>
            </w:r>
            <w:r>
              <w:rPr>
                <w:rFonts w:hint="cs"/>
                <w:rtl/>
              </w:rPr>
              <w:t xml:space="preserve">על אף האמור בסעיף 11א, </w:t>
            </w:r>
            <w:r>
              <w:rPr>
                <w:rFonts w:hint="cs"/>
                <w:sz w:val="26"/>
                <w:rtl/>
              </w:rPr>
              <w:t>היה לשר הביטחון יסוד סביר להניח שאזרח מדינת ישראל הוא חבר בארגון טרור המנוי בתוספת הראשונה לחוק זה, רשאי לעשות שימוש בסמכויות כלפיו לפי חוק זה.</w:t>
            </w:r>
          </w:p>
        </w:tc>
      </w:tr>
      <w:tr w:rsidR="009A2B26" w14:paraId="4EA7E09F" w14:textId="1E67748E" w:rsidTr="009A2B26">
        <w:trPr>
          <w:cantSplit/>
          <w:trHeight w:val="60"/>
        </w:trPr>
        <w:tc>
          <w:tcPr>
            <w:tcW w:w="1870" w:type="dxa"/>
          </w:tcPr>
          <w:p w14:paraId="04A145E0" w14:textId="6F4D6277" w:rsidR="009A2B26" w:rsidRDefault="009A2B26">
            <w:pPr>
              <w:pStyle w:val="TableSideHeading"/>
            </w:pPr>
          </w:p>
        </w:tc>
        <w:tc>
          <w:tcPr>
            <w:tcW w:w="624" w:type="dxa"/>
          </w:tcPr>
          <w:p w14:paraId="3A026091" w14:textId="06C75F7A" w:rsidR="009A2B26" w:rsidRDefault="009A2B26" w:rsidP="009A2B26">
            <w:pPr>
              <w:pStyle w:val="TableText"/>
            </w:pPr>
          </w:p>
        </w:tc>
        <w:tc>
          <w:tcPr>
            <w:tcW w:w="624" w:type="dxa"/>
          </w:tcPr>
          <w:p w14:paraId="083F6B61" w14:textId="29A682B2" w:rsidR="009A2B26" w:rsidRDefault="009A2B26">
            <w:pPr>
              <w:pStyle w:val="TableText"/>
            </w:pPr>
          </w:p>
        </w:tc>
        <w:tc>
          <w:tcPr>
            <w:tcW w:w="624" w:type="dxa"/>
          </w:tcPr>
          <w:p w14:paraId="04070D68" w14:textId="73F0A30E" w:rsidR="009A2B26" w:rsidRDefault="009A2B26">
            <w:pPr>
              <w:pStyle w:val="TableText"/>
            </w:pPr>
          </w:p>
        </w:tc>
        <w:tc>
          <w:tcPr>
            <w:tcW w:w="624" w:type="dxa"/>
          </w:tcPr>
          <w:p w14:paraId="1D9A05DB" w14:textId="71AC395C" w:rsidR="009A2B26" w:rsidRDefault="009A2B26">
            <w:pPr>
              <w:pStyle w:val="TableText"/>
            </w:pPr>
          </w:p>
        </w:tc>
        <w:tc>
          <w:tcPr>
            <w:tcW w:w="624" w:type="dxa"/>
          </w:tcPr>
          <w:p w14:paraId="38DF6971" w14:textId="77216033" w:rsidR="009A2B26" w:rsidRDefault="009A2B26">
            <w:pPr>
              <w:pStyle w:val="TableText"/>
            </w:pPr>
          </w:p>
        </w:tc>
        <w:tc>
          <w:tcPr>
            <w:tcW w:w="4651" w:type="dxa"/>
          </w:tcPr>
          <w:p w14:paraId="6DDCE772" w14:textId="6BD47151" w:rsidR="009A2B26" w:rsidRDefault="009A2B26" w:rsidP="0035577D">
            <w:pPr>
              <w:pStyle w:val="TableBlock"/>
              <w:rPr>
                <w:rtl/>
              </w:rPr>
            </w:pPr>
            <w:r>
              <w:rPr>
                <w:rFonts w:hint="cs"/>
                <w:rtl/>
              </w:rPr>
              <w:t>(ב)</w:t>
            </w:r>
            <w:r>
              <w:rPr>
                <w:rtl/>
              </w:rPr>
              <w:tab/>
            </w:r>
            <w:r>
              <w:rPr>
                <w:rFonts w:hint="cs"/>
                <w:sz w:val="26"/>
                <w:rtl/>
              </w:rPr>
              <w:t>שר הביטחון רשאי בצו, בהסכמת שר המשפטים ובאישור וועדת החוקה, חוק ומשפט של הכנסת</w:t>
            </w:r>
            <w:r w:rsidR="006341AB">
              <w:rPr>
                <w:rFonts w:hint="cs"/>
                <w:sz w:val="26"/>
                <w:rtl/>
              </w:rPr>
              <w:t xml:space="preserve"> (להלן </w:t>
            </w:r>
            <w:r w:rsidR="006341AB">
              <w:rPr>
                <w:sz w:val="26"/>
                <w:rtl/>
              </w:rPr>
              <w:t>–</w:t>
            </w:r>
            <w:r w:rsidR="006341AB">
              <w:rPr>
                <w:rFonts w:hint="cs"/>
                <w:sz w:val="26"/>
                <w:rtl/>
              </w:rPr>
              <w:t xml:space="preserve"> הוועדה)</w:t>
            </w:r>
            <w:r>
              <w:rPr>
                <w:rFonts w:hint="cs"/>
                <w:sz w:val="26"/>
                <w:rtl/>
              </w:rPr>
              <w:t>, להוסיף ארגון טרור לתוספת הראשונה, אם שוכנע כי ארגון הטרור מפעיל אזרחים של מדינת ישראל במטרה לפגוע בקיומה של מדינת ישראל או במטרה לבצע מעשי טרור כנגד אזרחיה.</w:t>
            </w:r>
          </w:p>
        </w:tc>
      </w:tr>
      <w:tr w:rsidR="009A2B26" w14:paraId="2F3D98F9" w14:textId="75E74203" w:rsidTr="009A2B26">
        <w:trPr>
          <w:cantSplit/>
          <w:trHeight w:val="60"/>
        </w:trPr>
        <w:tc>
          <w:tcPr>
            <w:tcW w:w="1870" w:type="dxa"/>
          </w:tcPr>
          <w:p w14:paraId="02DD4949" w14:textId="01EF35FE" w:rsidR="009A2B26" w:rsidRDefault="009A2B26">
            <w:pPr>
              <w:pStyle w:val="TableSideHeading"/>
            </w:pPr>
          </w:p>
        </w:tc>
        <w:tc>
          <w:tcPr>
            <w:tcW w:w="624" w:type="dxa"/>
          </w:tcPr>
          <w:p w14:paraId="7E511656" w14:textId="50F712E9" w:rsidR="009A2B26" w:rsidRDefault="009A2B26" w:rsidP="009A2B26">
            <w:pPr>
              <w:pStyle w:val="TableText"/>
            </w:pPr>
          </w:p>
        </w:tc>
        <w:tc>
          <w:tcPr>
            <w:tcW w:w="624" w:type="dxa"/>
          </w:tcPr>
          <w:p w14:paraId="07D2D084" w14:textId="319D52FC" w:rsidR="009A2B26" w:rsidRDefault="009A2B26">
            <w:pPr>
              <w:pStyle w:val="TableText"/>
            </w:pPr>
          </w:p>
        </w:tc>
        <w:tc>
          <w:tcPr>
            <w:tcW w:w="624" w:type="dxa"/>
          </w:tcPr>
          <w:p w14:paraId="3D961851" w14:textId="7B854BF5" w:rsidR="009A2B26" w:rsidRDefault="009A2B26">
            <w:pPr>
              <w:pStyle w:val="TableText"/>
            </w:pPr>
          </w:p>
        </w:tc>
        <w:tc>
          <w:tcPr>
            <w:tcW w:w="624" w:type="dxa"/>
          </w:tcPr>
          <w:p w14:paraId="422FB664" w14:textId="43C001F8" w:rsidR="009A2B26" w:rsidRDefault="009A2B26">
            <w:pPr>
              <w:pStyle w:val="TableText"/>
            </w:pPr>
          </w:p>
        </w:tc>
        <w:tc>
          <w:tcPr>
            <w:tcW w:w="624" w:type="dxa"/>
          </w:tcPr>
          <w:p w14:paraId="3B74E170" w14:textId="38186C9F" w:rsidR="009A2B26" w:rsidRDefault="009A2B26">
            <w:pPr>
              <w:pStyle w:val="TableText"/>
            </w:pPr>
          </w:p>
        </w:tc>
        <w:tc>
          <w:tcPr>
            <w:tcW w:w="4651" w:type="dxa"/>
          </w:tcPr>
          <w:p w14:paraId="0DF947A1" w14:textId="2DA58466" w:rsidR="009A2B26" w:rsidRDefault="009A2B26" w:rsidP="0035577D">
            <w:pPr>
              <w:pStyle w:val="TableBlock"/>
              <w:rPr>
                <w:rtl/>
              </w:rPr>
            </w:pPr>
            <w:r>
              <w:rPr>
                <w:rFonts w:hint="cs"/>
                <w:rtl/>
              </w:rPr>
              <w:t>(ג)</w:t>
            </w:r>
            <w:r>
              <w:rPr>
                <w:rtl/>
              </w:rPr>
              <w:tab/>
            </w:r>
            <w:r>
              <w:rPr>
                <w:rFonts w:hint="cs"/>
                <w:sz w:val="26"/>
                <w:rtl/>
              </w:rPr>
              <w:t>תוקפו של צו כאמור</w:t>
            </w:r>
            <w:r w:rsidR="0035577D">
              <w:rPr>
                <w:rFonts w:hint="cs"/>
                <w:sz w:val="26"/>
                <w:rtl/>
              </w:rPr>
              <w:t xml:space="preserve"> בסעיף קטן (ב)</w:t>
            </w:r>
            <w:r>
              <w:rPr>
                <w:rFonts w:hint="cs"/>
                <w:sz w:val="26"/>
                <w:rtl/>
              </w:rPr>
              <w:t xml:space="preserve"> יהיה לתקופה שיקבע</w:t>
            </w:r>
            <w:r w:rsidR="0035577D">
              <w:rPr>
                <w:rFonts w:hint="cs"/>
                <w:sz w:val="26"/>
                <w:rtl/>
              </w:rPr>
              <w:t xml:space="preserve"> שר הביטחון</w:t>
            </w:r>
            <w:r>
              <w:rPr>
                <w:rFonts w:hint="cs"/>
                <w:sz w:val="26"/>
                <w:rtl/>
              </w:rPr>
              <w:t xml:space="preserve"> ושלא תעלה על שנתיים</w:t>
            </w:r>
            <w:r w:rsidR="0035577D">
              <w:rPr>
                <w:rFonts w:hint="cs"/>
                <w:sz w:val="26"/>
                <w:rtl/>
              </w:rPr>
              <w:t>;</w:t>
            </w:r>
            <w:r>
              <w:rPr>
                <w:rFonts w:hint="cs"/>
                <w:sz w:val="26"/>
                <w:rtl/>
              </w:rPr>
              <w:t xml:space="preserve"> </w:t>
            </w:r>
            <w:r w:rsidR="0035577D">
              <w:rPr>
                <w:rFonts w:hint="cs"/>
                <w:sz w:val="26"/>
                <w:rtl/>
              </w:rPr>
              <w:t xml:space="preserve">ואולם, </w:t>
            </w:r>
            <w:r>
              <w:rPr>
                <w:rFonts w:hint="cs"/>
                <w:sz w:val="26"/>
                <w:rtl/>
              </w:rPr>
              <w:t xml:space="preserve">שר הביטחון, בהסכמת שר המשפטים ובאישור הוועדה, </w:t>
            </w:r>
            <w:r w:rsidR="0035577D">
              <w:rPr>
                <w:rFonts w:hint="cs"/>
                <w:sz w:val="26"/>
                <w:rtl/>
              </w:rPr>
              <w:t xml:space="preserve">רשאי </w:t>
            </w:r>
            <w:r>
              <w:rPr>
                <w:rFonts w:hint="cs"/>
                <w:sz w:val="26"/>
                <w:rtl/>
              </w:rPr>
              <w:t xml:space="preserve">להאריך את תוקף הצו כאמור </w:t>
            </w:r>
            <w:r w:rsidR="0035577D">
              <w:rPr>
                <w:rFonts w:hint="cs"/>
                <w:sz w:val="26"/>
                <w:rtl/>
              </w:rPr>
              <w:t xml:space="preserve">לתקופות </w:t>
            </w:r>
            <w:r>
              <w:rPr>
                <w:rFonts w:hint="cs"/>
                <w:sz w:val="26"/>
                <w:rtl/>
              </w:rPr>
              <w:t>נוספות שלא תעלה על שנתיים</w:t>
            </w:r>
            <w:r w:rsidR="0035577D">
              <w:rPr>
                <w:rFonts w:hint="cs"/>
                <w:sz w:val="26"/>
                <w:rtl/>
              </w:rPr>
              <w:t xml:space="preserve"> כל אחת</w:t>
            </w:r>
            <w:r>
              <w:rPr>
                <w:rFonts w:hint="cs"/>
                <w:sz w:val="26"/>
                <w:rtl/>
              </w:rPr>
              <w:t>.</w:t>
            </w:r>
          </w:p>
        </w:tc>
      </w:tr>
      <w:tr w:rsidR="009A2B26" w14:paraId="15654043" w14:textId="344C7759" w:rsidTr="009A2B26">
        <w:trPr>
          <w:cantSplit/>
          <w:trHeight w:val="60"/>
        </w:trPr>
        <w:tc>
          <w:tcPr>
            <w:tcW w:w="1870" w:type="dxa"/>
          </w:tcPr>
          <w:p w14:paraId="096FF729" w14:textId="43DC6B32" w:rsidR="009A2B26" w:rsidRDefault="009A2B26">
            <w:pPr>
              <w:pStyle w:val="TableSideHeading"/>
            </w:pPr>
          </w:p>
        </w:tc>
        <w:tc>
          <w:tcPr>
            <w:tcW w:w="624" w:type="dxa"/>
          </w:tcPr>
          <w:p w14:paraId="276985A9" w14:textId="7A092B9C" w:rsidR="009A2B26" w:rsidRDefault="009A2B26" w:rsidP="009A2B26">
            <w:pPr>
              <w:pStyle w:val="TableText"/>
            </w:pPr>
          </w:p>
        </w:tc>
        <w:tc>
          <w:tcPr>
            <w:tcW w:w="624" w:type="dxa"/>
          </w:tcPr>
          <w:p w14:paraId="16396CDA" w14:textId="4CDB06B1" w:rsidR="009A2B26" w:rsidRDefault="009A2B26">
            <w:pPr>
              <w:pStyle w:val="TableText"/>
            </w:pPr>
          </w:p>
        </w:tc>
        <w:tc>
          <w:tcPr>
            <w:tcW w:w="624" w:type="dxa"/>
          </w:tcPr>
          <w:p w14:paraId="3411B379" w14:textId="099C9A6F" w:rsidR="009A2B26" w:rsidRDefault="009A2B26">
            <w:pPr>
              <w:pStyle w:val="TableText"/>
            </w:pPr>
          </w:p>
        </w:tc>
        <w:tc>
          <w:tcPr>
            <w:tcW w:w="624" w:type="dxa"/>
          </w:tcPr>
          <w:p w14:paraId="261EFF5A" w14:textId="57DD378A" w:rsidR="009A2B26" w:rsidRDefault="009A2B26">
            <w:pPr>
              <w:pStyle w:val="TableText"/>
            </w:pPr>
          </w:p>
        </w:tc>
        <w:tc>
          <w:tcPr>
            <w:tcW w:w="624" w:type="dxa"/>
          </w:tcPr>
          <w:p w14:paraId="0E36E3BC" w14:textId="5CA89135" w:rsidR="009A2B26" w:rsidRDefault="009A2B26">
            <w:pPr>
              <w:pStyle w:val="TableText"/>
            </w:pPr>
          </w:p>
        </w:tc>
        <w:tc>
          <w:tcPr>
            <w:tcW w:w="4651" w:type="dxa"/>
          </w:tcPr>
          <w:p w14:paraId="6ACB5413" w14:textId="41D5116D" w:rsidR="009A2B26" w:rsidRDefault="009A2B26">
            <w:pPr>
              <w:pStyle w:val="TableBlock"/>
              <w:rPr>
                <w:rtl/>
              </w:rPr>
            </w:pPr>
            <w:r>
              <w:rPr>
                <w:rFonts w:hint="cs"/>
                <w:rtl/>
              </w:rPr>
              <w:t>(ד)</w:t>
            </w:r>
            <w:r>
              <w:rPr>
                <w:rtl/>
              </w:rPr>
              <w:tab/>
            </w:r>
            <w:r>
              <w:rPr>
                <w:rFonts w:hint="cs"/>
                <w:sz w:val="26"/>
                <w:rtl/>
              </w:rPr>
              <w:t>נודע לשר הביטחון על ארגון טרור שמתקיים בו האמור בסעיף</w:t>
            </w:r>
            <w:r w:rsidR="0035577D">
              <w:rPr>
                <w:rFonts w:hint="cs"/>
                <w:sz w:val="26"/>
                <w:rtl/>
              </w:rPr>
              <w:t xml:space="preserve"> קטן</w:t>
            </w:r>
            <w:r>
              <w:rPr>
                <w:rFonts w:hint="cs"/>
                <w:sz w:val="26"/>
                <w:rtl/>
              </w:rPr>
              <w:t xml:space="preserve"> (ב)</w:t>
            </w:r>
            <w:r w:rsidR="0035577D">
              <w:rPr>
                <w:rFonts w:hint="cs"/>
                <w:sz w:val="26"/>
                <w:rtl/>
              </w:rPr>
              <w:t>,</w:t>
            </w:r>
            <w:r>
              <w:rPr>
                <w:rFonts w:hint="cs"/>
                <w:sz w:val="26"/>
                <w:rtl/>
              </w:rPr>
              <w:t xml:space="preserve"> אולם נסיבות העניין מחייבות שימוש בסמכויות שבחוק זה או בתקנות ההגנה (שעת חירום)</w:t>
            </w:r>
            <w:r w:rsidR="0035577D">
              <w:rPr>
                <w:rFonts w:hint="cs"/>
                <w:sz w:val="26"/>
                <w:rtl/>
              </w:rPr>
              <w:t>, 1945</w:t>
            </w:r>
            <w:r>
              <w:rPr>
                <w:rFonts w:hint="cs"/>
                <w:sz w:val="26"/>
                <w:rtl/>
              </w:rPr>
              <w:t xml:space="preserve"> באופן </w:t>
            </w:r>
            <w:proofErr w:type="spellStart"/>
            <w:r>
              <w:rPr>
                <w:rFonts w:hint="cs"/>
                <w:sz w:val="26"/>
                <w:rtl/>
              </w:rPr>
              <w:t>מיידי</w:t>
            </w:r>
            <w:proofErr w:type="spellEnd"/>
            <w:r>
              <w:rPr>
                <w:rFonts w:hint="cs"/>
                <w:sz w:val="26"/>
                <w:rtl/>
              </w:rPr>
              <w:t xml:space="preserve">, רשאי הוא </w:t>
            </w:r>
            <w:proofErr w:type="spellStart"/>
            <w:r>
              <w:rPr>
                <w:rFonts w:hint="cs"/>
                <w:sz w:val="26"/>
                <w:rtl/>
              </w:rPr>
              <w:t>ליתן</w:t>
            </w:r>
            <w:proofErr w:type="spellEnd"/>
            <w:r>
              <w:rPr>
                <w:rFonts w:hint="cs"/>
                <w:sz w:val="26"/>
                <w:rtl/>
              </w:rPr>
              <w:t xml:space="preserve"> צו המוסיף את ארגון הטרור לתוספת הראשונה באופן </w:t>
            </w:r>
            <w:proofErr w:type="spellStart"/>
            <w:r>
              <w:rPr>
                <w:rFonts w:hint="cs"/>
                <w:sz w:val="26"/>
                <w:rtl/>
              </w:rPr>
              <w:t>מיידי</w:t>
            </w:r>
            <w:proofErr w:type="spellEnd"/>
            <w:r w:rsidR="0035577D">
              <w:rPr>
                <w:rFonts w:hint="cs"/>
                <w:sz w:val="26"/>
                <w:rtl/>
              </w:rPr>
              <w:t>;</w:t>
            </w:r>
            <w:r>
              <w:rPr>
                <w:rFonts w:hint="cs"/>
                <w:sz w:val="26"/>
                <w:rtl/>
              </w:rPr>
              <w:t xml:space="preserve"> תוקפו של צו כאמור יפקע בתוך 14 ימים, ולא ניתן </w:t>
            </w:r>
            <w:proofErr w:type="spellStart"/>
            <w:r>
              <w:rPr>
                <w:rFonts w:hint="cs"/>
                <w:sz w:val="26"/>
                <w:rtl/>
              </w:rPr>
              <w:t>להאריכו</w:t>
            </w:r>
            <w:proofErr w:type="spellEnd"/>
            <w:r>
              <w:rPr>
                <w:rFonts w:hint="cs"/>
                <w:sz w:val="26"/>
                <w:rtl/>
              </w:rPr>
              <w:t xml:space="preserve"> בתקופות נוספות.</w:t>
            </w:r>
          </w:p>
        </w:tc>
      </w:tr>
      <w:tr w:rsidR="00FC3EB0" w14:paraId="769396B1" w14:textId="77777777" w:rsidTr="00C170EA">
        <w:trPr>
          <w:cantSplit/>
          <w:trHeight w:val="60"/>
        </w:trPr>
        <w:tc>
          <w:tcPr>
            <w:tcW w:w="1870" w:type="dxa"/>
          </w:tcPr>
          <w:p w14:paraId="7A5AB114" w14:textId="4B1799A5" w:rsidR="00FC3EB0" w:rsidRDefault="00FC3EB0" w:rsidP="00FC3EB0">
            <w:pPr>
              <w:pStyle w:val="TableSideHeading"/>
            </w:pPr>
            <w:r>
              <w:rPr>
                <w:rFonts w:hint="cs"/>
                <w:rtl/>
              </w:rPr>
              <w:t>הוספת תוספת</w:t>
            </w:r>
          </w:p>
        </w:tc>
        <w:tc>
          <w:tcPr>
            <w:tcW w:w="624" w:type="dxa"/>
          </w:tcPr>
          <w:p w14:paraId="0448370B" w14:textId="1A3BD966" w:rsidR="00FC3EB0" w:rsidRDefault="00FC3EB0" w:rsidP="00FC3EB0">
            <w:pPr>
              <w:pStyle w:val="TableText"/>
            </w:pPr>
            <w:r>
              <w:rPr>
                <w:rFonts w:hint="cs"/>
                <w:rtl/>
              </w:rPr>
              <w:t>2.</w:t>
            </w:r>
          </w:p>
        </w:tc>
        <w:tc>
          <w:tcPr>
            <w:tcW w:w="7147" w:type="dxa"/>
            <w:gridSpan w:val="5"/>
          </w:tcPr>
          <w:p w14:paraId="0264F83B" w14:textId="3F8BFB08" w:rsidR="00FC3EB0" w:rsidRDefault="00435A4E" w:rsidP="00FC3EB0">
            <w:pPr>
              <w:pStyle w:val="TableBlock"/>
              <w:rPr>
                <w:rtl/>
              </w:rPr>
            </w:pPr>
            <w:r>
              <w:rPr>
                <w:rFonts w:hint="cs"/>
                <w:rtl/>
              </w:rPr>
              <w:t xml:space="preserve">אחרי </w:t>
            </w:r>
            <w:r w:rsidR="00FC3EB0">
              <w:rPr>
                <w:rFonts w:hint="cs"/>
                <w:rtl/>
              </w:rPr>
              <w:t>סעיף 15 לחוק העיקרי יבוא:</w:t>
            </w:r>
          </w:p>
        </w:tc>
      </w:tr>
      <w:tr w:rsidR="00FC3EB0" w14:paraId="62C6947B" w14:textId="77777777" w:rsidTr="00C64E35">
        <w:trPr>
          <w:cantSplit/>
          <w:trHeight w:val="60"/>
        </w:trPr>
        <w:tc>
          <w:tcPr>
            <w:tcW w:w="1870" w:type="dxa"/>
          </w:tcPr>
          <w:p w14:paraId="0E508CDB" w14:textId="408BBB53" w:rsidR="00FC3EB0" w:rsidRDefault="00FC3EB0" w:rsidP="00FC3EB0">
            <w:pPr>
              <w:pStyle w:val="TableSideHeading"/>
            </w:pPr>
          </w:p>
        </w:tc>
        <w:tc>
          <w:tcPr>
            <w:tcW w:w="624" w:type="dxa"/>
          </w:tcPr>
          <w:p w14:paraId="43387318" w14:textId="77777777" w:rsidR="00FC3EB0" w:rsidRDefault="00FC3EB0" w:rsidP="00FC3EB0">
            <w:pPr>
              <w:pStyle w:val="TableText"/>
            </w:pPr>
          </w:p>
        </w:tc>
        <w:tc>
          <w:tcPr>
            <w:tcW w:w="624" w:type="dxa"/>
          </w:tcPr>
          <w:p w14:paraId="67A428C6" w14:textId="77777777" w:rsidR="00FC3EB0" w:rsidRDefault="00FC3EB0" w:rsidP="00FC3EB0">
            <w:pPr>
              <w:pStyle w:val="TableText"/>
            </w:pPr>
          </w:p>
        </w:tc>
        <w:tc>
          <w:tcPr>
            <w:tcW w:w="6523" w:type="dxa"/>
            <w:gridSpan w:val="4"/>
          </w:tcPr>
          <w:p w14:paraId="7F61B76C" w14:textId="782A3992" w:rsidR="00FC3EB0" w:rsidRDefault="00435A4E" w:rsidP="00FC3EB0">
            <w:pPr>
              <w:pStyle w:val="TableHead"/>
            </w:pPr>
            <w:r>
              <w:rPr>
                <w:rFonts w:hint="cs"/>
                <w:rtl/>
              </w:rPr>
              <w:t>"</w:t>
            </w:r>
            <w:r w:rsidR="00FC3EB0" w:rsidRPr="00F9234E">
              <w:rPr>
                <w:rFonts w:hint="cs"/>
                <w:rtl/>
              </w:rPr>
              <w:t>תוספת</w:t>
            </w:r>
            <w:r w:rsidR="00FC3EB0">
              <w:rPr>
                <w:rFonts w:hint="cs"/>
                <w:rtl/>
              </w:rPr>
              <w:t xml:space="preserve"> </w:t>
            </w:r>
          </w:p>
        </w:tc>
      </w:tr>
      <w:tr w:rsidR="00FC3EB0" w14:paraId="7BD94872" w14:textId="77777777" w:rsidTr="007A192D">
        <w:trPr>
          <w:cantSplit/>
          <w:trHeight w:val="60"/>
        </w:trPr>
        <w:tc>
          <w:tcPr>
            <w:tcW w:w="1870" w:type="dxa"/>
          </w:tcPr>
          <w:p w14:paraId="367996C6" w14:textId="77777777" w:rsidR="00FC3EB0" w:rsidRDefault="00FC3EB0" w:rsidP="00FC3EB0">
            <w:pPr>
              <w:pStyle w:val="TableSideHeading"/>
            </w:pPr>
          </w:p>
        </w:tc>
        <w:tc>
          <w:tcPr>
            <w:tcW w:w="624" w:type="dxa"/>
          </w:tcPr>
          <w:p w14:paraId="7199F12F" w14:textId="77777777" w:rsidR="00FC3EB0" w:rsidRDefault="00FC3EB0" w:rsidP="00FC3EB0">
            <w:pPr>
              <w:pStyle w:val="TableText"/>
            </w:pPr>
          </w:p>
        </w:tc>
        <w:tc>
          <w:tcPr>
            <w:tcW w:w="624" w:type="dxa"/>
          </w:tcPr>
          <w:p w14:paraId="39C68E50" w14:textId="77777777" w:rsidR="00FC3EB0" w:rsidRDefault="00FC3EB0" w:rsidP="00FC3EB0">
            <w:pPr>
              <w:pStyle w:val="TableText"/>
            </w:pPr>
          </w:p>
        </w:tc>
        <w:tc>
          <w:tcPr>
            <w:tcW w:w="6523" w:type="dxa"/>
            <w:gridSpan w:val="4"/>
          </w:tcPr>
          <w:p w14:paraId="296DFEEB" w14:textId="151BE9FC" w:rsidR="00FC3EB0" w:rsidRPr="000B1535" w:rsidRDefault="00FC3EB0" w:rsidP="00FC3EB0">
            <w:pPr>
              <w:pStyle w:val="TableHead"/>
              <w:rPr>
                <w:b w:val="0"/>
                <w:bCs w:val="0"/>
                <w:rtl/>
              </w:rPr>
            </w:pPr>
            <w:r w:rsidRPr="000B1535">
              <w:rPr>
                <w:b w:val="0"/>
                <w:bCs w:val="0"/>
                <w:rtl/>
              </w:rPr>
              <w:t>(סעיף 11ב)</w:t>
            </w:r>
          </w:p>
        </w:tc>
      </w:tr>
      <w:tr w:rsidR="00FC3EB0" w14:paraId="302E32EB" w14:textId="77777777" w:rsidTr="008C3E6B">
        <w:trPr>
          <w:cantSplit/>
          <w:trHeight w:val="60"/>
        </w:trPr>
        <w:tc>
          <w:tcPr>
            <w:tcW w:w="1870" w:type="dxa"/>
          </w:tcPr>
          <w:p w14:paraId="2C77EE25" w14:textId="77777777" w:rsidR="00FC3EB0" w:rsidRDefault="00FC3EB0" w:rsidP="00FC3EB0">
            <w:pPr>
              <w:pStyle w:val="TableSideHeading"/>
            </w:pPr>
          </w:p>
        </w:tc>
        <w:tc>
          <w:tcPr>
            <w:tcW w:w="624" w:type="dxa"/>
          </w:tcPr>
          <w:p w14:paraId="0FF7BA8A" w14:textId="77777777" w:rsidR="00FC3EB0" w:rsidRDefault="00FC3EB0" w:rsidP="00FC3EB0">
            <w:pPr>
              <w:pStyle w:val="TableText"/>
            </w:pPr>
          </w:p>
        </w:tc>
        <w:tc>
          <w:tcPr>
            <w:tcW w:w="624" w:type="dxa"/>
          </w:tcPr>
          <w:p w14:paraId="2DBC0358" w14:textId="77777777" w:rsidR="00FC3EB0" w:rsidRDefault="00FC3EB0" w:rsidP="00FC3EB0">
            <w:pPr>
              <w:pStyle w:val="TableText"/>
            </w:pPr>
          </w:p>
        </w:tc>
        <w:tc>
          <w:tcPr>
            <w:tcW w:w="6523" w:type="dxa"/>
            <w:gridSpan w:val="4"/>
          </w:tcPr>
          <w:p w14:paraId="4F2DEEC7" w14:textId="2DA07A16" w:rsidR="00FC3EB0" w:rsidRPr="00FC3EB0" w:rsidRDefault="00FC3EB0" w:rsidP="00FC3EB0">
            <w:pPr>
              <w:pStyle w:val="TableHead"/>
              <w:rPr>
                <w:rtl/>
              </w:rPr>
            </w:pPr>
            <w:r w:rsidRPr="00FC3EB0">
              <w:rPr>
                <w:rFonts w:hint="eastAsia"/>
                <w:rtl/>
              </w:rPr>
              <w:t>ארגון</w:t>
            </w:r>
            <w:r w:rsidRPr="00FC3EB0">
              <w:rPr>
                <w:rtl/>
              </w:rPr>
              <w:t xml:space="preserve"> </w:t>
            </w:r>
            <w:r w:rsidRPr="00FC3EB0">
              <w:rPr>
                <w:rFonts w:hint="eastAsia"/>
                <w:rtl/>
              </w:rPr>
              <w:t>טרור</w:t>
            </w:r>
            <w:r w:rsidRPr="00FC3EB0">
              <w:rPr>
                <w:rtl/>
              </w:rPr>
              <w:t xml:space="preserve"> </w:t>
            </w:r>
            <w:r w:rsidRPr="00FC3EB0">
              <w:rPr>
                <w:rFonts w:hint="eastAsia"/>
                <w:rtl/>
              </w:rPr>
              <w:t>המפעיל</w:t>
            </w:r>
            <w:r w:rsidRPr="00FC3EB0">
              <w:rPr>
                <w:rtl/>
              </w:rPr>
              <w:t xml:space="preserve"> </w:t>
            </w:r>
            <w:r w:rsidRPr="00FC3EB0">
              <w:rPr>
                <w:rFonts w:hint="eastAsia"/>
                <w:rtl/>
              </w:rPr>
              <w:t>אזרחים</w:t>
            </w:r>
            <w:r w:rsidRPr="00FC3EB0">
              <w:rPr>
                <w:rtl/>
              </w:rPr>
              <w:t xml:space="preserve"> </w:t>
            </w:r>
            <w:r w:rsidRPr="00FC3EB0">
              <w:rPr>
                <w:rFonts w:hint="eastAsia"/>
                <w:rtl/>
              </w:rPr>
              <w:t>של</w:t>
            </w:r>
            <w:r w:rsidRPr="00FC3EB0">
              <w:rPr>
                <w:rtl/>
              </w:rPr>
              <w:t xml:space="preserve"> </w:t>
            </w:r>
            <w:r w:rsidRPr="00FC3EB0">
              <w:rPr>
                <w:rFonts w:hint="eastAsia"/>
                <w:rtl/>
              </w:rPr>
              <w:t>מדינת</w:t>
            </w:r>
            <w:r w:rsidRPr="00FC3EB0">
              <w:rPr>
                <w:rtl/>
              </w:rPr>
              <w:t xml:space="preserve"> </w:t>
            </w:r>
            <w:r w:rsidRPr="00FC3EB0">
              <w:rPr>
                <w:rFonts w:hint="eastAsia"/>
                <w:rtl/>
              </w:rPr>
              <w:t>ישראל</w:t>
            </w:r>
            <w:r w:rsidR="00435A4E">
              <w:rPr>
                <w:rFonts w:hint="cs"/>
                <w:rtl/>
              </w:rPr>
              <w:t>".</w:t>
            </w:r>
            <w:bookmarkStart w:id="8" w:name="_GoBack"/>
            <w:bookmarkEnd w:id="8"/>
          </w:p>
        </w:tc>
      </w:tr>
    </w:tbl>
    <w:p w14:paraId="7F6961CA" w14:textId="77777777" w:rsidR="002D1EE3" w:rsidRDefault="002D1EE3" w:rsidP="002D1EE3">
      <w:pPr>
        <w:pStyle w:val="HeadDivreiHesber"/>
        <w:rPr>
          <w:rtl/>
        </w:rPr>
      </w:pPr>
      <w:r w:rsidRPr="0027450A">
        <w:rPr>
          <w:rFonts w:hint="cs"/>
          <w:rtl/>
        </w:rPr>
        <w:t>דברי הסבר</w:t>
      </w:r>
    </w:p>
    <w:p w14:paraId="1E8EC2D5" w14:textId="77777777" w:rsidR="007639AF" w:rsidRPr="00FC3EB0" w:rsidRDefault="007639AF" w:rsidP="00FC3EB0">
      <w:pPr>
        <w:pStyle w:val="Hesber"/>
        <w:rPr>
          <w:rtl/>
        </w:rPr>
      </w:pPr>
      <w:r w:rsidRPr="00FC3EB0">
        <w:rPr>
          <w:rtl/>
        </w:rPr>
        <w:t xml:space="preserve">מטרת הצעת חוק זו היא </w:t>
      </w:r>
      <w:r w:rsidRPr="00FC3EB0">
        <w:rPr>
          <w:rFonts w:hint="eastAsia"/>
          <w:rtl/>
        </w:rPr>
        <w:t>להגביר</w:t>
      </w:r>
      <w:r w:rsidRPr="00FC3EB0">
        <w:rPr>
          <w:rtl/>
        </w:rPr>
        <w:t xml:space="preserve"> את </w:t>
      </w:r>
      <w:proofErr w:type="spellStart"/>
      <w:r w:rsidRPr="00FC3EB0">
        <w:rPr>
          <w:rFonts w:hint="eastAsia"/>
          <w:rtl/>
        </w:rPr>
        <w:t>ההגנות</w:t>
      </w:r>
      <w:proofErr w:type="spellEnd"/>
      <w:r w:rsidRPr="00FC3EB0">
        <w:rPr>
          <w:rtl/>
        </w:rPr>
        <w:t xml:space="preserve"> הקיימות על חירותם של אזרחי ישראל בהתאם לעקרונות הקבועים בחוק יסוד: כבוד האדם וחירותו.</w:t>
      </w:r>
    </w:p>
    <w:p w14:paraId="65D51AF3" w14:textId="49EA62DE" w:rsidR="007639AF" w:rsidRPr="00E6572C" w:rsidRDefault="007639AF" w:rsidP="0035577D">
      <w:pPr>
        <w:pStyle w:val="Hesber"/>
        <w:rPr>
          <w:rtl/>
        </w:rPr>
      </w:pPr>
      <w:r w:rsidRPr="00E6572C">
        <w:rPr>
          <w:rFonts w:hint="eastAsia"/>
          <w:rtl/>
        </w:rPr>
        <w:t>סעיף</w:t>
      </w:r>
      <w:r w:rsidRPr="00E6572C">
        <w:rPr>
          <w:rtl/>
        </w:rPr>
        <w:t xml:space="preserve"> 5 </w:t>
      </w:r>
      <w:r w:rsidRPr="00E6572C">
        <w:rPr>
          <w:rFonts w:hint="eastAsia"/>
          <w:rtl/>
        </w:rPr>
        <w:t>לחוק</w:t>
      </w:r>
      <w:r w:rsidRPr="00E6572C">
        <w:rPr>
          <w:rtl/>
        </w:rPr>
        <w:t xml:space="preserve"> </w:t>
      </w:r>
      <w:r w:rsidRPr="00E6572C">
        <w:rPr>
          <w:rFonts w:hint="eastAsia"/>
          <w:rtl/>
        </w:rPr>
        <w:t>יסוד</w:t>
      </w:r>
      <w:r w:rsidRPr="00E6572C">
        <w:rPr>
          <w:rtl/>
        </w:rPr>
        <w:t xml:space="preserve"> </w:t>
      </w:r>
      <w:r w:rsidRPr="00E6572C">
        <w:rPr>
          <w:rFonts w:hint="eastAsia"/>
          <w:rtl/>
        </w:rPr>
        <w:t>כבוד</w:t>
      </w:r>
      <w:r w:rsidRPr="00E6572C">
        <w:rPr>
          <w:rtl/>
        </w:rPr>
        <w:t xml:space="preserve"> </w:t>
      </w:r>
      <w:r w:rsidRPr="00E6572C">
        <w:rPr>
          <w:rFonts w:hint="eastAsia"/>
          <w:rtl/>
        </w:rPr>
        <w:t>האדם</w:t>
      </w:r>
      <w:r w:rsidRPr="00E6572C">
        <w:rPr>
          <w:rtl/>
        </w:rPr>
        <w:t xml:space="preserve"> </w:t>
      </w:r>
      <w:r w:rsidRPr="00E6572C">
        <w:rPr>
          <w:rFonts w:hint="eastAsia"/>
          <w:rtl/>
        </w:rPr>
        <w:t>וחירותו</w:t>
      </w:r>
      <w:r w:rsidRPr="00E6572C">
        <w:rPr>
          <w:rtl/>
        </w:rPr>
        <w:t xml:space="preserve"> </w:t>
      </w:r>
      <w:r w:rsidRPr="00E6572C">
        <w:rPr>
          <w:rFonts w:hint="eastAsia"/>
          <w:rtl/>
        </w:rPr>
        <w:t>קובע</w:t>
      </w:r>
      <w:r w:rsidRPr="00E6572C">
        <w:rPr>
          <w:rtl/>
        </w:rPr>
        <w:t xml:space="preserve">: "אין נוטלים ואין מגבילים את חירותו של אדם במאסר, במעצר, בהסגרה או בכל דרך אחרת". כאשר פגיעה שכזו נעשית בהליך משפטי בו לאדם עומדות </w:t>
      </w:r>
      <w:proofErr w:type="spellStart"/>
      <w:r w:rsidRPr="00E6572C">
        <w:rPr>
          <w:rFonts w:hint="eastAsia"/>
          <w:rtl/>
        </w:rPr>
        <w:t>ההגנות</w:t>
      </w:r>
      <w:proofErr w:type="spellEnd"/>
      <w:r w:rsidRPr="00E6572C">
        <w:rPr>
          <w:rtl/>
        </w:rPr>
        <w:t xml:space="preserve"> השונות שהן ביסוד משטרה היהודי והדמוקרטי של מדינת ישראל</w:t>
      </w:r>
      <w:r w:rsidR="002B2D19">
        <w:rPr>
          <w:rFonts w:hint="cs"/>
          <w:rtl/>
        </w:rPr>
        <w:t>,</w:t>
      </w:r>
      <w:r w:rsidRPr="00E6572C">
        <w:rPr>
          <w:rtl/>
        </w:rPr>
        <w:t xml:space="preserve"> ובראשן חזקת החפות וזכות הטיעון בפני ערכאה שיפוטית בלתי תלויה, פגיעה שכזו עומדת במבחני המידתיות הקבועים בחוק יסוד כבוד האדם וחירותו, אולם כאשר מדובר בהליך של מעצר מנהלי, זכויות אלה נפגעות בצורה משמעותית.</w:t>
      </w:r>
    </w:p>
    <w:p w14:paraId="7F9754C2" w14:textId="7EC4B8CA" w:rsidR="007639AF" w:rsidRDefault="007639AF" w:rsidP="000B1535">
      <w:pPr>
        <w:pStyle w:val="Hesber"/>
        <w:rPr>
          <w:rtl/>
        </w:rPr>
      </w:pPr>
      <w:r>
        <w:rPr>
          <w:rFonts w:hint="cs"/>
          <w:rtl/>
        </w:rPr>
        <w:t xml:space="preserve">לצד זאת, ברור שמדינת ישראל נאבקת על חייה ועל חיי אזרחיה אל מול ארגוני טרור נפשעים, המבקשים להשמידה, ועל כן נדרשות סמכויות שיאפשרו למערכת הביטחון לעתים גם להשתמש ב"נשק בלתי קונבנציונלי" כדוגמת המעצרים המנהליים או צווי ההגבלה </w:t>
      </w:r>
      <w:proofErr w:type="spellStart"/>
      <w:r>
        <w:rPr>
          <w:rFonts w:hint="cs"/>
          <w:rtl/>
        </w:rPr>
        <w:t>מכח</w:t>
      </w:r>
      <w:proofErr w:type="spellEnd"/>
      <w:r>
        <w:rPr>
          <w:rFonts w:hint="cs"/>
          <w:rtl/>
        </w:rPr>
        <w:t xml:space="preserve"> תקנות ההגנה שעת חירום.</w:t>
      </w:r>
    </w:p>
    <w:p w14:paraId="6B9B958D" w14:textId="77777777" w:rsidR="007639AF" w:rsidRDefault="007639AF" w:rsidP="007639AF">
      <w:pPr>
        <w:pStyle w:val="Hesber"/>
        <w:rPr>
          <w:rtl/>
        </w:rPr>
      </w:pPr>
      <w:r>
        <w:rPr>
          <w:rFonts w:hint="cs"/>
          <w:rtl/>
        </w:rPr>
        <w:t xml:space="preserve">המחויבות הראשונה במעלה של כל מדינה היא לאזרחיה, לביטחונם, לשלומם ולחירותם, וגם הזכויות הדיוניות שנועדו לשרת את הזכויות המהותיות הללו חייבים להישמר להם במידת האפשר, ועל כן הצעת החוק קובעת כי לא ניתן לעצור במעצר מנהלי אזרח של מדינת ישראל, אלא אם כן יש לשר הביטחון יסוד סביר להניח כי האדם חבר בארגון טרור ששם לו למטרה לפגוע בעצם קיומה של המדינה או לבצע מעשי טרור באזרחיה. האבחנה הזו מתחייבת מעצם העיקרון של דמוקרטיה מתגוננת שאינה </w:t>
      </w:r>
      <w:proofErr w:type="spellStart"/>
      <w:r>
        <w:rPr>
          <w:rFonts w:hint="cs"/>
          <w:rtl/>
        </w:rPr>
        <w:lastRenderedPageBreak/>
        <w:t>מחוייבת</w:t>
      </w:r>
      <w:proofErr w:type="spellEnd"/>
      <w:r>
        <w:rPr>
          <w:rFonts w:hint="cs"/>
          <w:rtl/>
        </w:rPr>
        <w:t xml:space="preserve"> לספק הגנות למי שמבקש להשמיד את עצם המסגרת המדינית או שהוא אויב המדינה.</w:t>
      </w:r>
    </w:p>
    <w:p w14:paraId="4AC544D3" w14:textId="77777777" w:rsidR="007639AF" w:rsidRDefault="007639AF" w:rsidP="007639AF">
      <w:pPr>
        <w:pStyle w:val="Hesber"/>
        <w:rPr>
          <w:rtl/>
        </w:rPr>
      </w:pPr>
      <w:r>
        <w:rPr>
          <w:rFonts w:hint="cs"/>
          <w:rtl/>
        </w:rPr>
        <w:t>הצעת החוק מבקשת לקבוע כי הוראות אלה יחולו אף על הסמכויות החריגות והדומות באופיין הקבועות בתקנות ההגנה שעת חירום.</w:t>
      </w:r>
    </w:p>
    <w:p w14:paraId="0CEE1D36" w14:textId="77777777" w:rsidR="007639AF" w:rsidRDefault="007639AF" w:rsidP="007639AF">
      <w:pPr>
        <w:pStyle w:val="Hesber"/>
        <w:rPr>
          <w:rtl/>
        </w:rPr>
      </w:pPr>
      <w:r>
        <w:rPr>
          <w:rFonts w:hint="cs"/>
          <w:rtl/>
        </w:rPr>
        <w:t>כדי להגביר את הפיקוח הפרלמנטרי על השימוש בסמכות חריגה זו ולהדגיש את אופייה הזמני מוצע בהצעת החוק כי ארגוני הטרור שהשתייכות אליהם מאפשרת שימוש בסמכות המעצר המנהלי יאושרו בידי וועדת החוקה של הכנסת ותוקף צו המכריז עליהם יוגבל לשנתיים ויהיה צריך להיות מחודש מפעם לפעם.</w:t>
      </w:r>
    </w:p>
    <w:p w14:paraId="25E349D4" w14:textId="77777777" w:rsidR="007639AF" w:rsidRDefault="007639AF" w:rsidP="007639AF">
      <w:pPr>
        <w:pStyle w:val="Hesber"/>
        <w:rPr>
          <w:rtl/>
        </w:rPr>
      </w:pPr>
      <w:r>
        <w:rPr>
          <w:rFonts w:hint="cs"/>
          <w:rtl/>
        </w:rPr>
        <w:t xml:space="preserve">כדי לתת מענה לצורך דחוף אם התגלה כי ארגון טרור שאינו מופיע בתוספת פועל בישראל במטרה להשמיד את המדינה או לבצע מעשי טרור כנגד אזרחיה, ונדרשת הפעלת סמכויות בדחיפות, הצעת החוק מבקשת לאפשר לשר הביטחון להוסיף באופן </w:t>
      </w:r>
      <w:proofErr w:type="spellStart"/>
      <w:r>
        <w:rPr>
          <w:rFonts w:hint="cs"/>
          <w:rtl/>
        </w:rPr>
        <w:t>מיידי</w:t>
      </w:r>
      <w:proofErr w:type="spellEnd"/>
      <w:r>
        <w:rPr>
          <w:rFonts w:hint="cs"/>
          <w:rtl/>
        </w:rPr>
        <w:t xml:space="preserve"> לתקופה שלא תעלה על 14 יום ארגון טרור לתוספת הראשונה. בתוך אותה תקופה יידרש שר הביטחון לקבל את הסכמת שר המשפטים ואת אישור וועדת החוקה של הכנסת.</w:t>
      </w:r>
    </w:p>
    <w:p w14:paraId="796F7E5A" w14:textId="77777777" w:rsidR="007639AF" w:rsidRDefault="007639AF" w:rsidP="007639AF">
      <w:pPr>
        <w:spacing w:before="0" w:line="276" w:lineRule="auto"/>
        <w:jc w:val="left"/>
      </w:pPr>
    </w:p>
    <w:p w14:paraId="7F6961CB" w14:textId="77777777" w:rsidR="00E13C27" w:rsidRPr="007639AF" w:rsidRDefault="00E13C27" w:rsidP="00E13C27">
      <w:pPr>
        <w:pStyle w:val="Hesber"/>
        <w:rPr>
          <w:rtl/>
        </w:rPr>
      </w:pPr>
    </w:p>
    <w:p w14:paraId="07A385DA" w14:textId="77777777" w:rsidR="003705BF" w:rsidRDefault="00FC3EB0">
      <w:pPr>
        <w:spacing w:before="0" w:line="360" w:lineRule="auto"/>
        <w:jc w:val="left"/>
      </w:pPr>
      <w:bookmarkStart w:id="9" w:name="selectedDocDateB"/>
      <w:bookmarkEnd w:id="9"/>
      <w:r>
        <w:rPr>
          <w:rFonts w:ascii="David" w:eastAsia="David" w:hAnsi="David" w:cs="David" w:hint="cs"/>
          <w:sz w:val="26"/>
          <w:szCs w:val="26"/>
          <w:rtl/>
        </w:rPr>
        <w:t>--------------------------------</w:t>
      </w:r>
    </w:p>
    <w:p w14:paraId="2752A1F6" w14:textId="77777777" w:rsidR="003705BF" w:rsidRDefault="00FC3EB0">
      <w:pPr>
        <w:spacing w:before="0" w:line="360" w:lineRule="auto"/>
        <w:jc w:val="left"/>
      </w:pPr>
      <w:r>
        <w:rPr>
          <w:rFonts w:ascii="David" w:eastAsia="David" w:hAnsi="David" w:cs="David" w:hint="cs"/>
          <w:sz w:val="26"/>
          <w:szCs w:val="26"/>
          <w:rtl/>
        </w:rPr>
        <w:t>הוגשה ליו"ר הכנסת והסגנים</w:t>
      </w:r>
    </w:p>
    <w:p w14:paraId="281C22D3" w14:textId="77777777" w:rsidR="003705BF" w:rsidRDefault="00FC3EB0">
      <w:pPr>
        <w:spacing w:before="0" w:line="360" w:lineRule="auto"/>
        <w:jc w:val="left"/>
      </w:pPr>
      <w:r>
        <w:rPr>
          <w:rFonts w:ascii="David" w:eastAsia="David" w:hAnsi="David" w:cs="David" w:hint="cs"/>
          <w:sz w:val="26"/>
          <w:szCs w:val="26"/>
          <w:rtl/>
        </w:rPr>
        <w:t>והונחה על שולחן הכנסת ביום</w:t>
      </w:r>
    </w:p>
    <w:p w14:paraId="5A70C4EE" w14:textId="77777777" w:rsidR="003705BF" w:rsidRDefault="00FC3EB0">
      <w:pPr>
        <w:spacing w:before="0" w:line="360" w:lineRule="auto"/>
        <w:jc w:val="left"/>
      </w:pPr>
      <w:r>
        <w:rPr>
          <w:rFonts w:ascii="David" w:eastAsia="David" w:hAnsi="David" w:cs="David" w:hint="cs"/>
          <w:sz w:val="26"/>
          <w:szCs w:val="26"/>
          <w:rtl/>
        </w:rPr>
        <w:t xml:space="preserve">כ"ד באדר ב' </w:t>
      </w:r>
      <w:proofErr w:type="spellStart"/>
      <w:r>
        <w:rPr>
          <w:rFonts w:ascii="David" w:eastAsia="David" w:hAnsi="David" w:cs="David" w:hint="cs"/>
          <w:sz w:val="26"/>
          <w:szCs w:val="26"/>
          <w:rtl/>
        </w:rPr>
        <w:t>התשפ"ד</w:t>
      </w:r>
      <w:proofErr w:type="spellEnd"/>
      <w:r>
        <w:rPr>
          <w:rFonts w:ascii="David" w:eastAsia="David" w:hAnsi="David" w:cs="David" w:hint="cs"/>
          <w:sz w:val="26"/>
          <w:szCs w:val="26"/>
          <w:rtl/>
        </w:rPr>
        <w:t xml:space="preserve"> (03.04.2024) </w:t>
      </w:r>
    </w:p>
    <w:p w14:paraId="2852B2D6" w14:textId="77777777" w:rsidR="003705BF" w:rsidRDefault="003705BF">
      <w:pPr>
        <w:spacing w:before="0" w:line="276" w:lineRule="auto"/>
        <w:jc w:val="left"/>
      </w:pPr>
    </w:p>
    <w:sectPr w:rsidR="003705BF"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435A4E">
      <w:rPr>
        <w:rStyle w:val="ab"/>
        <w:noProof/>
        <w:rtl/>
      </w:rPr>
      <w:t>3</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D534F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2E9C0121" w14:textId="77777777" w:rsidR="007639AF" w:rsidRDefault="007639AF" w:rsidP="007639AF">
      <w:pPr>
        <w:pStyle w:val="a4"/>
        <w:rPr>
          <w:rtl/>
        </w:rPr>
      </w:pPr>
      <w:r>
        <w:rPr>
          <w:rStyle w:val="a6"/>
        </w:rPr>
        <w:footnoteRef/>
      </w:r>
      <w:r>
        <w:rPr>
          <w:rFonts w:hint="cs"/>
          <w:rtl/>
        </w:rPr>
        <w:t xml:space="preserve"> ס"ח </w:t>
      </w:r>
      <w:proofErr w:type="spellStart"/>
      <w:r>
        <w:rPr>
          <w:rFonts w:hint="cs"/>
          <w:rtl/>
        </w:rPr>
        <w:t>התשל"ט</w:t>
      </w:r>
      <w:proofErr w:type="spellEnd"/>
      <w:r>
        <w:rPr>
          <w:rFonts w:hint="cs"/>
          <w:rtl/>
        </w:rPr>
        <w:t>, עמ' 76.</w:t>
      </w:r>
    </w:p>
  </w:footnote>
  <w:footnote w:id="3">
    <w:p w14:paraId="3A268D18" w14:textId="45F54552" w:rsidR="009A2B26" w:rsidRDefault="009A2B26">
      <w:pPr>
        <w:pStyle w:val="a4"/>
      </w:pPr>
      <w:r>
        <w:rPr>
          <w:rStyle w:val="a6"/>
        </w:rPr>
        <w:footnoteRef/>
      </w:r>
      <w:r>
        <w:rPr>
          <w:rtl/>
        </w:rPr>
        <w:t xml:space="preserve"> </w:t>
      </w:r>
      <w:proofErr w:type="spellStart"/>
      <w:r>
        <w:rPr>
          <w:rFonts w:hint="cs"/>
          <w:rtl/>
        </w:rPr>
        <w:t>ע"ר</w:t>
      </w:r>
      <w:proofErr w:type="spellEnd"/>
      <w:r>
        <w:rPr>
          <w:rFonts w:hint="cs"/>
          <w:rtl/>
        </w:rPr>
        <w:t xml:space="preserve"> מס' 1442, עמ' 855.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39D6"/>
    <w:rsid w:val="00015B27"/>
    <w:rsid w:val="00063A3E"/>
    <w:rsid w:val="00072CAC"/>
    <w:rsid w:val="0007681A"/>
    <w:rsid w:val="000A542E"/>
    <w:rsid w:val="000B1535"/>
    <w:rsid w:val="00102B6B"/>
    <w:rsid w:val="001052D4"/>
    <w:rsid w:val="0010644B"/>
    <w:rsid w:val="001207F8"/>
    <w:rsid w:val="00121924"/>
    <w:rsid w:val="001279A8"/>
    <w:rsid w:val="0014195F"/>
    <w:rsid w:val="00152609"/>
    <w:rsid w:val="00153E1B"/>
    <w:rsid w:val="001A0623"/>
    <w:rsid w:val="001C23B0"/>
    <w:rsid w:val="001D2A3E"/>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B00AB"/>
    <w:rsid w:val="002B2D19"/>
    <w:rsid w:val="002C2E29"/>
    <w:rsid w:val="002C3041"/>
    <w:rsid w:val="002D1EE3"/>
    <w:rsid w:val="002F1D80"/>
    <w:rsid w:val="003232A2"/>
    <w:rsid w:val="00325C14"/>
    <w:rsid w:val="0035577D"/>
    <w:rsid w:val="0036422C"/>
    <w:rsid w:val="003705BF"/>
    <w:rsid w:val="003710F6"/>
    <w:rsid w:val="00386E88"/>
    <w:rsid w:val="00396585"/>
    <w:rsid w:val="003D6E38"/>
    <w:rsid w:val="003D74A0"/>
    <w:rsid w:val="004033D8"/>
    <w:rsid w:val="004073F0"/>
    <w:rsid w:val="00412A7D"/>
    <w:rsid w:val="00416B4D"/>
    <w:rsid w:val="00417CFC"/>
    <w:rsid w:val="00435A4E"/>
    <w:rsid w:val="004410B9"/>
    <w:rsid w:val="004A06DC"/>
    <w:rsid w:val="004B24ED"/>
    <w:rsid w:val="004B6625"/>
    <w:rsid w:val="004D2D82"/>
    <w:rsid w:val="004D3876"/>
    <w:rsid w:val="004E4552"/>
    <w:rsid w:val="004E6CDF"/>
    <w:rsid w:val="00553C9D"/>
    <w:rsid w:val="00562A66"/>
    <w:rsid w:val="005B064E"/>
    <w:rsid w:val="005D51AE"/>
    <w:rsid w:val="006173D2"/>
    <w:rsid w:val="0062674B"/>
    <w:rsid w:val="006341AB"/>
    <w:rsid w:val="006363B2"/>
    <w:rsid w:val="00644940"/>
    <w:rsid w:val="006818A9"/>
    <w:rsid w:val="006A2D81"/>
    <w:rsid w:val="006C1D0D"/>
    <w:rsid w:val="0070601E"/>
    <w:rsid w:val="00712C72"/>
    <w:rsid w:val="00735FE9"/>
    <w:rsid w:val="007639AF"/>
    <w:rsid w:val="00763CAA"/>
    <w:rsid w:val="00765F66"/>
    <w:rsid w:val="0078664F"/>
    <w:rsid w:val="007A27CE"/>
    <w:rsid w:val="007C3FA6"/>
    <w:rsid w:val="007D585A"/>
    <w:rsid w:val="007D5A12"/>
    <w:rsid w:val="007E59F9"/>
    <w:rsid w:val="00810BCD"/>
    <w:rsid w:val="00812C98"/>
    <w:rsid w:val="00814D92"/>
    <w:rsid w:val="0082370E"/>
    <w:rsid w:val="0083181D"/>
    <w:rsid w:val="00843EB2"/>
    <w:rsid w:val="00865572"/>
    <w:rsid w:val="00874BBC"/>
    <w:rsid w:val="00892135"/>
    <w:rsid w:val="00895449"/>
    <w:rsid w:val="00897879"/>
    <w:rsid w:val="008A6870"/>
    <w:rsid w:val="008C2DDC"/>
    <w:rsid w:val="008C7516"/>
    <w:rsid w:val="008E0A10"/>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2B26"/>
    <w:rsid w:val="009A7257"/>
    <w:rsid w:val="009D6E0A"/>
    <w:rsid w:val="009E1E33"/>
    <w:rsid w:val="00A14672"/>
    <w:rsid w:val="00A26BD6"/>
    <w:rsid w:val="00A443CF"/>
    <w:rsid w:val="00A6611D"/>
    <w:rsid w:val="00A714B4"/>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534F3"/>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572C"/>
    <w:rsid w:val="00E665B9"/>
    <w:rsid w:val="00EA01E6"/>
    <w:rsid w:val="00EA3DE8"/>
    <w:rsid w:val="00EA758F"/>
    <w:rsid w:val="00EB60A9"/>
    <w:rsid w:val="00ED4A6F"/>
    <w:rsid w:val="00EF3A3A"/>
    <w:rsid w:val="00F628D6"/>
    <w:rsid w:val="00F67051"/>
    <w:rsid w:val="00F86A1E"/>
    <w:rsid w:val="00F9234E"/>
    <w:rsid w:val="00FA5E88"/>
    <w:rsid w:val="00FC3E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7F3FC66C-FD3B-4305-B588-7E893C3C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link w:val="TableText0"/>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semiHidden/>
    <w:rsid w:val="007639AF"/>
    <w:rPr>
      <w:rFonts w:ascii="Arial" w:eastAsia="Arial Unicode MS" w:hAnsi="Arial" w:cs="David"/>
      <w:snapToGrid w:val="0"/>
      <w:color w:val="000000"/>
      <w:sz w:val="14"/>
      <w:lang w:eastAsia="ja-JP"/>
    </w:rPr>
  </w:style>
  <w:style w:type="character" w:customStyle="1" w:styleId="TableText0">
    <w:name w:val="Table Text תו"/>
    <w:link w:val="TableText"/>
    <w:rsid w:val="007639AF"/>
    <w:rPr>
      <w:rFonts w:ascii="Arial" w:eastAsia="Arial Unicode MS" w:hAnsi="Arial" w:cs="David"/>
      <w:snapToGrid w:val="0"/>
      <w:color w:val="00000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290d5b49-c690-4c6f-bbb9-1e50dab33ee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425515-39C3-4CCE-8E77-7C0B35D19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BF492FA2-B8C6-4B63-9727-6D6E5309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577</Words>
  <Characters>3293</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20</cp:revision>
  <cp:lastPrinted>2024-04-03T11:08:00Z</cp:lastPrinted>
  <dcterms:created xsi:type="dcterms:W3CDTF">2015-04-20T09:58:00Z</dcterms:created>
  <dcterms:modified xsi:type="dcterms:W3CDTF">2024-04-03T11:08:00Z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2216198</vt:r8>
  </property>
</Properties>
</file>