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2216636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וחמש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A" w14:textId="4C1D5051" w:rsidR="00E13C27" w:rsidRPr="00CF1AA2" w:rsidRDefault="008F6665" w:rsidP="00836E49">
      <w:pPr>
        <w:pStyle w:val="David"/>
        <w:spacing w:before="102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יצחק קרויזר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גלעד קריב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ולדימיר בליאק</w:t>
      </w:r>
      <w:bookmarkStart w:id="4" w:name="LGS_Join_List"/>
      <w:bookmarkEnd w:id="3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C" w14:textId="1292C08C" w:rsidR="00E13C27" w:rsidRDefault="00904591" w:rsidP="00836E49">
      <w:pPr>
        <w:pStyle w:val="David"/>
        <w:spacing w:line="240" w:lineRule="auto"/>
        <w:ind w:left="6424" w:firstLine="56"/>
        <w:rPr>
          <w:rtl/>
        </w:rPr>
      </w:pPr>
      <w:bookmarkStart w:id="6" w:name="Private_Number"/>
      <w:r>
        <w:rPr>
          <w:rFonts w:hint="cs"/>
          <w:rtl/>
        </w:rPr>
        <w:t>פ/4466/25</w:t>
      </w:r>
      <w:bookmarkEnd w:id="6"/>
    </w:p>
    <w:p w14:paraId="7F6961AD" w14:textId="1D3A0D82" w:rsidR="00E13C27" w:rsidRPr="00F67051" w:rsidRDefault="00A443CF" w:rsidP="00E95F32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תשלומים לפדויי שבי (תיקון – סכומי התשלומים ומועדיהם), התשפ"ד–2024</w:t>
      </w:r>
      <w:bookmarkEnd w:id="7"/>
    </w:p>
    <w:tbl>
      <w:tblPr>
        <w:bidiVisual/>
        <w:tblW w:w="9637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624"/>
        <w:gridCol w:w="624"/>
        <w:gridCol w:w="624"/>
        <w:gridCol w:w="5895"/>
      </w:tblGrid>
      <w:tr w:rsidR="00B217F7" w:rsidRPr="00C34DE2" w14:paraId="116A5B6D" w14:textId="77777777" w:rsidTr="00836E49">
        <w:tc>
          <w:tcPr>
            <w:tcW w:w="1870" w:type="dxa"/>
          </w:tcPr>
          <w:p w14:paraId="3911C232" w14:textId="20EB345E" w:rsidR="00B217F7" w:rsidRPr="00B217F7" w:rsidRDefault="00B217F7" w:rsidP="00737DCB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>תיקון</w:t>
            </w:r>
            <w:r w:rsidRPr="00B217F7">
              <w:rPr>
                <w:rFonts w:hint="cs"/>
                <w:rtl/>
              </w:rPr>
              <w:t xml:space="preserve"> סעיף 5</w:t>
            </w:r>
          </w:p>
        </w:tc>
        <w:tc>
          <w:tcPr>
            <w:tcW w:w="624" w:type="dxa"/>
          </w:tcPr>
          <w:p w14:paraId="7953BD05" w14:textId="33356B3D" w:rsidR="00B217F7" w:rsidRPr="00B217F7" w:rsidRDefault="00B217F7" w:rsidP="00737DCB">
            <w:pPr>
              <w:pStyle w:val="TableText"/>
              <w:jc w:val="both"/>
              <w:rPr>
                <w:rtl/>
              </w:rPr>
            </w:pPr>
            <w:r w:rsidRPr="00B217F7"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  <w:gridSpan w:val="3"/>
          </w:tcPr>
          <w:p w14:paraId="1C876640" w14:textId="010FB150" w:rsidR="00B217F7" w:rsidRPr="00B217F7" w:rsidRDefault="00B217F7" w:rsidP="00836E49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בחוק תשלומים לפדויי שבי, התשס"ה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>2005</w:t>
            </w:r>
            <w:r w:rsidRPr="00836E49">
              <w:rPr>
                <w:rStyle w:val="a5"/>
                <w:rFonts w:ascii="David" w:hAnsi="David"/>
                <w:sz w:val="26"/>
                <w:rtl/>
              </w:rPr>
              <w:footnoteReference w:id="2"/>
            </w:r>
            <w:r>
              <w:rPr>
                <w:rFonts w:hint="cs"/>
                <w:rtl/>
              </w:rPr>
              <w:t>, בסעיף 5</w:t>
            </w:r>
            <w:r w:rsidR="005F23D1">
              <w:rPr>
                <w:rFonts w:hint="cs"/>
                <w:rtl/>
              </w:rPr>
              <w:t xml:space="preserve"> </w:t>
            </w:r>
            <w:r w:rsidR="005F23D1">
              <w:rPr>
                <w:rFonts w:hint="eastAsia"/>
                <w:rtl/>
              </w:rPr>
              <w:t>–</w:t>
            </w:r>
            <w:r w:rsidR="005F23D1">
              <w:rPr>
                <w:rFonts w:hint="cs"/>
                <w:rtl/>
              </w:rPr>
              <w:t xml:space="preserve"> </w:t>
            </w:r>
          </w:p>
        </w:tc>
      </w:tr>
      <w:tr w:rsidR="005F23D1" w:rsidRPr="00C34DE2" w14:paraId="17AEA9BD" w14:textId="77777777" w:rsidTr="00836E49">
        <w:tc>
          <w:tcPr>
            <w:tcW w:w="1870" w:type="dxa"/>
          </w:tcPr>
          <w:p w14:paraId="51CF6543" w14:textId="77777777" w:rsidR="005F23D1" w:rsidRDefault="005F23D1" w:rsidP="00B217F7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1C6CAB49" w14:textId="77777777" w:rsidR="005F23D1" w:rsidRPr="00B217F7" w:rsidRDefault="005F23D1" w:rsidP="00B217F7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7143" w:type="dxa"/>
            <w:gridSpan w:val="3"/>
          </w:tcPr>
          <w:p w14:paraId="0FF3D13C" w14:textId="505C5402" w:rsidR="005F23D1" w:rsidRDefault="005F23D1" w:rsidP="00836E49">
            <w:pPr>
              <w:pStyle w:val="TableBlock"/>
              <w:tabs>
                <w:tab w:val="left" w:pos="624"/>
                <w:tab w:val="left" w:pos="1247"/>
              </w:tabs>
              <w:rPr>
                <w:rtl/>
              </w:rPr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במקום סעיף קטן (א) יבוא:</w:t>
            </w:r>
          </w:p>
        </w:tc>
      </w:tr>
      <w:tr w:rsidR="00484713" w:rsidRPr="00C34DE2" w14:paraId="1ECD6FDC" w14:textId="77777777" w:rsidTr="00836E49">
        <w:tc>
          <w:tcPr>
            <w:tcW w:w="1870" w:type="dxa"/>
          </w:tcPr>
          <w:p w14:paraId="63D2F71F" w14:textId="6C4857D4" w:rsidR="00484713" w:rsidRPr="00B217F7" w:rsidRDefault="00484713" w:rsidP="00737DCB">
            <w:pPr>
              <w:pStyle w:val="TableSideHeading"/>
            </w:pPr>
          </w:p>
        </w:tc>
        <w:tc>
          <w:tcPr>
            <w:tcW w:w="624" w:type="dxa"/>
          </w:tcPr>
          <w:p w14:paraId="2F5F48CA" w14:textId="2E5E531B" w:rsidR="00484713" w:rsidRPr="00B217F7" w:rsidRDefault="00484713" w:rsidP="00737DCB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6615E526" w14:textId="77777777" w:rsidR="00484713" w:rsidRPr="00484713" w:rsidRDefault="00484713" w:rsidP="00484713">
            <w:pPr>
              <w:pStyle w:val="TableText"/>
              <w:jc w:val="both"/>
            </w:pPr>
          </w:p>
        </w:tc>
        <w:tc>
          <w:tcPr>
            <w:tcW w:w="6519" w:type="dxa"/>
            <w:gridSpan w:val="2"/>
          </w:tcPr>
          <w:p w14:paraId="75782FC4" w14:textId="6A9D0DF9" w:rsidR="00484713" w:rsidRPr="00484713" w:rsidRDefault="00484713" w:rsidP="00836E49">
            <w:pPr>
              <w:pStyle w:val="TableBlock"/>
              <w:tabs>
                <w:tab w:val="left" w:pos="624"/>
                <w:tab w:val="left" w:pos="1247"/>
              </w:tabs>
            </w:pPr>
            <w:r>
              <w:rPr>
                <w:rFonts w:hint="cs"/>
                <w:rtl/>
              </w:rPr>
              <w:t>"(א)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מי שהוכר כפדוי שבי זכאי לתשלומים כלהלן:</w:t>
            </w:r>
          </w:p>
        </w:tc>
      </w:tr>
      <w:tr w:rsidR="00484713" w14:paraId="555213B5" w14:textId="77777777" w:rsidTr="00836E49">
        <w:tc>
          <w:tcPr>
            <w:tcW w:w="1870" w:type="dxa"/>
          </w:tcPr>
          <w:p w14:paraId="4A4915ED" w14:textId="77777777" w:rsidR="00484713" w:rsidRDefault="00484713" w:rsidP="00484713">
            <w:pPr>
              <w:pStyle w:val="TableSideHeading"/>
            </w:pPr>
          </w:p>
        </w:tc>
        <w:tc>
          <w:tcPr>
            <w:tcW w:w="624" w:type="dxa"/>
          </w:tcPr>
          <w:p w14:paraId="70DAF81E" w14:textId="77777777" w:rsidR="00484713" w:rsidRDefault="00484713" w:rsidP="00484713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1B6D7AA1" w14:textId="77777777" w:rsidR="00484713" w:rsidRDefault="00484713" w:rsidP="00484713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5297E481" w14:textId="77777777" w:rsidR="00484713" w:rsidRPr="00484713" w:rsidRDefault="00484713" w:rsidP="00484713">
            <w:pPr>
              <w:pStyle w:val="TableText"/>
              <w:jc w:val="both"/>
            </w:pPr>
          </w:p>
        </w:tc>
        <w:tc>
          <w:tcPr>
            <w:tcW w:w="5895" w:type="dxa"/>
          </w:tcPr>
          <w:p w14:paraId="52064356" w14:textId="3F38D847" w:rsidR="00484713" w:rsidRPr="00484713" w:rsidRDefault="00484713" w:rsidP="00836E49">
            <w:pPr>
              <w:pStyle w:val="TableBlock"/>
              <w:tabs>
                <w:tab w:val="left" w:pos="624"/>
                <w:tab w:val="left" w:pos="1247"/>
              </w:tabs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תשלום חד-פעמי בסך 60,000 שקלים חדשים שישולם בתוך שבע</w:t>
            </w:r>
            <w:r w:rsidR="00836E49">
              <w:rPr>
                <w:rFonts w:hint="cs"/>
                <w:rtl/>
              </w:rPr>
              <w:t>ה ימים מהמועד בו הוכר כפדוי שבי;</w:t>
            </w:r>
          </w:p>
        </w:tc>
      </w:tr>
      <w:tr w:rsidR="00484713" w14:paraId="325EA9EA" w14:textId="77777777" w:rsidTr="00836E49">
        <w:tc>
          <w:tcPr>
            <w:tcW w:w="1870" w:type="dxa"/>
          </w:tcPr>
          <w:p w14:paraId="48CADBF2" w14:textId="77777777" w:rsidR="00484713" w:rsidRDefault="00484713" w:rsidP="00484713">
            <w:pPr>
              <w:pStyle w:val="TableSideHeading"/>
            </w:pPr>
          </w:p>
        </w:tc>
        <w:tc>
          <w:tcPr>
            <w:tcW w:w="624" w:type="dxa"/>
          </w:tcPr>
          <w:p w14:paraId="2964C0E9" w14:textId="2743E9BE" w:rsidR="00484713" w:rsidRDefault="00484713" w:rsidP="00484713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19497700" w14:textId="736AD4A5" w:rsidR="00484713" w:rsidRDefault="00484713" w:rsidP="00484713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51062555" w14:textId="77777777" w:rsidR="00484713" w:rsidRPr="00484713" w:rsidRDefault="00484713" w:rsidP="00484713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5895" w:type="dxa"/>
          </w:tcPr>
          <w:p w14:paraId="3266F200" w14:textId="12A54922" w:rsidR="00484713" w:rsidRPr="00484713" w:rsidRDefault="00484713" w:rsidP="00836E49">
            <w:pPr>
              <w:pStyle w:val="TableBlock"/>
              <w:rPr>
                <w:rtl/>
              </w:rPr>
            </w:pPr>
            <w:r w:rsidRPr="006441E3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>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תשלום למפרע בסך 15,000 </w:t>
            </w:r>
            <w:r w:rsidRPr="005F23D1">
              <w:rPr>
                <w:rFonts w:hint="cs"/>
                <w:rtl/>
              </w:rPr>
              <w:t>שקלים חדשים</w:t>
            </w:r>
            <w:r>
              <w:rPr>
                <w:rFonts w:hint="cs"/>
                <w:rtl/>
              </w:rPr>
              <w:t xml:space="preserve"> בעבור כל חודש החל מה-1 בחודש שבו הגיש את הבקשה להכרה ועד תום החודש שבו הוכר כפדוי שבי; תשלום לפי פסקה זו ישולם יחד עם התשלום האמור בפסקה (1);</w:t>
            </w:r>
          </w:p>
        </w:tc>
      </w:tr>
      <w:tr w:rsidR="00484713" w14:paraId="5E1B234F" w14:textId="77777777" w:rsidTr="00836E49">
        <w:tc>
          <w:tcPr>
            <w:tcW w:w="1870" w:type="dxa"/>
          </w:tcPr>
          <w:p w14:paraId="74A94D85" w14:textId="77777777" w:rsidR="00484713" w:rsidRDefault="00484713" w:rsidP="00484713">
            <w:pPr>
              <w:pStyle w:val="TableSideHeading"/>
            </w:pPr>
          </w:p>
        </w:tc>
        <w:tc>
          <w:tcPr>
            <w:tcW w:w="624" w:type="dxa"/>
          </w:tcPr>
          <w:p w14:paraId="1E0FED84" w14:textId="77777777" w:rsidR="00484713" w:rsidRDefault="00484713" w:rsidP="00484713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6417A0B7" w14:textId="5A47A264" w:rsidR="00484713" w:rsidRDefault="00484713" w:rsidP="00484713">
            <w:pPr>
              <w:pStyle w:val="TableText"/>
              <w:jc w:val="both"/>
            </w:pPr>
            <w:r w:rsidRPr="006441E3">
              <w:rPr>
                <w:rFonts w:hint="cs"/>
                <w:rtl/>
              </w:rPr>
              <w:tab/>
            </w:r>
          </w:p>
        </w:tc>
        <w:tc>
          <w:tcPr>
            <w:tcW w:w="624" w:type="dxa"/>
          </w:tcPr>
          <w:p w14:paraId="1AD99ED9" w14:textId="77777777" w:rsidR="00484713" w:rsidRPr="00484713" w:rsidRDefault="00484713" w:rsidP="00484713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5895" w:type="dxa"/>
          </w:tcPr>
          <w:p w14:paraId="797D7C6C" w14:textId="62E9324B" w:rsidR="00484713" w:rsidRPr="00484713" w:rsidRDefault="00484713" w:rsidP="00836E49">
            <w:pPr>
              <w:pStyle w:val="TableBlock"/>
              <w:rPr>
                <w:rtl/>
              </w:rPr>
            </w:pPr>
            <w:r w:rsidRPr="006441E3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>3)</w:t>
            </w:r>
            <w:r>
              <w:rPr>
                <w:rtl/>
              </w:rPr>
              <w:tab/>
            </w:r>
            <w:r w:rsidRPr="00484713">
              <w:rPr>
                <w:rtl/>
              </w:rPr>
              <w:t xml:space="preserve">תשלום חודשי </w:t>
            </w:r>
            <w:r w:rsidRPr="00484713">
              <w:rPr>
                <w:rFonts w:hint="cs"/>
                <w:rtl/>
              </w:rPr>
              <w:t xml:space="preserve">בסך 15,000 שקלים חדשים </w:t>
            </w:r>
            <w:r w:rsidRPr="00484713">
              <w:rPr>
                <w:rtl/>
              </w:rPr>
              <w:t xml:space="preserve">החל מה-1 בחודש </w:t>
            </w:r>
            <w:r w:rsidRPr="00484713">
              <w:rPr>
                <w:rFonts w:hint="cs"/>
                <w:rtl/>
              </w:rPr>
              <w:t>ש</w:t>
            </w:r>
            <w:r w:rsidRPr="00484713">
              <w:rPr>
                <w:rtl/>
              </w:rPr>
              <w:t>לאחר החודש שבו הוכר כפדוי שבי</w:t>
            </w:r>
            <w:r w:rsidRPr="00484713">
              <w:rPr>
                <w:rFonts w:hint="cs"/>
                <w:rtl/>
              </w:rPr>
              <w:t>,</w:t>
            </w:r>
            <w:r w:rsidRPr="00484713">
              <w:rPr>
                <w:rtl/>
              </w:rPr>
              <w:t xml:space="preserve"> </w:t>
            </w:r>
            <w:r w:rsidRPr="00484713">
              <w:rPr>
                <w:rFonts w:hint="cs"/>
                <w:rtl/>
              </w:rPr>
              <w:t>שישולם למשך 12 חודשים;</w:t>
            </w:r>
          </w:p>
        </w:tc>
      </w:tr>
      <w:tr w:rsidR="00484713" w14:paraId="0FCC5A2A" w14:textId="77777777" w:rsidTr="00836E49">
        <w:tc>
          <w:tcPr>
            <w:tcW w:w="1870" w:type="dxa"/>
          </w:tcPr>
          <w:p w14:paraId="16492719" w14:textId="77777777" w:rsidR="00484713" w:rsidRDefault="00484713" w:rsidP="00484713">
            <w:pPr>
              <w:pStyle w:val="TableSideHeading"/>
            </w:pPr>
          </w:p>
        </w:tc>
        <w:tc>
          <w:tcPr>
            <w:tcW w:w="624" w:type="dxa"/>
          </w:tcPr>
          <w:p w14:paraId="0F6DB04B" w14:textId="77777777" w:rsidR="00484713" w:rsidRDefault="00484713" w:rsidP="00484713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7E10E849" w14:textId="77777777" w:rsidR="00484713" w:rsidRPr="00836E49" w:rsidRDefault="00484713" w:rsidP="00836E49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</w:tcPr>
          <w:p w14:paraId="78EA9AEE" w14:textId="77777777" w:rsidR="00484713" w:rsidRPr="00484713" w:rsidRDefault="00484713" w:rsidP="00484713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5895" w:type="dxa"/>
          </w:tcPr>
          <w:p w14:paraId="69AC3DD1" w14:textId="1B83EF94" w:rsidR="00484713" w:rsidRPr="00484713" w:rsidRDefault="00484713" w:rsidP="00836E49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(4)</w:t>
            </w:r>
            <w:r>
              <w:rPr>
                <w:rtl/>
              </w:rPr>
              <w:tab/>
            </w:r>
            <w:r w:rsidRPr="00484713">
              <w:rPr>
                <w:rFonts w:hint="cs"/>
                <w:rtl/>
              </w:rPr>
              <w:t>תשלום חודשי בסך 8,000 שקלים חדשים שישולם למשך 12 חודשים מתום תקופת התשלום לפי פסקה (3);</w:t>
            </w:r>
          </w:p>
        </w:tc>
      </w:tr>
      <w:tr w:rsidR="00484713" w:rsidRPr="006441E3" w14:paraId="49C12FB9" w14:textId="77777777" w:rsidTr="00836E49">
        <w:tc>
          <w:tcPr>
            <w:tcW w:w="1870" w:type="dxa"/>
          </w:tcPr>
          <w:p w14:paraId="2DABAB91" w14:textId="77777777" w:rsidR="00484713" w:rsidRDefault="00484713" w:rsidP="00484713">
            <w:pPr>
              <w:pStyle w:val="TableSideHeading"/>
            </w:pPr>
          </w:p>
        </w:tc>
        <w:tc>
          <w:tcPr>
            <w:tcW w:w="624" w:type="dxa"/>
          </w:tcPr>
          <w:p w14:paraId="2DE196E5" w14:textId="77777777" w:rsidR="00484713" w:rsidRDefault="00484713" w:rsidP="00484713">
            <w:pPr>
              <w:pStyle w:val="TableText"/>
              <w:jc w:val="both"/>
            </w:pPr>
          </w:p>
        </w:tc>
        <w:tc>
          <w:tcPr>
            <w:tcW w:w="624" w:type="dxa"/>
          </w:tcPr>
          <w:p w14:paraId="42669207" w14:textId="77777777" w:rsidR="00484713" w:rsidRPr="00836E49" w:rsidRDefault="00484713" w:rsidP="00836E49">
            <w:pPr>
              <w:pStyle w:val="TableText"/>
              <w:tabs>
                <w:tab w:val="left" w:pos="624"/>
                <w:tab w:val="left" w:pos="1247"/>
              </w:tabs>
              <w:jc w:val="both"/>
              <w:rPr>
                <w:rtl/>
              </w:rPr>
            </w:pPr>
          </w:p>
        </w:tc>
        <w:tc>
          <w:tcPr>
            <w:tcW w:w="624" w:type="dxa"/>
          </w:tcPr>
          <w:p w14:paraId="7BBAEB7C" w14:textId="77777777" w:rsidR="00484713" w:rsidRPr="00484713" w:rsidRDefault="00484713" w:rsidP="00484713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5895" w:type="dxa"/>
          </w:tcPr>
          <w:p w14:paraId="73FCF147" w14:textId="1690AAA7" w:rsidR="00484713" w:rsidRPr="00484713" w:rsidRDefault="00484713" w:rsidP="00836E49">
            <w:pPr>
              <w:pStyle w:val="TableBlock"/>
              <w:tabs>
                <w:tab w:val="left" w:pos="624"/>
                <w:tab w:val="left" w:pos="1247"/>
              </w:tabs>
              <w:rPr>
                <w:rtl/>
              </w:rPr>
            </w:pPr>
            <w:r>
              <w:rPr>
                <w:rFonts w:hint="cs"/>
                <w:rtl/>
              </w:rPr>
              <w:t>(5)</w:t>
            </w:r>
            <w:r>
              <w:rPr>
                <w:rtl/>
              </w:rPr>
              <w:tab/>
            </w:r>
            <w:r w:rsidR="00836E49">
              <w:rPr>
                <w:rFonts w:hint="cs"/>
                <w:rtl/>
              </w:rPr>
              <w:t xml:space="preserve">תשלום חודשי בסך 3,000 </w:t>
            </w:r>
            <w:r w:rsidRPr="00484713">
              <w:rPr>
                <w:rFonts w:hint="cs"/>
                <w:rtl/>
              </w:rPr>
              <w:t xml:space="preserve">שקלים חדשים, שישולם מתום תקופת התשלום לפי פסקה (4) </w:t>
            </w:r>
            <w:r w:rsidRPr="00484713">
              <w:rPr>
                <w:rtl/>
              </w:rPr>
              <w:t>ועד שימלאו לו 67 שנים;</w:t>
            </w:r>
          </w:p>
        </w:tc>
      </w:tr>
      <w:tr w:rsidR="00484713" w:rsidRPr="00561E85" w14:paraId="4FFAD268" w14:textId="77777777" w:rsidTr="00836E49">
        <w:tc>
          <w:tcPr>
            <w:tcW w:w="1870" w:type="dxa"/>
          </w:tcPr>
          <w:p w14:paraId="13509AA9" w14:textId="77777777" w:rsidR="00484713" w:rsidRPr="00561E85" w:rsidRDefault="00484713" w:rsidP="00484713">
            <w:pPr>
              <w:pStyle w:val="TableSideHeading"/>
              <w:rPr>
                <w:rtl/>
              </w:rPr>
            </w:pPr>
            <w:bookmarkStart w:id="8" w:name="_Hlk161677689"/>
          </w:p>
        </w:tc>
        <w:tc>
          <w:tcPr>
            <w:tcW w:w="624" w:type="dxa"/>
          </w:tcPr>
          <w:p w14:paraId="1649FFB1" w14:textId="77777777" w:rsidR="00484713" w:rsidRDefault="00484713" w:rsidP="00484713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</w:tcPr>
          <w:p w14:paraId="2FE2E8EB" w14:textId="77777777" w:rsidR="00484713" w:rsidRPr="00836E49" w:rsidRDefault="00484713" w:rsidP="00836E49">
            <w:pPr>
              <w:pStyle w:val="TableText"/>
              <w:tabs>
                <w:tab w:val="left" w:pos="624"/>
                <w:tab w:val="left" w:pos="1247"/>
              </w:tabs>
              <w:jc w:val="both"/>
              <w:rPr>
                <w:rtl/>
              </w:rPr>
            </w:pPr>
          </w:p>
        </w:tc>
        <w:tc>
          <w:tcPr>
            <w:tcW w:w="624" w:type="dxa"/>
          </w:tcPr>
          <w:p w14:paraId="74A59186" w14:textId="77777777" w:rsidR="00484713" w:rsidRPr="00484713" w:rsidRDefault="00484713" w:rsidP="00484713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5895" w:type="dxa"/>
          </w:tcPr>
          <w:p w14:paraId="2F0E3B04" w14:textId="2AC52DD7" w:rsidR="00484713" w:rsidRPr="00484713" w:rsidRDefault="00484713" w:rsidP="00836E49">
            <w:pPr>
              <w:pStyle w:val="TableBlock"/>
              <w:tabs>
                <w:tab w:val="left" w:pos="624"/>
                <w:tab w:val="left" w:pos="1247"/>
              </w:tabs>
              <w:rPr>
                <w:rtl/>
              </w:rPr>
            </w:pPr>
            <w:r>
              <w:rPr>
                <w:rFonts w:hint="cs"/>
                <w:rtl/>
              </w:rPr>
              <w:t>(6)</w:t>
            </w:r>
            <w:r>
              <w:rPr>
                <w:rtl/>
              </w:rPr>
              <w:tab/>
            </w:r>
            <w:r w:rsidRPr="00484713">
              <w:rPr>
                <w:rtl/>
              </w:rPr>
              <w:t>מלאו לפדוי שבי 67 שנים, ישולם לו באותה שנה</w:t>
            </w:r>
            <w:r w:rsidRPr="00484713">
              <w:rPr>
                <w:rFonts w:hint="cs"/>
                <w:rtl/>
              </w:rPr>
              <w:t xml:space="preserve"> ובכל שנה שלאחריה</w:t>
            </w:r>
            <w:r w:rsidRPr="00484713">
              <w:rPr>
                <w:rtl/>
              </w:rPr>
              <w:t xml:space="preserve">, </w:t>
            </w:r>
            <w:r w:rsidRPr="00484713">
              <w:rPr>
                <w:rFonts w:hint="cs"/>
                <w:rtl/>
              </w:rPr>
              <w:t xml:space="preserve"> מראש</w:t>
            </w:r>
            <w:r w:rsidRPr="00484713">
              <w:rPr>
                <w:rtl/>
              </w:rPr>
              <w:t xml:space="preserve">, סך כל התשלומים החודשיים </w:t>
            </w:r>
            <w:r w:rsidRPr="00484713">
              <w:rPr>
                <w:rFonts w:hint="cs"/>
                <w:rtl/>
              </w:rPr>
              <w:t xml:space="preserve">שלהם הוא זכאי לפי פסקאות (3) (4) או (5), לפי העניין, </w:t>
            </w:r>
            <w:r w:rsidRPr="00484713">
              <w:rPr>
                <w:rtl/>
              </w:rPr>
              <w:t>עד תום אותה שנה בתשלום אחד;</w:t>
            </w:r>
            <w:r w:rsidRPr="00484713">
              <w:rPr>
                <w:rFonts w:hint="cs"/>
                <w:rtl/>
              </w:rPr>
              <w:t xml:space="preserve"> </w:t>
            </w:r>
          </w:p>
        </w:tc>
      </w:tr>
      <w:tr w:rsidR="00484713" w:rsidRPr="00561E85" w14:paraId="0C192047" w14:textId="77777777" w:rsidTr="00836E49">
        <w:tc>
          <w:tcPr>
            <w:tcW w:w="1870" w:type="dxa"/>
          </w:tcPr>
          <w:p w14:paraId="6466C455" w14:textId="77777777" w:rsidR="00484713" w:rsidRPr="00561E85" w:rsidRDefault="00484713" w:rsidP="00484713">
            <w:pPr>
              <w:pStyle w:val="TableSideHeading"/>
              <w:rPr>
                <w:rtl/>
              </w:rPr>
            </w:pPr>
            <w:bookmarkStart w:id="9" w:name="_Hlk161677746"/>
          </w:p>
        </w:tc>
        <w:tc>
          <w:tcPr>
            <w:tcW w:w="624" w:type="dxa"/>
          </w:tcPr>
          <w:p w14:paraId="5586E7F0" w14:textId="360CC5ED" w:rsidR="00484713" w:rsidRDefault="00484713" w:rsidP="00484713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</w:tcPr>
          <w:p w14:paraId="337CD414" w14:textId="77777777" w:rsidR="00484713" w:rsidRPr="00836E49" w:rsidRDefault="00484713" w:rsidP="00836E49">
            <w:pPr>
              <w:pStyle w:val="TableText"/>
              <w:tabs>
                <w:tab w:val="left" w:pos="624"/>
                <w:tab w:val="left" w:pos="1247"/>
              </w:tabs>
              <w:jc w:val="both"/>
              <w:rPr>
                <w:rtl/>
              </w:rPr>
            </w:pPr>
          </w:p>
        </w:tc>
        <w:tc>
          <w:tcPr>
            <w:tcW w:w="624" w:type="dxa"/>
          </w:tcPr>
          <w:p w14:paraId="7AEE0F01" w14:textId="77777777" w:rsidR="00484713" w:rsidRPr="00484713" w:rsidRDefault="00484713" w:rsidP="00484713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5895" w:type="dxa"/>
          </w:tcPr>
          <w:p w14:paraId="56E0E0B3" w14:textId="01973F5E" w:rsidR="00484713" w:rsidRPr="00484713" w:rsidRDefault="00484713" w:rsidP="00836E49">
            <w:pPr>
              <w:pStyle w:val="TableBlock"/>
              <w:tabs>
                <w:tab w:val="left" w:pos="624"/>
                <w:tab w:val="left" w:pos="1247"/>
              </w:tabs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(7</w:t>
            </w:r>
            <w:r w:rsidRPr="005459C4">
              <w:rPr>
                <w:rFonts w:ascii="David" w:hAnsi="David"/>
                <w:sz w:val="26"/>
                <w:rtl/>
              </w:rPr>
              <w:t>)</w:t>
            </w:r>
            <w:r w:rsidR="00737DCB">
              <w:rPr>
                <w:rFonts w:ascii="David" w:hAnsi="David"/>
                <w:sz w:val="26"/>
                <w:rtl/>
              </w:rPr>
              <w:tab/>
            </w:r>
            <w:r w:rsidRPr="00484713">
              <w:rPr>
                <w:rtl/>
              </w:rPr>
              <w:t xml:space="preserve">מלאו לפדוי שבי 80 שנים, </w:t>
            </w:r>
            <w:r w:rsidR="00737DCB">
              <w:rPr>
                <w:rFonts w:hint="cs"/>
                <w:rtl/>
              </w:rPr>
              <w:t xml:space="preserve">תיווסף לתשלומים המשולמים לו </w:t>
            </w:r>
            <w:r w:rsidRPr="00484713">
              <w:rPr>
                <w:rFonts w:hint="cs"/>
                <w:rtl/>
              </w:rPr>
              <w:t xml:space="preserve">כאמור בפסקה (6), </w:t>
            </w:r>
            <w:r w:rsidRPr="00484713">
              <w:rPr>
                <w:rtl/>
              </w:rPr>
              <w:t>תוספת בשיעור 25 אחוזים</w:t>
            </w:r>
            <w:r w:rsidRPr="00484713">
              <w:rPr>
                <w:rFonts w:hint="cs"/>
                <w:rtl/>
              </w:rPr>
              <w:t>."</w:t>
            </w:r>
            <w:r w:rsidRPr="00484713">
              <w:rPr>
                <w:rtl/>
              </w:rPr>
              <w:t xml:space="preserve">; </w:t>
            </w:r>
          </w:p>
        </w:tc>
      </w:tr>
      <w:tr w:rsidR="00CF151E" w:rsidRPr="00561E85" w14:paraId="11966108" w14:textId="77777777" w:rsidTr="00836E49">
        <w:tc>
          <w:tcPr>
            <w:tcW w:w="1870" w:type="dxa"/>
          </w:tcPr>
          <w:p w14:paraId="01217F36" w14:textId="77777777" w:rsidR="00CF151E" w:rsidRPr="00561E85" w:rsidRDefault="00CF151E" w:rsidP="002228B6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7D19E360" w14:textId="77777777" w:rsidR="00CF151E" w:rsidRPr="00561E85" w:rsidRDefault="00CF151E" w:rsidP="002228B6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gridSpan w:val="3"/>
          </w:tcPr>
          <w:p w14:paraId="368B1AF8" w14:textId="1339F387" w:rsidR="00CF151E" w:rsidRPr="005459C4" w:rsidRDefault="00CF151E" w:rsidP="00836E49">
            <w:pPr>
              <w:pStyle w:val="TableBlock"/>
              <w:tabs>
                <w:tab w:val="left" w:pos="624"/>
                <w:tab w:val="left" w:pos="1247"/>
              </w:tabs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(2)</w:t>
            </w:r>
            <w:r>
              <w:rPr>
                <w:rFonts w:ascii="David" w:hAnsi="David"/>
                <w:sz w:val="26"/>
                <w:rtl/>
              </w:rPr>
              <w:tab/>
            </w:r>
            <w:r>
              <w:rPr>
                <w:rFonts w:ascii="David" w:hAnsi="David" w:hint="cs"/>
                <w:sz w:val="26"/>
                <w:rtl/>
              </w:rPr>
              <w:t xml:space="preserve">בסעיף קטן (ב) </w:t>
            </w:r>
            <w:r>
              <w:rPr>
                <w:rFonts w:ascii="David" w:hAnsi="David" w:hint="eastAsia"/>
                <w:sz w:val="26"/>
                <w:rtl/>
              </w:rPr>
              <w:t>–</w:t>
            </w:r>
            <w:r>
              <w:rPr>
                <w:rFonts w:ascii="David" w:hAnsi="David" w:hint="cs"/>
                <w:sz w:val="26"/>
                <w:rtl/>
              </w:rPr>
              <w:t xml:space="preserve"> </w:t>
            </w:r>
          </w:p>
        </w:tc>
      </w:tr>
      <w:tr w:rsidR="00CF151E" w14:paraId="7415E165" w14:textId="77777777" w:rsidTr="00836E49">
        <w:tc>
          <w:tcPr>
            <w:tcW w:w="1870" w:type="dxa"/>
          </w:tcPr>
          <w:p w14:paraId="31403F43" w14:textId="77777777" w:rsidR="00CF151E" w:rsidRDefault="00CF151E">
            <w:pPr>
              <w:pStyle w:val="TableSideHeading"/>
            </w:pPr>
          </w:p>
        </w:tc>
        <w:tc>
          <w:tcPr>
            <w:tcW w:w="624" w:type="dxa"/>
          </w:tcPr>
          <w:p w14:paraId="08C7B02E" w14:textId="77777777" w:rsidR="00CF151E" w:rsidRDefault="00CF151E">
            <w:pPr>
              <w:pStyle w:val="TableText"/>
            </w:pPr>
          </w:p>
        </w:tc>
        <w:tc>
          <w:tcPr>
            <w:tcW w:w="624" w:type="dxa"/>
          </w:tcPr>
          <w:p w14:paraId="6FBE8915" w14:textId="77777777" w:rsidR="00CF151E" w:rsidRDefault="00CF151E">
            <w:pPr>
              <w:pStyle w:val="TableText"/>
            </w:pPr>
          </w:p>
        </w:tc>
        <w:tc>
          <w:tcPr>
            <w:tcW w:w="6519" w:type="dxa"/>
            <w:gridSpan w:val="2"/>
          </w:tcPr>
          <w:p w14:paraId="7B9DE98E" w14:textId="76722B7D" w:rsidR="00CF151E" w:rsidRDefault="00CF151E" w:rsidP="00836E49">
            <w:pPr>
              <w:pStyle w:val="TableBlock"/>
              <w:tabs>
                <w:tab w:val="left" w:pos="624"/>
                <w:tab w:val="left" w:pos="1247"/>
              </w:tabs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ברישה, במקום "התשלום החודשי יעודכן" יבוא "הסכומים האמורים בסעיף קטן (א) יעודכנו";</w:t>
            </w:r>
          </w:p>
        </w:tc>
      </w:tr>
      <w:tr w:rsidR="00CF151E" w14:paraId="54C0DCED" w14:textId="77777777" w:rsidTr="00836E49">
        <w:tc>
          <w:tcPr>
            <w:tcW w:w="1870" w:type="dxa"/>
          </w:tcPr>
          <w:p w14:paraId="056ABD8D" w14:textId="77777777" w:rsidR="00CF151E" w:rsidRDefault="00CF151E">
            <w:pPr>
              <w:pStyle w:val="TableSideHeading"/>
            </w:pPr>
          </w:p>
        </w:tc>
        <w:tc>
          <w:tcPr>
            <w:tcW w:w="624" w:type="dxa"/>
          </w:tcPr>
          <w:p w14:paraId="6AF6857D" w14:textId="77777777" w:rsidR="00CF151E" w:rsidRDefault="00CF151E" w:rsidP="00CF151E">
            <w:pPr>
              <w:pStyle w:val="TableText"/>
            </w:pPr>
          </w:p>
        </w:tc>
        <w:tc>
          <w:tcPr>
            <w:tcW w:w="624" w:type="dxa"/>
          </w:tcPr>
          <w:p w14:paraId="0E6C0041" w14:textId="77777777" w:rsidR="00CF151E" w:rsidRDefault="00CF151E">
            <w:pPr>
              <w:pStyle w:val="TableText"/>
            </w:pPr>
          </w:p>
        </w:tc>
        <w:tc>
          <w:tcPr>
            <w:tcW w:w="6519" w:type="dxa"/>
            <w:gridSpan w:val="2"/>
          </w:tcPr>
          <w:p w14:paraId="60526A32" w14:textId="330E3DA5" w:rsidR="00CF151E" w:rsidRDefault="00CF151E" w:rsidP="00836E49">
            <w:pPr>
              <w:pStyle w:val="TableBlock"/>
              <w:tabs>
                <w:tab w:val="left" w:pos="624"/>
                <w:tab w:val="left" w:pos="1247"/>
              </w:tabs>
              <w:rPr>
                <w:rtl/>
              </w:rPr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בהגדרה "המדד הב</w:t>
            </w:r>
            <w:r w:rsidR="00836E49">
              <w:rPr>
                <w:rFonts w:hint="cs"/>
                <w:rtl/>
              </w:rPr>
              <w:t>סיסי", במקום "2004" יבוא "2024";</w:t>
            </w:r>
          </w:p>
        </w:tc>
      </w:tr>
      <w:tr w:rsidR="00B06A33" w:rsidRPr="00561E85" w14:paraId="3AA697C2" w14:textId="77777777" w:rsidTr="00836E49">
        <w:tc>
          <w:tcPr>
            <w:tcW w:w="1870" w:type="dxa"/>
          </w:tcPr>
          <w:p w14:paraId="61424DB1" w14:textId="77777777" w:rsidR="00B06A33" w:rsidRPr="00561E85" w:rsidRDefault="00B06A33" w:rsidP="002228B6">
            <w:pPr>
              <w:pStyle w:val="TableSideHeading"/>
              <w:rPr>
                <w:rtl/>
              </w:rPr>
            </w:pPr>
            <w:bookmarkStart w:id="10" w:name="_Hlk161677887"/>
            <w:bookmarkEnd w:id="8"/>
            <w:bookmarkEnd w:id="9"/>
          </w:p>
        </w:tc>
        <w:tc>
          <w:tcPr>
            <w:tcW w:w="624" w:type="dxa"/>
          </w:tcPr>
          <w:p w14:paraId="47AB7038" w14:textId="2502707F" w:rsidR="00B06A33" w:rsidRPr="00561E85" w:rsidRDefault="00B06A33" w:rsidP="002228B6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gridSpan w:val="3"/>
          </w:tcPr>
          <w:p w14:paraId="7EC08476" w14:textId="751BA128" w:rsidR="00B06A33" w:rsidRPr="00561E85" w:rsidRDefault="00E95F32" w:rsidP="00836E49">
            <w:pPr>
              <w:pStyle w:val="TableBlock"/>
              <w:tabs>
                <w:tab w:val="left" w:pos="624"/>
                <w:tab w:val="left" w:pos="1247"/>
              </w:tabs>
              <w:rPr>
                <w:rtl/>
              </w:rPr>
            </w:pPr>
            <w:r>
              <w:rPr>
                <w:rFonts w:hint="cs"/>
                <w:sz w:val="26"/>
                <w:rtl/>
              </w:rPr>
              <w:t>(3)</w:t>
            </w:r>
            <w:r>
              <w:rPr>
                <w:sz w:val="26"/>
                <w:rtl/>
              </w:rPr>
              <w:tab/>
            </w:r>
            <w:r>
              <w:rPr>
                <w:rFonts w:hint="cs"/>
                <w:sz w:val="26"/>
                <w:rtl/>
              </w:rPr>
              <w:t>אחרי סעיף קטן (ב) יבוא:</w:t>
            </w:r>
            <w:r w:rsidR="00B06A33">
              <w:rPr>
                <w:rFonts w:hint="cs"/>
                <w:sz w:val="26"/>
                <w:rtl/>
              </w:rPr>
              <w:t xml:space="preserve"> </w:t>
            </w:r>
          </w:p>
        </w:tc>
      </w:tr>
      <w:tr w:rsidR="00E95F32" w14:paraId="575D2797" w14:textId="77777777" w:rsidTr="00836E49">
        <w:tc>
          <w:tcPr>
            <w:tcW w:w="1870" w:type="dxa"/>
          </w:tcPr>
          <w:p w14:paraId="32DE2B75" w14:textId="77777777" w:rsidR="00E95F32" w:rsidRDefault="00E95F32">
            <w:pPr>
              <w:pStyle w:val="TableSideHeading"/>
            </w:pPr>
          </w:p>
        </w:tc>
        <w:tc>
          <w:tcPr>
            <w:tcW w:w="624" w:type="dxa"/>
          </w:tcPr>
          <w:p w14:paraId="1035EB9E" w14:textId="77777777" w:rsidR="00E95F32" w:rsidRDefault="00E95F32">
            <w:pPr>
              <w:pStyle w:val="TableText"/>
            </w:pPr>
          </w:p>
        </w:tc>
        <w:tc>
          <w:tcPr>
            <w:tcW w:w="624" w:type="dxa"/>
          </w:tcPr>
          <w:p w14:paraId="7F9CC424" w14:textId="77777777" w:rsidR="00E95F32" w:rsidRDefault="00E95F32">
            <w:pPr>
              <w:pStyle w:val="TableText"/>
            </w:pPr>
          </w:p>
        </w:tc>
        <w:tc>
          <w:tcPr>
            <w:tcW w:w="6519" w:type="dxa"/>
            <w:gridSpan w:val="2"/>
          </w:tcPr>
          <w:p w14:paraId="3C1D9EAD" w14:textId="25BAFB88" w:rsidR="00E95F32" w:rsidRDefault="00E95F32" w:rsidP="00836E49">
            <w:pPr>
              <w:pStyle w:val="TableBlock"/>
            </w:pPr>
            <w:r>
              <w:rPr>
                <w:rFonts w:hint="cs"/>
                <w:rtl/>
              </w:rPr>
              <w:t>"(ג)</w:t>
            </w:r>
            <w:r>
              <w:rPr>
                <w:rtl/>
              </w:rPr>
              <w:tab/>
            </w:r>
            <w:r w:rsidRPr="00A3253A">
              <w:rPr>
                <w:rFonts w:hint="cs"/>
                <w:sz w:val="26"/>
                <w:rtl/>
              </w:rPr>
              <w:t xml:space="preserve">מי שהוכר כפדוי </w:t>
            </w:r>
            <w:r w:rsidRPr="00B636BD">
              <w:rPr>
                <w:rStyle w:val="default"/>
                <w:rFonts w:ascii="David" w:hAnsi="David" w:hint="cs"/>
                <w:rtl/>
              </w:rPr>
              <w:t>שבי</w:t>
            </w:r>
            <w:r w:rsidRPr="00A3253A">
              <w:rPr>
                <w:rFonts w:hint="cs"/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 xml:space="preserve">עד לתאריך כ"א בתשרי </w:t>
            </w:r>
            <w:r w:rsidR="004D20B7">
              <w:rPr>
                <w:rFonts w:hint="cs"/>
                <w:sz w:val="26"/>
                <w:rtl/>
              </w:rPr>
              <w:t>התשפ</w:t>
            </w:r>
            <w:r>
              <w:rPr>
                <w:rFonts w:hint="cs"/>
                <w:sz w:val="26"/>
                <w:rtl/>
              </w:rPr>
              <w:t xml:space="preserve">"ד (6 באוקטובר 2023), זכאי למענק חד פעמי בסכום של 60,000 שקלים חדשים, במקום התשלומים לפי סעיף קטן (א)(1) עד (4); הסכום האמור בסעיף קטן זה ישולם בתוך 30 ימים מיום תחילתו של חוק תשלומים לפדויי שבי (תיקון </w:t>
            </w:r>
            <w:r>
              <w:rPr>
                <w:sz w:val="26"/>
                <w:rtl/>
              </w:rPr>
              <w:t>–</w:t>
            </w:r>
            <w:r>
              <w:rPr>
                <w:rFonts w:hint="cs"/>
                <w:sz w:val="26"/>
                <w:rtl/>
              </w:rPr>
              <w:t xml:space="preserve"> סכומי התשלומים ומועדיהם), התשפ"ד</w:t>
            </w:r>
            <w:r>
              <w:rPr>
                <w:rFonts w:hint="eastAsia"/>
                <w:sz w:val="26"/>
                <w:rtl/>
              </w:rPr>
              <w:t>–</w:t>
            </w:r>
            <w:r>
              <w:rPr>
                <w:rFonts w:hint="cs"/>
                <w:sz w:val="26"/>
                <w:rtl/>
              </w:rPr>
              <w:t>2024.</w:t>
            </w:r>
            <w:r w:rsidR="00D22C34">
              <w:rPr>
                <w:rFonts w:hint="cs"/>
                <w:sz w:val="26"/>
                <w:rtl/>
              </w:rPr>
              <w:t>"</w:t>
            </w:r>
          </w:p>
        </w:tc>
      </w:tr>
      <w:tr w:rsidR="00B06A33" w:rsidRPr="00561E85" w14:paraId="3D4CADCC" w14:textId="77777777" w:rsidTr="00836E49">
        <w:tc>
          <w:tcPr>
            <w:tcW w:w="1870" w:type="dxa"/>
          </w:tcPr>
          <w:p w14:paraId="2418AEBE" w14:textId="549443B7" w:rsidR="00B06A33" w:rsidRPr="00EC4205" w:rsidRDefault="00E95F32" w:rsidP="002228B6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>תיקון חוק הנכים (תגמולים ושיקום)</w:t>
            </w:r>
          </w:p>
        </w:tc>
        <w:tc>
          <w:tcPr>
            <w:tcW w:w="624" w:type="dxa"/>
          </w:tcPr>
          <w:p w14:paraId="61F46A84" w14:textId="7D2CD36C" w:rsidR="00B06A33" w:rsidRPr="00561E85" w:rsidRDefault="00737DCB" w:rsidP="002228B6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3" w:type="dxa"/>
            <w:gridSpan w:val="3"/>
          </w:tcPr>
          <w:p w14:paraId="78A72C55" w14:textId="71240E5D" w:rsidR="00B06A33" w:rsidRPr="00A3253A" w:rsidRDefault="00691DBE" w:rsidP="00836E49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ב</w:t>
            </w:r>
            <w:r w:rsidRPr="00A3253A">
              <w:rPr>
                <w:rFonts w:hint="cs"/>
                <w:sz w:val="26"/>
                <w:rtl/>
              </w:rPr>
              <w:t>חוק הנכים (תגמולים ושיקום)</w:t>
            </w:r>
            <w:r>
              <w:rPr>
                <w:rFonts w:hint="cs"/>
                <w:sz w:val="26"/>
                <w:rtl/>
              </w:rPr>
              <w:t>,</w:t>
            </w:r>
            <w:r w:rsidRPr="00A3253A">
              <w:rPr>
                <w:rFonts w:hint="cs"/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>ה</w:t>
            </w:r>
            <w:r w:rsidRPr="00A3253A">
              <w:rPr>
                <w:rFonts w:hint="cs"/>
                <w:sz w:val="26"/>
                <w:rtl/>
              </w:rPr>
              <w:t>תשי"ט</w:t>
            </w:r>
            <w:r>
              <w:rPr>
                <w:rFonts w:hint="eastAsia"/>
                <w:sz w:val="26"/>
                <w:rtl/>
              </w:rPr>
              <w:t>–</w:t>
            </w:r>
            <w:r>
              <w:rPr>
                <w:rFonts w:hint="cs"/>
                <w:sz w:val="26"/>
                <w:rtl/>
              </w:rPr>
              <w:t>1959 [נוסח משולב]</w:t>
            </w:r>
            <w:r w:rsidRPr="00836E49">
              <w:rPr>
                <w:rStyle w:val="a5"/>
                <w:rFonts w:ascii="David" w:hAnsi="David"/>
                <w:sz w:val="26"/>
                <w:rtl/>
              </w:rPr>
              <w:footnoteReference w:id="3"/>
            </w:r>
            <w:r>
              <w:rPr>
                <w:rFonts w:hint="cs"/>
                <w:sz w:val="26"/>
                <w:rtl/>
              </w:rPr>
              <w:t xml:space="preserve">, בסעיף 10, אחרי סעיף קטן (ב) יבוא: </w:t>
            </w:r>
          </w:p>
          <w:p w14:paraId="405CA5AD" w14:textId="77777777" w:rsidR="00B06A33" w:rsidRPr="00561E85" w:rsidRDefault="00B06A33" w:rsidP="002228B6">
            <w:pPr>
              <w:pStyle w:val="TableBlock"/>
              <w:rPr>
                <w:rtl/>
              </w:rPr>
            </w:pPr>
          </w:p>
        </w:tc>
      </w:tr>
      <w:tr w:rsidR="00691DBE" w:rsidRPr="00561E85" w14:paraId="37B1BC41" w14:textId="77777777" w:rsidTr="00836E49">
        <w:tc>
          <w:tcPr>
            <w:tcW w:w="1870" w:type="dxa"/>
          </w:tcPr>
          <w:p w14:paraId="7F291E21" w14:textId="77777777" w:rsidR="00691DBE" w:rsidRDefault="00691DBE" w:rsidP="002228B6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6775E321" w14:textId="77777777" w:rsidR="00691DBE" w:rsidRDefault="00691DBE" w:rsidP="002228B6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gridSpan w:val="3"/>
          </w:tcPr>
          <w:p w14:paraId="30974EAB" w14:textId="6F2A0D68" w:rsidR="00691DBE" w:rsidRDefault="00691DBE" w:rsidP="00836E49">
            <w:pPr>
              <w:pStyle w:val="TableBlock"/>
              <w:tabs>
                <w:tab w:val="left" w:pos="624"/>
                <w:tab w:val="left" w:pos="1247"/>
              </w:tabs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"(ג)</w:t>
            </w:r>
            <w:r>
              <w:rPr>
                <w:sz w:val="26"/>
                <w:rtl/>
              </w:rPr>
              <w:tab/>
            </w:r>
            <w:r>
              <w:rPr>
                <w:rFonts w:hint="cs"/>
                <w:sz w:val="26"/>
                <w:rtl/>
              </w:rPr>
              <w:t>על אף האמור בסעיף קטן (ב), למי שהוכר כפדוי שבי לפי סעיף 2(א) לחוק תשלומים לפדויי שבי, התשס"ה</w:t>
            </w:r>
            <w:r w:rsidR="00D22C34">
              <w:rPr>
                <w:rFonts w:hint="eastAsia"/>
                <w:sz w:val="26"/>
                <w:rtl/>
              </w:rPr>
              <w:t>–</w:t>
            </w:r>
            <w:r>
              <w:rPr>
                <w:rFonts w:hint="cs"/>
                <w:sz w:val="26"/>
                <w:rtl/>
              </w:rPr>
              <w:t>2005</w:t>
            </w:r>
            <w:r w:rsidR="00D22C34" w:rsidRPr="00836E49">
              <w:rPr>
                <w:rStyle w:val="a5"/>
                <w:rFonts w:ascii="David" w:hAnsi="David"/>
                <w:sz w:val="26"/>
                <w:rtl/>
              </w:rPr>
              <w:footnoteReference w:id="4"/>
            </w:r>
            <w:r>
              <w:rPr>
                <w:rFonts w:hint="cs"/>
                <w:sz w:val="26"/>
                <w:rtl/>
              </w:rPr>
              <w:t xml:space="preserve">, </w:t>
            </w:r>
            <w:r w:rsidRPr="00691DBE">
              <w:rPr>
                <w:rFonts w:hint="cs"/>
                <w:sz w:val="26"/>
                <w:rtl/>
              </w:rPr>
              <w:t>תיקבע דרגת נכות של 50% לפחות</w:t>
            </w:r>
            <w:r>
              <w:rPr>
                <w:rFonts w:hint="cs"/>
                <w:sz w:val="26"/>
                <w:rtl/>
              </w:rPr>
              <w:t>."</w:t>
            </w:r>
          </w:p>
        </w:tc>
      </w:tr>
      <w:tr w:rsidR="00E95F32" w:rsidRPr="00561E85" w14:paraId="2F43D46D" w14:textId="77777777" w:rsidTr="00836E49">
        <w:tc>
          <w:tcPr>
            <w:tcW w:w="1870" w:type="dxa"/>
          </w:tcPr>
          <w:p w14:paraId="3F0CFACB" w14:textId="104DCCA7" w:rsidR="00E95F32" w:rsidRDefault="00E95F32" w:rsidP="002228B6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>תיקון חוק התגמולים לנפגעי פעולות איבה</w:t>
            </w:r>
          </w:p>
        </w:tc>
        <w:tc>
          <w:tcPr>
            <w:tcW w:w="624" w:type="dxa"/>
          </w:tcPr>
          <w:p w14:paraId="6FFE1F60" w14:textId="03701045" w:rsidR="00E95F32" w:rsidRDefault="00737DCB" w:rsidP="002228B6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143" w:type="dxa"/>
            <w:gridSpan w:val="3"/>
          </w:tcPr>
          <w:p w14:paraId="030699B8" w14:textId="4629315A" w:rsidR="00E95F32" w:rsidRPr="00A3253A" w:rsidRDefault="00691DBE" w:rsidP="00836E49">
            <w:pPr>
              <w:pStyle w:val="TableBlock"/>
              <w:tabs>
                <w:tab w:val="left" w:pos="624"/>
                <w:tab w:val="left" w:pos="1247"/>
              </w:tabs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 xml:space="preserve">בחוק </w:t>
            </w:r>
            <w:r w:rsidRPr="00A3253A">
              <w:rPr>
                <w:rFonts w:hint="cs"/>
                <w:sz w:val="26"/>
                <w:rtl/>
              </w:rPr>
              <w:t>התג</w:t>
            </w:r>
            <w:r>
              <w:rPr>
                <w:rFonts w:hint="cs"/>
                <w:sz w:val="26"/>
                <w:rtl/>
              </w:rPr>
              <w:t>מולים לנפגעי פעולות איבה, התש"ל</w:t>
            </w:r>
            <w:r>
              <w:rPr>
                <w:rFonts w:hint="eastAsia"/>
                <w:sz w:val="26"/>
                <w:rtl/>
              </w:rPr>
              <w:t>–</w:t>
            </w:r>
            <w:r>
              <w:rPr>
                <w:rFonts w:hint="cs"/>
                <w:sz w:val="26"/>
                <w:rtl/>
              </w:rPr>
              <w:t>1970</w:t>
            </w:r>
            <w:r w:rsidRPr="00836E49">
              <w:rPr>
                <w:rStyle w:val="a5"/>
                <w:rFonts w:ascii="David" w:hAnsi="David"/>
                <w:sz w:val="26"/>
                <w:rtl/>
              </w:rPr>
              <w:footnoteReference w:id="5"/>
            </w:r>
            <w:r>
              <w:rPr>
                <w:rFonts w:hint="cs"/>
                <w:sz w:val="26"/>
                <w:rtl/>
              </w:rPr>
              <w:t>, בסעיף 5, אחרי סעיף קטן (ב) יבוא:</w:t>
            </w:r>
          </w:p>
        </w:tc>
      </w:tr>
      <w:tr w:rsidR="00691DBE" w:rsidRPr="00561E85" w14:paraId="36CFB9ED" w14:textId="77777777" w:rsidTr="00836E49">
        <w:tc>
          <w:tcPr>
            <w:tcW w:w="1870" w:type="dxa"/>
          </w:tcPr>
          <w:p w14:paraId="40D9B633" w14:textId="77777777" w:rsidR="00691DBE" w:rsidRDefault="00691DBE" w:rsidP="002228B6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7B2F9A31" w14:textId="77777777" w:rsidR="00691DBE" w:rsidRDefault="00691DBE" w:rsidP="002228B6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gridSpan w:val="3"/>
          </w:tcPr>
          <w:p w14:paraId="6C3B3792" w14:textId="03E3F7AC" w:rsidR="00691DBE" w:rsidRDefault="00691DBE" w:rsidP="00836E49">
            <w:pPr>
              <w:pStyle w:val="TableBlock"/>
              <w:tabs>
                <w:tab w:val="left" w:pos="624"/>
                <w:tab w:val="left" w:pos="1247"/>
              </w:tabs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"(ב1)</w:t>
            </w:r>
            <w:r>
              <w:rPr>
                <w:sz w:val="26"/>
                <w:rtl/>
              </w:rPr>
              <w:tab/>
            </w:r>
            <w:r>
              <w:rPr>
                <w:rFonts w:hint="cs"/>
                <w:sz w:val="26"/>
                <w:rtl/>
              </w:rPr>
              <w:t>על אף האמור בסעיף קטן (ב), למי שהוכר כפדוי שבי לפי סעיף 2(א1) לחוק תשלומים לפדויי שבי, התשס"ה</w:t>
            </w:r>
            <w:r w:rsidR="00D22C34">
              <w:rPr>
                <w:rFonts w:hint="eastAsia"/>
                <w:sz w:val="26"/>
                <w:rtl/>
              </w:rPr>
              <w:t>–</w:t>
            </w:r>
            <w:r>
              <w:rPr>
                <w:rFonts w:hint="cs"/>
                <w:sz w:val="26"/>
                <w:rtl/>
              </w:rPr>
              <w:t>2005</w:t>
            </w:r>
            <w:r w:rsidR="00D22C34" w:rsidRPr="00836E49">
              <w:rPr>
                <w:rStyle w:val="a5"/>
                <w:rFonts w:ascii="David" w:hAnsi="David"/>
                <w:sz w:val="26"/>
                <w:rtl/>
              </w:rPr>
              <w:footnoteReference w:id="6"/>
            </w:r>
            <w:r>
              <w:rPr>
                <w:rFonts w:hint="cs"/>
                <w:sz w:val="26"/>
                <w:rtl/>
              </w:rPr>
              <w:t>, תיקבע דרגת נכות של 50% לפחות."</w:t>
            </w:r>
          </w:p>
        </w:tc>
      </w:tr>
      <w:bookmarkEnd w:id="10"/>
    </w:tbl>
    <w:p w14:paraId="490C7032" w14:textId="77777777" w:rsidR="00836E49" w:rsidRDefault="00836E49" w:rsidP="00737DCB">
      <w:pPr>
        <w:pStyle w:val="HeadDivreiHesber"/>
        <w:rPr>
          <w:rtl/>
        </w:rPr>
      </w:pPr>
      <w:r>
        <w:rPr>
          <w:rtl/>
        </w:rPr>
        <w:br w:type="page"/>
      </w:r>
    </w:p>
    <w:p w14:paraId="41B43DAE" w14:textId="21620953" w:rsidR="00B06A33" w:rsidRPr="00737DCB" w:rsidRDefault="00B06A33" w:rsidP="00737DCB">
      <w:pPr>
        <w:pStyle w:val="HeadDivreiHesber"/>
        <w:rPr>
          <w:rtl/>
        </w:rPr>
      </w:pPr>
      <w:r w:rsidRPr="00737DCB">
        <w:rPr>
          <w:rFonts w:hint="cs"/>
          <w:rtl/>
        </w:rPr>
        <w:lastRenderedPageBreak/>
        <w:t>דברי הסבר</w:t>
      </w:r>
    </w:p>
    <w:p w14:paraId="3AAF1C7F" w14:textId="0A04FAC5" w:rsidR="00B06A33" w:rsidRPr="00B217F7" w:rsidRDefault="00B06A33" w:rsidP="00B217F7">
      <w:pPr>
        <w:pStyle w:val="Hesber"/>
        <w:rPr>
          <w:rtl/>
        </w:rPr>
      </w:pPr>
      <w:r w:rsidRPr="00B217F7">
        <w:rPr>
          <w:rFonts w:hint="cs"/>
          <w:rtl/>
        </w:rPr>
        <w:t>במלחמת חרבות ברזל שהחלה במתקפת החמאס בחג שמחת תורה</w:t>
      </w:r>
      <w:r w:rsidR="00836E49">
        <w:rPr>
          <w:rFonts w:hint="cs"/>
          <w:rtl/>
        </w:rPr>
        <w:t>, כ"ב בתשרי התשפ"ד</w:t>
      </w:r>
      <w:r w:rsidRPr="00B217F7">
        <w:rPr>
          <w:rFonts w:hint="cs"/>
          <w:rtl/>
        </w:rPr>
        <w:t xml:space="preserve"> (7 אוקטובר</w:t>
      </w:r>
      <w:r w:rsidR="00E95F32">
        <w:rPr>
          <w:rFonts w:hint="cs"/>
          <w:rtl/>
        </w:rPr>
        <w:t xml:space="preserve"> 2023</w:t>
      </w:r>
      <w:r w:rsidRPr="00B217F7">
        <w:rPr>
          <w:rFonts w:hint="cs"/>
          <w:rtl/>
        </w:rPr>
        <w:t xml:space="preserve">), נחטפו כ-253 חטופים וחטופות, רובם אזרחים ומיעוטם חיילים בשירות סדיר. חטופים וחטופות אלו מוחזקים על ידי ארגוני טרור רצחניים שאינם מצייתים לצו מוסרי או לדין הומניטרי כלשהם. החטופים והחטופות ששוחררו </w:t>
      </w:r>
      <w:r w:rsidR="00E95F32">
        <w:rPr>
          <w:rFonts w:hint="cs"/>
          <w:rtl/>
        </w:rPr>
        <w:t xml:space="preserve">עד עתה </w:t>
      </w:r>
      <w:r w:rsidRPr="00B217F7">
        <w:rPr>
          <w:rFonts w:hint="cs"/>
          <w:rtl/>
        </w:rPr>
        <w:t xml:space="preserve">משבי החמאס, מעידים על תנאי הכליאה האכזריים והבלתי אנושיים כמו גם על הפגיעה המתמשכת והקשה בגופם ובנפשם של </w:t>
      </w:r>
      <w:r w:rsidR="00E95F32">
        <w:rPr>
          <w:rFonts w:hint="cs"/>
          <w:rtl/>
        </w:rPr>
        <w:t>ה</w:t>
      </w:r>
      <w:r w:rsidRPr="00B217F7">
        <w:rPr>
          <w:rFonts w:hint="cs"/>
          <w:rtl/>
        </w:rPr>
        <w:t>חטופים והחטופות.</w:t>
      </w:r>
    </w:p>
    <w:p w14:paraId="6AE4F745" w14:textId="15B96C43" w:rsidR="00B06A33" w:rsidRPr="00B217F7" w:rsidRDefault="00B06A33" w:rsidP="00484713">
      <w:pPr>
        <w:pStyle w:val="Hesber"/>
        <w:rPr>
          <w:rtl/>
        </w:rPr>
      </w:pPr>
      <w:r w:rsidRPr="00B217F7">
        <w:rPr>
          <w:rFonts w:hint="cs"/>
          <w:rtl/>
        </w:rPr>
        <w:t>חוק תשלומים לפדויי שבי</w:t>
      </w:r>
      <w:r w:rsidR="00E95F32">
        <w:rPr>
          <w:rFonts w:hint="cs"/>
          <w:rtl/>
        </w:rPr>
        <w:t>, ה</w:t>
      </w:r>
      <w:r w:rsidR="00484713">
        <w:rPr>
          <w:rFonts w:hint="cs"/>
          <w:rtl/>
        </w:rPr>
        <w:t>תש</w:t>
      </w:r>
      <w:r w:rsidR="00E95F32">
        <w:rPr>
          <w:rFonts w:hint="cs"/>
          <w:rtl/>
        </w:rPr>
        <w:t>ס"</w:t>
      </w:r>
      <w:r w:rsidR="00484713">
        <w:rPr>
          <w:rFonts w:hint="cs"/>
          <w:rtl/>
        </w:rPr>
        <w:t>ה</w:t>
      </w:r>
      <w:r w:rsidR="00484713">
        <w:rPr>
          <w:rFonts w:hint="eastAsia"/>
          <w:rtl/>
        </w:rPr>
        <w:t>–</w:t>
      </w:r>
      <w:r w:rsidR="00E95F32">
        <w:rPr>
          <w:rFonts w:hint="cs"/>
          <w:rtl/>
        </w:rPr>
        <w:t>2005</w:t>
      </w:r>
      <w:r w:rsidR="00484713">
        <w:rPr>
          <w:rFonts w:hint="cs"/>
          <w:rtl/>
        </w:rPr>
        <w:t xml:space="preserve"> (להלן </w:t>
      </w:r>
      <w:r w:rsidR="00484713">
        <w:rPr>
          <w:rtl/>
        </w:rPr>
        <w:t>–</w:t>
      </w:r>
      <w:r w:rsidR="00484713">
        <w:rPr>
          <w:rFonts w:hint="cs"/>
          <w:rtl/>
        </w:rPr>
        <w:t xml:space="preserve"> החוק)</w:t>
      </w:r>
      <w:r w:rsidR="00E95F32">
        <w:rPr>
          <w:rFonts w:hint="cs"/>
          <w:rtl/>
        </w:rPr>
        <w:t xml:space="preserve">, </w:t>
      </w:r>
      <w:r w:rsidRPr="00B217F7">
        <w:rPr>
          <w:rFonts w:hint="cs"/>
          <w:rtl/>
        </w:rPr>
        <w:t xml:space="preserve">העניק הכרה רשמית לפדויי השבי שנשבו במסגרת שירותם הצבאי. </w:t>
      </w:r>
      <w:r w:rsidR="00484713">
        <w:rPr>
          <w:rFonts w:hint="cs"/>
          <w:rtl/>
        </w:rPr>
        <w:t>בתיקון משנת 2023</w:t>
      </w:r>
      <w:r w:rsidRPr="00B217F7">
        <w:rPr>
          <w:rFonts w:hint="cs"/>
          <w:rtl/>
        </w:rPr>
        <w:t xml:space="preserve"> החוק </w:t>
      </w:r>
      <w:r w:rsidR="00484713">
        <w:rPr>
          <w:rFonts w:hint="cs"/>
          <w:rtl/>
        </w:rPr>
        <w:t xml:space="preserve">איפשר להעניק </w:t>
      </w:r>
      <w:r w:rsidRPr="00B217F7">
        <w:rPr>
          <w:rFonts w:hint="cs"/>
          <w:rtl/>
        </w:rPr>
        <w:t xml:space="preserve">הכרה </w:t>
      </w:r>
      <w:r w:rsidR="00484713">
        <w:rPr>
          <w:rFonts w:hint="cs"/>
          <w:rtl/>
        </w:rPr>
        <w:t xml:space="preserve">כפדוי שבי </w:t>
      </w:r>
      <w:r w:rsidRPr="00B217F7">
        <w:rPr>
          <w:rFonts w:hint="cs"/>
          <w:rtl/>
        </w:rPr>
        <w:t xml:space="preserve">גם לאזרחים שנחטפו והוחזקו על ידי ארגוני הטרור. </w:t>
      </w:r>
      <w:r w:rsidR="00484713">
        <w:rPr>
          <w:rFonts w:hint="cs"/>
          <w:rtl/>
        </w:rPr>
        <w:t>לפי החוק זכאי פדוי השבי ל</w:t>
      </w:r>
      <w:r w:rsidRPr="00B217F7">
        <w:rPr>
          <w:rFonts w:hint="cs"/>
          <w:rtl/>
        </w:rPr>
        <w:t xml:space="preserve">תשלום חודשי למשך כל </w:t>
      </w:r>
      <w:r w:rsidR="00484713">
        <w:rPr>
          <w:rFonts w:hint="cs"/>
          <w:rtl/>
        </w:rPr>
        <w:t xml:space="preserve">ימי </w:t>
      </w:r>
      <w:r w:rsidRPr="00B217F7">
        <w:rPr>
          <w:rFonts w:hint="cs"/>
          <w:rtl/>
        </w:rPr>
        <w:t>חיי</w:t>
      </w:r>
      <w:r w:rsidR="00484713">
        <w:rPr>
          <w:rFonts w:hint="cs"/>
          <w:rtl/>
        </w:rPr>
        <w:t>ו</w:t>
      </w:r>
      <w:r w:rsidRPr="00B217F7">
        <w:rPr>
          <w:rFonts w:hint="cs"/>
          <w:rtl/>
        </w:rPr>
        <w:t>. דא עקא שהתשלום שנקבע בחוק רחוק מלספק את הצרכים הייחודיים שמתעוררים לפדויי השבי עקב הטראומה שחוו.</w:t>
      </w:r>
    </w:p>
    <w:p w14:paraId="6CEF08AD" w14:textId="4E21ECDE" w:rsidR="00B06A33" w:rsidRPr="00B217F7" w:rsidRDefault="00B06A33" w:rsidP="00484713">
      <w:pPr>
        <w:pStyle w:val="Hesber"/>
        <w:rPr>
          <w:rtl/>
        </w:rPr>
      </w:pPr>
      <w:r w:rsidRPr="00B217F7">
        <w:rPr>
          <w:rFonts w:hint="cs"/>
          <w:rtl/>
        </w:rPr>
        <w:t xml:space="preserve">מטרת תיקון חוק זה היא להוסיף על התשלומים הקיימים בחוק ולייצר מערכת תמיכה ראויה בפדויי השבי </w:t>
      </w:r>
      <w:r w:rsidRPr="00B217F7">
        <w:rPr>
          <w:rtl/>
        </w:rPr>
        <w:t>–</w:t>
      </w:r>
      <w:r w:rsidRPr="00B217F7">
        <w:rPr>
          <w:rFonts w:hint="cs"/>
          <w:rtl/>
        </w:rPr>
        <w:t xml:space="preserve"> הן אל</w:t>
      </w:r>
      <w:r w:rsidR="00484713">
        <w:rPr>
          <w:rFonts w:hint="cs"/>
          <w:rtl/>
        </w:rPr>
        <w:t>ה ש</w:t>
      </w:r>
      <w:r w:rsidRPr="00B217F7">
        <w:rPr>
          <w:rFonts w:hint="cs"/>
          <w:rtl/>
        </w:rPr>
        <w:t xml:space="preserve">נחטפו על ידי ארגוני המרצחים ביום שמחת תורה </w:t>
      </w:r>
      <w:r w:rsidR="00484713">
        <w:rPr>
          <w:rFonts w:hint="cs"/>
          <w:rtl/>
        </w:rPr>
        <w:t>ה</w:t>
      </w:r>
      <w:r w:rsidRPr="00B217F7">
        <w:rPr>
          <w:rFonts w:hint="cs"/>
          <w:rtl/>
        </w:rPr>
        <w:t>תשפ"ד, והן אל</w:t>
      </w:r>
      <w:r w:rsidR="00484713">
        <w:rPr>
          <w:rFonts w:hint="cs"/>
          <w:rtl/>
        </w:rPr>
        <w:t>ה</w:t>
      </w:r>
      <w:r w:rsidRPr="00B217F7">
        <w:rPr>
          <w:rFonts w:hint="cs"/>
          <w:rtl/>
        </w:rPr>
        <w:t xml:space="preserve"> </w:t>
      </w:r>
      <w:r w:rsidR="00484713">
        <w:rPr>
          <w:rFonts w:hint="cs"/>
          <w:rtl/>
        </w:rPr>
        <w:t>ש</w:t>
      </w:r>
      <w:r w:rsidRPr="00B217F7">
        <w:rPr>
          <w:rFonts w:hint="cs"/>
          <w:rtl/>
        </w:rPr>
        <w:t>נשבו קודם לכן.</w:t>
      </w:r>
    </w:p>
    <w:p w14:paraId="292CC35E" w14:textId="2D02C8E5" w:rsidR="00B06A33" w:rsidRPr="00B217F7" w:rsidRDefault="00B06A33" w:rsidP="00484713">
      <w:pPr>
        <w:pStyle w:val="Hesber"/>
        <w:rPr>
          <w:rtl/>
        </w:rPr>
      </w:pPr>
      <w:r w:rsidRPr="00B217F7">
        <w:rPr>
          <w:rFonts w:hint="cs"/>
          <w:rtl/>
        </w:rPr>
        <w:t xml:space="preserve">הצעת החוק קובעת </w:t>
      </w:r>
      <w:r w:rsidR="00484713">
        <w:rPr>
          <w:rFonts w:hint="cs"/>
          <w:rtl/>
        </w:rPr>
        <w:t xml:space="preserve">כי </w:t>
      </w:r>
      <w:r w:rsidRPr="00B217F7">
        <w:rPr>
          <w:rFonts w:hint="cs"/>
          <w:rtl/>
        </w:rPr>
        <w:t xml:space="preserve">תשלום חד פעמי ישולם </w:t>
      </w:r>
      <w:r w:rsidR="00484713">
        <w:rPr>
          <w:rFonts w:hint="cs"/>
          <w:rtl/>
        </w:rPr>
        <w:t>ב</w:t>
      </w:r>
      <w:r w:rsidRPr="00B217F7">
        <w:rPr>
          <w:rFonts w:hint="cs"/>
          <w:rtl/>
        </w:rPr>
        <w:t>תוך שבעה ימים ממועד הכרת האדם כפדוי שבי</w:t>
      </w:r>
      <w:r w:rsidR="00484713">
        <w:rPr>
          <w:rFonts w:hint="cs"/>
          <w:rtl/>
        </w:rPr>
        <w:t>. בנוסף ישולמו</w:t>
      </w:r>
      <w:r w:rsidRPr="00B217F7">
        <w:rPr>
          <w:rFonts w:hint="cs"/>
          <w:rtl/>
        </w:rPr>
        <w:t xml:space="preserve"> תשלומים חודשיים מוגדלים בשנה הראשונה ובשנה השנייה להכר</w:t>
      </w:r>
      <w:r w:rsidR="00484713">
        <w:rPr>
          <w:rFonts w:hint="cs"/>
          <w:rtl/>
        </w:rPr>
        <w:t>ה באדם כפדוי שבי</w:t>
      </w:r>
      <w:r w:rsidRPr="00B217F7">
        <w:rPr>
          <w:rFonts w:hint="cs"/>
          <w:rtl/>
        </w:rPr>
        <w:t xml:space="preserve">. נוסף </w:t>
      </w:r>
      <w:r w:rsidR="00484713">
        <w:rPr>
          <w:rFonts w:hint="cs"/>
          <w:rtl/>
        </w:rPr>
        <w:t xml:space="preserve">על כך </w:t>
      </w:r>
      <w:r w:rsidRPr="00B217F7">
        <w:rPr>
          <w:rFonts w:hint="cs"/>
          <w:rtl/>
        </w:rPr>
        <w:t>קובעת הצעת החוק הגדלה משמעותית של סכום הקצבה החודשי שישולם ביתר השנים.</w:t>
      </w:r>
      <w:r w:rsidR="00D22C34">
        <w:rPr>
          <w:rFonts w:hint="cs"/>
          <w:rtl/>
        </w:rPr>
        <w:t xml:space="preserve"> לגבי מי שהגיע לגיל 67 ישלמו התשלומים החודשיים בתשלום אחד עבור כל שנה מראש, ולגבי מי שהגיע לגיל 80 ישולמו כאמור, בתוספת 25%.</w:t>
      </w:r>
    </w:p>
    <w:p w14:paraId="354FC3FE" w14:textId="4D8CEFC4" w:rsidR="00B06A33" w:rsidRPr="00B217F7" w:rsidRDefault="00484713" w:rsidP="004D20B7">
      <w:pPr>
        <w:pStyle w:val="Hesber"/>
        <w:rPr>
          <w:rtl/>
        </w:rPr>
      </w:pPr>
      <w:r>
        <w:rPr>
          <w:rFonts w:hint="cs"/>
          <w:rtl/>
        </w:rPr>
        <w:t xml:space="preserve">כמו כן </w:t>
      </w:r>
      <w:r w:rsidR="00D22C34">
        <w:rPr>
          <w:rFonts w:hint="cs"/>
          <w:rtl/>
        </w:rPr>
        <w:t>מוצע לקבוע כי לעניין חוק התגמולים לנפגעי פעולות איבה, התש"ל</w:t>
      </w:r>
      <w:r w:rsidR="004D20B7">
        <w:rPr>
          <w:rFonts w:hint="eastAsia"/>
          <w:rtl/>
        </w:rPr>
        <w:t>–</w:t>
      </w:r>
      <w:r w:rsidR="00D22C34">
        <w:rPr>
          <w:rFonts w:hint="cs"/>
          <w:rtl/>
        </w:rPr>
        <w:t>1970</w:t>
      </w:r>
      <w:r w:rsidR="00836E49">
        <w:rPr>
          <w:rFonts w:hint="cs"/>
          <w:rtl/>
        </w:rPr>
        <w:t>,</w:t>
      </w:r>
      <w:bookmarkStart w:id="11" w:name="_GoBack"/>
      <w:bookmarkEnd w:id="11"/>
      <w:r w:rsidR="00D22C34">
        <w:rPr>
          <w:rFonts w:hint="cs"/>
          <w:rtl/>
        </w:rPr>
        <w:t xml:space="preserve"> ולעניין חוק הנכים (תגמולים ושיקום), התשי"ט</w:t>
      </w:r>
      <w:r w:rsidR="004D20B7">
        <w:rPr>
          <w:rFonts w:hint="eastAsia"/>
          <w:rtl/>
        </w:rPr>
        <w:t>–</w:t>
      </w:r>
      <w:r w:rsidR="00D22C34">
        <w:rPr>
          <w:rFonts w:hint="cs"/>
          <w:rtl/>
        </w:rPr>
        <w:t xml:space="preserve">1959 [נוסח משולב], </w:t>
      </w:r>
      <w:r>
        <w:rPr>
          <w:rFonts w:hint="cs"/>
          <w:rtl/>
        </w:rPr>
        <w:t xml:space="preserve">כי פדוי השבי ייחשב כנכה בשיעור </w:t>
      </w:r>
      <w:r w:rsidR="004D20B7">
        <w:rPr>
          <w:rFonts w:hint="cs"/>
          <w:rtl/>
        </w:rPr>
        <w:t>50%</w:t>
      </w:r>
      <w:r w:rsidR="00B06A33" w:rsidRPr="00B217F7">
        <w:rPr>
          <w:rFonts w:hint="cs"/>
          <w:rtl/>
        </w:rPr>
        <w:t xml:space="preserve"> נכות לפחות, בלי לפגוע באפשרות להכרה בשיעור נכות גבוה יותר</w:t>
      </w:r>
      <w:r w:rsidR="00D22C34">
        <w:rPr>
          <w:rFonts w:hint="cs"/>
          <w:rtl/>
        </w:rPr>
        <w:t xml:space="preserve"> בהתאם למצבו בפועל</w:t>
      </w:r>
      <w:r w:rsidR="00B06A33" w:rsidRPr="00B217F7">
        <w:rPr>
          <w:rFonts w:hint="cs"/>
          <w:rtl/>
        </w:rPr>
        <w:t>.</w:t>
      </w:r>
    </w:p>
    <w:p w14:paraId="442306E4" w14:textId="11504C6D" w:rsidR="00B06A33" w:rsidRPr="00B217F7" w:rsidRDefault="00B06A33" w:rsidP="00484713">
      <w:pPr>
        <w:pStyle w:val="Hesber"/>
        <w:rPr>
          <w:rtl/>
        </w:rPr>
      </w:pPr>
      <w:r w:rsidRPr="00B217F7">
        <w:rPr>
          <w:rFonts w:hint="cs"/>
          <w:rtl/>
        </w:rPr>
        <w:t xml:space="preserve">תיקון </w:t>
      </w:r>
      <w:r w:rsidR="00484713">
        <w:rPr>
          <w:rFonts w:hint="cs"/>
          <w:rtl/>
        </w:rPr>
        <w:t>ה</w:t>
      </w:r>
      <w:r w:rsidRPr="00B217F7">
        <w:rPr>
          <w:rFonts w:hint="cs"/>
          <w:rtl/>
        </w:rPr>
        <w:t xml:space="preserve">חוק הוא חובה מוסרית המוטלת על החברה הישראלית ורשויותיה. </w:t>
      </w:r>
      <w:r w:rsidR="00484713">
        <w:rPr>
          <w:rFonts w:hint="cs"/>
          <w:rtl/>
        </w:rPr>
        <w:t>הוא יחול, בהתאמות מסוימות</w:t>
      </w:r>
      <w:r w:rsidR="004D20B7">
        <w:rPr>
          <w:rFonts w:hint="cs"/>
          <w:rtl/>
        </w:rPr>
        <w:t xml:space="preserve"> </w:t>
      </w:r>
      <w:r w:rsidRPr="00B217F7">
        <w:rPr>
          <w:rFonts w:hint="cs"/>
          <w:rtl/>
        </w:rPr>
        <w:t>כלפי פדויי שבי בעבר, וזאת על רקע ההבנה המצטברת של השפעת השבי על איכות חייהם ובריאותם, ו</w:t>
      </w:r>
      <w:r w:rsidR="00484713">
        <w:rPr>
          <w:rFonts w:hint="cs"/>
          <w:rtl/>
        </w:rPr>
        <w:t>כן יחול לגבי</w:t>
      </w:r>
      <w:r w:rsidRPr="00B217F7">
        <w:rPr>
          <w:rFonts w:hint="cs"/>
          <w:rtl/>
        </w:rPr>
        <w:t xml:space="preserve"> פדויי השבי מאסון שמחת תורה ומלחמת חרבות ברזל.</w:t>
      </w:r>
    </w:p>
    <w:p w14:paraId="0ECC3E6F" w14:textId="77777777" w:rsidR="00B06A33" w:rsidRPr="005231BB" w:rsidRDefault="00B06A33" w:rsidP="00B06A33">
      <w:pPr>
        <w:rPr>
          <w:sz w:val="26"/>
          <w:szCs w:val="26"/>
        </w:rPr>
      </w:pPr>
    </w:p>
    <w:p w14:paraId="7F6961CB" w14:textId="77777777" w:rsidR="00E13C27" w:rsidRDefault="00E13C27" w:rsidP="00E13C27">
      <w:pPr>
        <w:pStyle w:val="Hesber"/>
        <w:rPr>
          <w:rtl/>
        </w:rPr>
      </w:pPr>
    </w:p>
    <w:p w14:paraId="51C5B689" w14:textId="77777777" w:rsidR="00C82D1C" w:rsidRDefault="00836E49">
      <w:pPr>
        <w:jc w:val="left"/>
      </w:pPr>
      <w:bookmarkStart w:id="12" w:name="selectedDocDateB"/>
      <w:bookmarkEnd w:id="12"/>
      <w:r>
        <w:rPr>
          <w:rFonts w:eastAsia="David" w:hint="cs"/>
          <w:sz w:val="26"/>
          <w:szCs w:val="26"/>
          <w:rtl/>
        </w:rPr>
        <w:t>--------------------------------</w:t>
      </w:r>
    </w:p>
    <w:p w14:paraId="28F87C63" w14:textId="77777777" w:rsidR="00C82D1C" w:rsidRDefault="00836E49">
      <w:pPr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5FC8BAE7" w14:textId="77777777" w:rsidR="00C82D1C" w:rsidRDefault="00836E49">
      <w:pPr>
        <w:jc w:val="left"/>
      </w:pPr>
      <w:r>
        <w:rPr>
          <w:rFonts w:eastAsia="David" w:hint="cs"/>
          <w:sz w:val="26"/>
          <w:szCs w:val="26"/>
          <w:rtl/>
        </w:rPr>
        <w:t>והונחה על שולחן ה</w:t>
      </w:r>
      <w:r>
        <w:rPr>
          <w:rFonts w:eastAsia="David" w:hint="cs"/>
          <w:sz w:val="26"/>
          <w:szCs w:val="26"/>
          <w:rtl/>
        </w:rPr>
        <w:t>כנסת ביום</w:t>
      </w:r>
    </w:p>
    <w:p w14:paraId="32B72110" w14:textId="77777777" w:rsidR="00C82D1C" w:rsidRDefault="00836E49">
      <w:pPr>
        <w:jc w:val="left"/>
      </w:pPr>
      <w:r>
        <w:rPr>
          <w:rFonts w:eastAsia="David" w:hint="cs"/>
          <w:sz w:val="26"/>
          <w:szCs w:val="26"/>
          <w:rtl/>
        </w:rPr>
        <w:t xml:space="preserve">ט"ז באדר ב' התשפ"ד (26.03.2024) </w:t>
      </w:r>
    </w:p>
    <w:p w14:paraId="34B2FDF7" w14:textId="77777777" w:rsidR="00C82D1C" w:rsidRDefault="00C82D1C">
      <w:pPr>
        <w:spacing w:line="276" w:lineRule="auto"/>
        <w:jc w:val="left"/>
      </w:pPr>
    </w:p>
    <w:sectPr w:rsidR="00C82D1C" w:rsidSect="00836E49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7" w14:textId="496B622B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836E49">
      <w:rPr>
        <w:rStyle w:val="aa"/>
        <w:noProof/>
        <w:rtl/>
      </w:rPr>
      <w:t>3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674C0" w14:textId="77777777" w:rsidR="00D142D3" w:rsidRDefault="00D142D3" w:rsidP="00836E49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1B586AB6" w14:textId="081362E6" w:rsidR="00B217F7" w:rsidRDefault="00B217F7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התשס"ה, עמ' 977.</w:t>
      </w:r>
    </w:p>
  </w:footnote>
  <w:footnote w:id="3">
    <w:p w14:paraId="02024CBB" w14:textId="4523CA9B" w:rsidR="00691DBE" w:rsidRDefault="00691DBE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 w:rsidR="00D22C34">
        <w:rPr>
          <w:rFonts w:hint="cs"/>
          <w:rtl/>
        </w:rPr>
        <w:t>ס"ח התשי"ט, עמ' 276.</w:t>
      </w:r>
    </w:p>
  </w:footnote>
  <w:footnote w:id="4">
    <w:p w14:paraId="3B5154AE" w14:textId="6CB78263" w:rsidR="00D22C34" w:rsidRDefault="00D22C34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התשס"ה, עמ' 977.</w:t>
      </w:r>
    </w:p>
  </w:footnote>
  <w:footnote w:id="5">
    <w:p w14:paraId="7B8C6E56" w14:textId="3BF43F3D" w:rsidR="00691DBE" w:rsidRDefault="00691DBE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 w:rsidR="00D22C34">
        <w:rPr>
          <w:rFonts w:hint="cs"/>
          <w:rtl/>
        </w:rPr>
        <w:t>ס"ח התש"ל, עמ' 126.</w:t>
      </w:r>
    </w:p>
  </w:footnote>
  <w:footnote w:id="6">
    <w:p w14:paraId="5BA1248D" w14:textId="4818816D" w:rsidR="00D22C34" w:rsidRDefault="00D22C34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התשס"ה, עמ' 977.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84713"/>
    <w:rsid w:val="004A06DC"/>
    <w:rsid w:val="004B24ED"/>
    <w:rsid w:val="004B6625"/>
    <w:rsid w:val="004D20B7"/>
    <w:rsid w:val="004D2D82"/>
    <w:rsid w:val="004D3876"/>
    <w:rsid w:val="004E4552"/>
    <w:rsid w:val="004E6CDF"/>
    <w:rsid w:val="00553C9D"/>
    <w:rsid w:val="00562A66"/>
    <w:rsid w:val="005B064E"/>
    <w:rsid w:val="005D51AE"/>
    <w:rsid w:val="005F23D1"/>
    <w:rsid w:val="0062674B"/>
    <w:rsid w:val="006363B2"/>
    <w:rsid w:val="00644940"/>
    <w:rsid w:val="006818A9"/>
    <w:rsid w:val="00691DBE"/>
    <w:rsid w:val="006A2D81"/>
    <w:rsid w:val="006C1D0D"/>
    <w:rsid w:val="0070601E"/>
    <w:rsid w:val="00712C72"/>
    <w:rsid w:val="00735FE9"/>
    <w:rsid w:val="00737DCB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36E49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06A33"/>
    <w:rsid w:val="00B10265"/>
    <w:rsid w:val="00B16A99"/>
    <w:rsid w:val="00B21211"/>
    <w:rsid w:val="00B217F7"/>
    <w:rsid w:val="00B35784"/>
    <w:rsid w:val="00B733A7"/>
    <w:rsid w:val="00B75C91"/>
    <w:rsid w:val="00B975AD"/>
    <w:rsid w:val="00BC45FB"/>
    <w:rsid w:val="00BF148D"/>
    <w:rsid w:val="00C23B1A"/>
    <w:rsid w:val="00C310EB"/>
    <w:rsid w:val="00C82D1C"/>
    <w:rsid w:val="00C9176A"/>
    <w:rsid w:val="00CF151E"/>
    <w:rsid w:val="00CF1AA2"/>
    <w:rsid w:val="00D142D3"/>
    <w:rsid w:val="00D17774"/>
    <w:rsid w:val="00D22C3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95F32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3DC158EC-A8B7-4D77-8F3C-CE26E3FF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E49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6E49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836E49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836E49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836E49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36E49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836E4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36E49"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836E49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836E49"/>
    <w:rPr>
      <w:sz w:val="36"/>
      <w:szCs w:val="52"/>
    </w:rPr>
  </w:style>
  <w:style w:type="paragraph" w:customStyle="1" w:styleId="Cover3-Haknesset">
    <w:name w:val="Cover 3-Haknesset"/>
    <w:basedOn w:val="Cover1-Reshumot"/>
    <w:rsid w:val="00836E49"/>
    <w:rPr>
      <w:b/>
      <w:bCs/>
      <w:spacing w:val="60"/>
    </w:rPr>
  </w:style>
  <w:style w:type="paragraph" w:customStyle="1" w:styleId="Cover4-Date">
    <w:name w:val="Cover 4-Date"/>
    <w:basedOn w:val="a"/>
    <w:rsid w:val="00836E49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836E49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836E49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836E49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836E49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836E49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836E49"/>
    <w:pPr>
      <w:outlineLvl w:val="2"/>
    </w:pPr>
  </w:style>
  <w:style w:type="paragraph" w:customStyle="1" w:styleId="TableBlock">
    <w:name w:val="Table Block"/>
    <w:basedOn w:val="TableText"/>
    <w:rsid w:val="00836E49"/>
    <w:pPr>
      <w:jc w:val="both"/>
    </w:pPr>
  </w:style>
  <w:style w:type="paragraph" w:customStyle="1" w:styleId="TableHead">
    <w:name w:val="Table Head"/>
    <w:basedOn w:val="TableText"/>
    <w:rsid w:val="00836E49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836E49"/>
    <w:pPr>
      <w:outlineLvl w:val="9"/>
    </w:pPr>
  </w:style>
  <w:style w:type="paragraph" w:customStyle="1" w:styleId="Hesber">
    <w:name w:val="Hesber"/>
    <w:basedOn w:val="a"/>
    <w:rsid w:val="00836E49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836E49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836E49"/>
    <w:rPr>
      <w:vertAlign w:val="superscript"/>
    </w:rPr>
  </w:style>
  <w:style w:type="paragraph" w:customStyle="1" w:styleId="HesberHeading">
    <w:name w:val="Hesber Heading"/>
    <w:basedOn w:val="Hesber"/>
    <w:rsid w:val="00836E49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836E49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836E49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836E49"/>
    <w:rPr>
      <w:vertAlign w:val="superscript"/>
    </w:rPr>
  </w:style>
  <w:style w:type="paragraph" w:customStyle="1" w:styleId="TableBlockOutdent">
    <w:name w:val="Table BlockOutdent"/>
    <w:basedOn w:val="TableBlock"/>
    <w:rsid w:val="00836E49"/>
    <w:pPr>
      <w:ind w:left="624" w:hanging="624"/>
    </w:pPr>
  </w:style>
  <w:style w:type="paragraph" w:styleId="a7">
    <w:name w:val="header"/>
    <w:basedOn w:val="a"/>
    <w:rsid w:val="00836E49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836E49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836E49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836E49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836E49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default">
    <w:name w:val="default"/>
    <w:basedOn w:val="a0"/>
    <w:rsid w:val="00B06A33"/>
  </w:style>
  <w:style w:type="paragraph" w:customStyle="1" w:styleId="p00">
    <w:name w:val="p00"/>
    <w:basedOn w:val="a"/>
    <w:rsid w:val="00B06A33"/>
    <w:pPr>
      <w:widowControl/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character" w:styleId="ad">
    <w:name w:val="annotation reference"/>
    <w:basedOn w:val="a0"/>
    <w:semiHidden/>
    <w:unhideWhenUsed/>
    <w:rsid w:val="00CF151E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F151E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semiHidden/>
    <w:rsid w:val="00CF151E"/>
    <w:rPr>
      <w:rFonts w:ascii="Hadasa Roso SL" w:hAnsi="Hadasa Roso SL" w:cs="Hadasa Roso SL"/>
      <w:color w:val="000000"/>
      <w:spacing w:val="1"/>
      <w:lang w:eastAsia="ja-JP"/>
    </w:rPr>
  </w:style>
  <w:style w:type="paragraph" w:styleId="af0">
    <w:name w:val="annotation subject"/>
    <w:basedOn w:val="ae"/>
    <w:next w:val="ae"/>
    <w:link w:val="af1"/>
    <w:semiHidden/>
    <w:unhideWhenUsed/>
    <w:rsid w:val="00CF151E"/>
    <w:rPr>
      <w:b/>
      <w:bCs/>
    </w:rPr>
  </w:style>
  <w:style w:type="character" w:customStyle="1" w:styleId="af1">
    <w:name w:val="נושא הערה תו"/>
    <w:basedOn w:val="af"/>
    <w:link w:val="af0"/>
    <w:semiHidden/>
    <w:rsid w:val="00CF151E"/>
    <w:rPr>
      <w:rFonts w:ascii="Hadasa Roso SL" w:hAnsi="Hadasa Roso SL" w:cs="Hadasa Roso SL"/>
      <w:b/>
      <w:bCs/>
      <w:color w:val="000000"/>
      <w:spacing w:val="1"/>
      <w:lang w:eastAsia="ja-JP"/>
    </w:rPr>
  </w:style>
  <w:style w:type="character" w:customStyle="1" w:styleId="10">
    <w:name w:val="כותרת 1 תו"/>
    <w:basedOn w:val="a0"/>
    <w:link w:val="1"/>
    <w:uiPriority w:val="9"/>
    <w:rsid w:val="00836E49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836E49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836E49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836E49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836E49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836E49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836E49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836E49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836E49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836E49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836E49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836E49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836E49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836E49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836E49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836E49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836E49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836E49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836E49"/>
    <w:rPr>
      <w:rFonts w:eastAsia="Times New Roman"/>
    </w:rPr>
  </w:style>
  <w:style w:type="paragraph" w:styleId="af3">
    <w:name w:val="List Paragraph"/>
    <w:basedOn w:val="a"/>
    <w:uiPriority w:val="34"/>
    <w:qFormat/>
    <w:rsid w:val="00836E49"/>
    <w:pPr>
      <w:widowControl/>
      <w:spacing w:line="259" w:lineRule="auto"/>
    </w:pPr>
    <w:rPr>
      <w:rFonts w:asciiTheme="minorHAnsi" w:hAnsiTheme="minorHAnsi"/>
      <w:sz w:val="22"/>
    </w:rPr>
  </w:style>
  <w:style w:type="table" w:styleId="af4">
    <w:name w:val="Table Grid"/>
    <w:basedOn w:val="a1"/>
    <w:rsid w:val="00836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836E4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836E4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5">
    <w:name w:val="טבלת חקיקה"/>
    <w:basedOn w:val="a1"/>
    <w:uiPriority w:val="99"/>
    <w:rsid w:val="00836E49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836E49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AA550-010E-4422-9EA6-D29E58793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290d5b49-c690-4c6f-bbb9-1e50dab33ee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F3493C2-E59C-467F-8EF3-CB306A4C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708</Words>
  <Characters>3545</Characters>
  <Application>Microsoft Office Word</Application>
  <DocSecurity>0</DocSecurity>
  <Lines>29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טליה ווייס עמר</cp:lastModifiedBy>
  <cp:revision>7</cp:revision>
  <cp:lastPrinted>2013-07-04T08:25:00Z</cp:lastPrinted>
  <dcterms:created xsi:type="dcterms:W3CDTF">2015-04-20T09:58:00Z</dcterms:created>
  <dcterms:modified xsi:type="dcterms:W3CDTF">2024-03-21T12:28:00Z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2216636</vt:r8>
  </property>
</Properties>
</file>