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2216671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06AEDEC2" w:rsidR="00E13C27" w:rsidRPr="00CF1AA2" w:rsidRDefault="008F6665" w:rsidP="00D01EDE">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אימאן ח'טיב יאסין</w:t>
      </w:r>
      <w:r>
        <w:br/>
      </w:r>
      <w:r>
        <w:rPr>
          <w:rFonts w:hint="cs"/>
          <w:b/>
          <w:bCs/>
          <w:rtl/>
        </w:rPr>
        <w:t xml:space="preserve"> </w:t>
      </w:r>
      <w:r>
        <w:tab/>
      </w:r>
      <w:r>
        <w:tab/>
      </w:r>
      <w:r>
        <w:tab/>
      </w:r>
      <w:r>
        <w:tab/>
      </w:r>
      <w:r>
        <w:rPr>
          <w:rFonts w:hint="cs"/>
          <w:b/>
          <w:bCs/>
          <w:rtl/>
        </w:rPr>
        <w:t>מנסור עבאס</w:t>
      </w:r>
      <w:r>
        <w:br/>
      </w:r>
      <w:r>
        <w:rPr>
          <w:rFonts w:hint="cs"/>
          <w:b/>
          <w:bCs/>
          <w:rtl/>
        </w:rPr>
        <w:t xml:space="preserve"> </w:t>
      </w:r>
      <w:r>
        <w:tab/>
      </w:r>
      <w:r>
        <w:tab/>
      </w:r>
      <w:r>
        <w:tab/>
      </w:r>
      <w:r>
        <w:tab/>
      </w:r>
      <w:r>
        <w:rPr>
          <w:rFonts w:hint="cs"/>
          <w:b/>
          <w:bCs/>
          <w:rtl/>
        </w:rPr>
        <w:t>ווליד טאהא</w:t>
      </w:r>
      <w:r>
        <w:br/>
      </w:r>
      <w:r>
        <w:rPr>
          <w:rFonts w:hint="cs"/>
          <w:b/>
          <w:bCs/>
          <w:rtl/>
        </w:rPr>
        <w:t xml:space="preserve"> </w:t>
      </w:r>
      <w:r>
        <w:tab/>
      </w:r>
      <w:r>
        <w:tab/>
      </w:r>
      <w:r>
        <w:tab/>
      </w:r>
      <w:r>
        <w:tab/>
      </w:r>
      <w:r>
        <w:rPr>
          <w:rFonts w:hint="cs"/>
          <w:b/>
          <w:bCs/>
          <w:rtl/>
        </w:rPr>
        <w:t>יאסר חוג'יראת</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7A17D90"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D01EDE">
        <w:rPr>
          <w:rtl/>
        </w:rPr>
        <w:tab/>
      </w:r>
      <w:r>
        <w:rPr>
          <w:rFonts w:hint="cs"/>
          <w:rtl/>
        </w:rPr>
        <w:t>פ/4440/25</w:t>
      </w:r>
      <w:bookmarkEnd w:id="6"/>
    </w:p>
    <w:p w14:paraId="7F6961AC" w14:textId="77777777" w:rsidR="00E13C27" w:rsidRDefault="00E13C27" w:rsidP="00E13C27">
      <w:pPr>
        <w:ind w:left="2880" w:firstLine="720"/>
        <w:rPr>
          <w:sz w:val="26"/>
          <w:szCs w:val="26"/>
          <w:rtl/>
        </w:rPr>
      </w:pPr>
    </w:p>
    <w:p w14:paraId="7F6961AD" w14:textId="31A92F5A" w:rsidR="00E13C27" w:rsidRPr="00F67051" w:rsidRDefault="00A443CF" w:rsidP="001F044C">
      <w:pPr>
        <w:pStyle w:val="HeadHatzaotHok"/>
        <w:rPr>
          <w:rtl/>
        </w:rPr>
      </w:pPr>
      <w:bookmarkStart w:id="7" w:name="LGS_Subject"/>
      <w:r>
        <w:rPr>
          <w:rFonts w:hint="cs"/>
          <w:rtl/>
        </w:rPr>
        <w:t>הצעת חוק האזרחים הוותיקים (תיקון – הקצאת מקומות חניה במקום ציבורי לאזרח ותיק),  התשפ"ד–2024</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A768AC" w14:paraId="374C8DFE" w14:textId="77777777" w:rsidTr="00D01EDE">
        <w:trPr>
          <w:cantSplit/>
        </w:trPr>
        <w:tc>
          <w:tcPr>
            <w:tcW w:w="1871" w:type="dxa"/>
          </w:tcPr>
          <w:p w14:paraId="08488432" w14:textId="77777777" w:rsidR="00A768AC" w:rsidRDefault="00A768AC" w:rsidP="009859AD">
            <w:pPr>
              <w:pStyle w:val="TableSideHeading"/>
              <w:keepLines w:val="0"/>
            </w:pPr>
            <w:r>
              <w:rPr>
                <w:rFonts w:hint="cs"/>
                <w:rtl/>
              </w:rPr>
              <w:t>הוספת סעיף 10א</w:t>
            </w:r>
          </w:p>
        </w:tc>
        <w:tc>
          <w:tcPr>
            <w:tcW w:w="624" w:type="dxa"/>
          </w:tcPr>
          <w:p w14:paraId="61043945" w14:textId="77777777" w:rsidR="00A768AC" w:rsidRDefault="00A768AC" w:rsidP="009859AD">
            <w:pPr>
              <w:pStyle w:val="TableText"/>
              <w:keepLines w:val="0"/>
            </w:pPr>
            <w:r>
              <w:rPr>
                <w:rFonts w:hint="cs"/>
                <w:rtl/>
              </w:rPr>
              <w:t>1.</w:t>
            </w:r>
          </w:p>
        </w:tc>
        <w:tc>
          <w:tcPr>
            <w:tcW w:w="7143" w:type="dxa"/>
            <w:gridSpan w:val="5"/>
          </w:tcPr>
          <w:p w14:paraId="7A15F45D" w14:textId="77777777" w:rsidR="00A768AC" w:rsidRPr="008C5ED3" w:rsidRDefault="00A768AC" w:rsidP="00D01EDE">
            <w:pPr>
              <w:pStyle w:val="TableBlock"/>
            </w:pPr>
            <w:r w:rsidRPr="008C5ED3">
              <w:rPr>
                <w:rFonts w:hint="cs"/>
                <w:rtl/>
              </w:rPr>
              <w:t>בחוק האזרחים הוותיקים, התש"ן</w:t>
            </w:r>
            <w:r w:rsidRPr="008C5ED3">
              <w:rPr>
                <w:rFonts w:hint="eastAsia"/>
                <w:rtl/>
              </w:rPr>
              <w:t>–</w:t>
            </w:r>
            <w:r w:rsidRPr="008C5ED3">
              <w:rPr>
                <w:rFonts w:hint="cs"/>
                <w:rtl/>
              </w:rPr>
              <w:t>1989</w:t>
            </w:r>
            <w:r w:rsidRPr="00D01EDE">
              <w:rPr>
                <w:rFonts w:ascii="David" w:hAnsi="David"/>
                <w:sz w:val="26"/>
                <w:vertAlign w:val="superscript"/>
                <w:rtl/>
              </w:rPr>
              <w:footnoteReference w:id="2"/>
            </w:r>
            <w:r>
              <w:rPr>
                <w:rFonts w:hint="cs"/>
                <w:rtl/>
              </w:rPr>
              <w:t>,</w:t>
            </w:r>
            <w:r w:rsidRPr="008C5ED3">
              <w:rPr>
                <w:rFonts w:hint="cs"/>
                <w:rtl/>
              </w:rPr>
              <w:t xml:space="preserve"> אחרי סעיף 10 יבוא:</w:t>
            </w:r>
          </w:p>
        </w:tc>
      </w:tr>
      <w:tr w:rsidR="00A768AC" w14:paraId="1AE64281" w14:textId="77777777" w:rsidTr="00D01EDE">
        <w:trPr>
          <w:cantSplit/>
        </w:trPr>
        <w:tc>
          <w:tcPr>
            <w:tcW w:w="1871" w:type="dxa"/>
          </w:tcPr>
          <w:p w14:paraId="0EF02D02" w14:textId="77777777" w:rsidR="00A768AC" w:rsidRDefault="00A768AC" w:rsidP="009859AD">
            <w:pPr>
              <w:pStyle w:val="TableSideHeading"/>
              <w:keepLines w:val="0"/>
            </w:pPr>
          </w:p>
        </w:tc>
        <w:tc>
          <w:tcPr>
            <w:tcW w:w="624" w:type="dxa"/>
          </w:tcPr>
          <w:p w14:paraId="2EFB5023" w14:textId="77777777" w:rsidR="00A768AC" w:rsidRDefault="00A768AC" w:rsidP="009859AD">
            <w:pPr>
              <w:pStyle w:val="TableText"/>
              <w:keepLines w:val="0"/>
            </w:pPr>
          </w:p>
        </w:tc>
        <w:tc>
          <w:tcPr>
            <w:tcW w:w="1872" w:type="dxa"/>
            <w:gridSpan w:val="3"/>
          </w:tcPr>
          <w:p w14:paraId="7A3E2135" w14:textId="77777777" w:rsidR="00A768AC" w:rsidRDefault="00A768AC" w:rsidP="009859AD">
            <w:pPr>
              <w:pStyle w:val="TableInnerSideHeading"/>
            </w:pPr>
            <w:r>
              <w:rPr>
                <w:rFonts w:hint="cs"/>
                <w:rtl/>
              </w:rPr>
              <w:t>"הקצאת מקומות חניה נגישים</w:t>
            </w:r>
          </w:p>
        </w:tc>
        <w:tc>
          <w:tcPr>
            <w:tcW w:w="624" w:type="dxa"/>
          </w:tcPr>
          <w:p w14:paraId="3C8CEDEF" w14:textId="77777777" w:rsidR="00A768AC" w:rsidRDefault="00A768AC" w:rsidP="009859AD">
            <w:pPr>
              <w:pStyle w:val="TableText"/>
            </w:pPr>
            <w:r>
              <w:rPr>
                <w:rFonts w:hint="cs"/>
                <w:rtl/>
              </w:rPr>
              <w:t>10א.</w:t>
            </w:r>
          </w:p>
        </w:tc>
        <w:tc>
          <w:tcPr>
            <w:tcW w:w="4647" w:type="dxa"/>
          </w:tcPr>
          <w:p w14:paraId="0590B116" w14:textId="77777777" w:rsidR="00A768AC" w:rsidRDefault="00A768AC" w:rsidP="00D01EDE">
            <w:pPr>
              <w:pStyle w:val="TableBlock"/>
            </w:pPr>
            <w:r>
              <w:rPr>
                <w:rFonts w:hint="cs"/>
                <w:rtl/>
              </w:rPr>
              <w:t>(א)</w:t>
            </w:r>
            <w:r>
              <w:rPr>
                <w:rtl/>
              </w:rPr>
              <w:tab/>
            </w:r>
            <w:r>
              <w:rPr>
                <w:rFonts w:hint="cs"/>
                <w:rtl/>
              </w:rPr>
              <w:t>במקום חניה של מקום ציבורי יוקצו מקומות חניה נגישים לרכב הנושא תג אזרח ותיק, כפי שיקבע שר הפנים בהתייעצות עם השר.</w:t>
            </w:r>
          </w:p>
        </w:tc>
      </w:tr>
      <w:tr w:rsidR="00A768AC" w14:paraId="1EDAB8C9" w14:textId="77777777" w:rsidTr="00D01EDE">
        <w:trPr>
          <w:cantSplit/>
        </w:trPr>
        <w:tc>
          <w:tcPr>
            <w:tcW w:w="1871" w:type="dxa"/>
          </w:tcPr>
          <w:p w14:paraId="0E921A78" w14:textId="77777777" w:rsidR="00A768AC" w:rsidRDefault="00A768AC" w:rsidP="009859AD">
            <w:pPr>
              <w:pStyle w:val="TableSideHeading"/>
            </w:pPr>
          </w:p>
        </w:tc>
        <w:tc>
          <w:tcPr>
            <w:tcW w:w="624" w:type="dxa"/>
          </w:tcPr>
          <w:p w14:paraId="160E2BA3" w14:textId="77777777" w:rsidR="00A768AC" w:rsidRDefault="00A768AC" w:rsidP="009859AD">
            <w:pPr>
              <w:pStyle w:val="TableText"/>
            </w:pPr>
          </w:p>
        </w:tc>
        <w:tc>
          <w:tcPr>
            <w:tcW w:w="624" w:type="dxa"/>
          </w:tcPr>
          <w:p w14:paraId="38ACCEFA" w14:textId="77777777" w:rsidR="00A768AC" w:rsidRDefault="00A768AC" w:rsidP="009859AD">
            <w:pPr>
              <w:pStyle w:val="TableText"/>
            </w:pPr>
          </w:p>
        </w:tc>
        <w:tc>
          <w:tcPr>
            <w:tcW w:w="624" w:type="dxa"/>
          </w:tcPr>
          <w:p w14:paraId="588D2097" w14:textId="77777777" w:rsidR="00A768AC" w:rsidRDefault="00A768AC" w:rsidP="009859AD">
            <w:pPr>
              <w:pStyle w:val="TableText"/>
            </w:pPr>
          </w:p>
        </w:tc>
        <w:tc>
          <w:tcPr>
            <w:tcW w:w="624" w:type="dxa"/>
          </w:tcPr>
          <w:p w14:paraId="39281D8B" w14:textId="77777777" w:rsidR="00A768AC" w:rsidRDefault="00A768AC" w:rsidP="009859AD">
            <w:pPr>
              <w:pStyle w:val="TableText"/>
            </w:pPr>
          </w:p>
        </w:tc>
        <w:tc>
          <w:tcPr>
            <w:tcW w:w="624" w:type="dxa"/>
          </w:tcPr>
          <w:p w14:paraId="53022B6C" w14:textId="77777777" w:rsidR="00A768AC" w:rsidRDefault="00A768AC" w:rsidP="009859AD">
            <w:pPr>
              <w:pStyle w:val="TableText"/>
            </w:pPr>
          </w:p>
        </w:tc>
        <w:tc>
          <w:tcPr>
            <w:tcW w:w="4647" w:type="dxa"/>
          </w:tcPr>
          <w:p w14:paraId="1548A47B" w14:textId="77777777" w:rsidR="00A768AC" w:rsidRDefault="00A768AC" w:rsidP="00D01EDE">
            <w:pPr>
              <w:pStyle w:val="TableBlock"/>
              <w:tabs>
                <w:tab w:val="left" w:pos="624"/>
                <w:tab w:val="left" w:pos="1247"/>
              </w:tabs>
            </w:pPr>
            <w:r>
              <w:rPr>
                <w:rFonts w:hint="cs"/>
                <w:rtl/>
              </w:rPr>
              <w:t>(ב)</w:t>
            </w:r>
            <w:r>
              <w:rPr>
                <w:rtl/>
              </w:rPr>
              <w:tab/>
            </w:r>
            <w:r>
              <w:rPr>
                <w:rFonts w:hint="cs"/>
                <w:rtl/>
              </w:rPr>
              <w:t>מקומות החניה הנגישים כאמור בסעיף קטן (א) ימוקמו קרוב ככל האפשר לכניסה נגישה לבניין או למעלית או ליציאה אל המקום הציבורי שמקום החניה משרת, לפי העניין.</w:t>
            </w:r>
          </w:p>
        </w:tc>
      </w:tr>
      <w:tr w:rsidR="00A768AC" w14:paraId="7F3E5721" w14:textId="77777777" w:rsidTr="00D01EDE">
        <w:trPr>
          <w:cantSplit/>
        </w:trPr>
        <w:tc>
          <w:tcPr>
            <w:tcW w:w="1871" w:type="dxa"/>
          </w:tcPr>
          <w:p w14:paraId="47EFB00A" w14:textId="77777777" w:rsidR="00A768AC" w:rsidRDefault="00A768AC" w:rsidP="009859AD">
            <w:pPr>
              <w:pStyle w:val="TableSideHeading"/>
            </w:pPr>
          </w:p>
        </w:tc>
        <w:tc>
          <w:tcPr>
            <w:tcW w:w="624" w:type="dxa"/>
          </w:tcPr>
          <w:p w14:paraId="5141523D" w14:textId="77777777" w:rsidR="00A768AC" w:rsidRDefault="00A768AC" w:rsidP="009859AD">
            <w:pPr>
              <w:pStyle w:val="TableText"/>
            </w:pPr>
          </w:p>
        </w:tc>
        <w:tc>
          <w:tcPr>
            <w:tcW w:w="624" w:type="dxa"/>
          </w:tcPr>
          <w:p w14:paraId="51FCC97F" w14:textId="77777777" w:rsidR="00A768AC" w:rsidRDefault="00A768AC" w:rsidP="009859AD">
            <w:pPr>
              <w:pStyle w:val="TableText"/>
            </w:pPr>
          </w:p>
        </w:tc>
        <w:tc>
          <w:tcPr>
            <w:tcW w:w="624" w:type="dxa"/>
          </w:tcPr>
          <w:p w14:paraId="69CAF715" w14:textId="77777777" w:rsidR="00A768AC" w:rsidRDefault="00A768AC" w:rsidP="009859AD">
            <w:pPr>
              <w:pStyle w:val="TableText"/>
            </w:pPr>
          </w:p>
        </w:tc>
        <w:tc>
          <w:tcPr>
            <w:tcW w:w="624" w:type="dxa"/>
          </w:tcPr>
          <w:p w14:paraId="2A75DAB0" w14:textId="77777777" w:rsidR="00A768AC" w:rsidRDefault="00A768AC" w:rsidP="009859AD">
            <w:pPr>
              <w:pStyle w:val="TableText"/>
            </w:pPr>
          </w:p>
        </w:tc>
        <w:tc>
          <w:tcPr>
            <w:tcW w:w="624" w:type="dxa"/>
          </w:tcPr>
          <w:p w14:paraId="065367A9" w14:textId="77777777" w:rsidR="00A768AC" w:rsidRDefault="00A768AC" w:rsidP="009859AD">
            <w:pPr>
              <w:pStyle w:val="TableText"/>
            </w:pPr>
          </w:p>
        </w:tc>
        <w:tc>
          <w:tcPr>
            <w:tcW w:w="4647" w:type="dxa"/>
          </w:tcPr>
          <w:p w14:paraId="48BC6A14" w14:textId="77777777" w:rsidR="00A768AC" w:rsidRDefault="00A768AC" w:rsidP="00D01EDE">
            <w:pPr>
              <w:pStyle w:val="TableBlock"/>
              <w:tabs>
                <w:tab w:val="left" w:pos="624"/>
                <w:tab w:val="left" w:pos="1247"/>
              </w:tabs>
              <w:rPr>
                <w:rtl/>
              </w:rPr>
            </w:pPr>
            <w:r>
              <w:rPr>
                <w:rFonts w:hint="cs"/>
                <w:rtl/>
              </w:rPr>
              <w:t>(ג)</w:t>
            </w:r>
            <w:r>
              <w:rPr>
                <w:rtl/>
              </w:rPr>
              <w:tab/>
            </w:r>
            <w:r>
              <w:rPr>
                <w:rFonts w:hint="cs"/>
                <w:rtl/>
              </w:rPr>
              <w:t xml:space="preserve">בסעיף זה </w:t>
            </w:r>
            <w:r>
              <w:rPr>
                <w:rtl/>
              </w:rPr>
              <w:t>–</w:t>
            </w:r>
            <w:r>
              <w:rPr>
                <w:rFonts w:hint="cs"/>
                <w:rtl/>
              </w:rPr>
              <w:t xml:space="preserve"> </w:t>
            </w:r>
          </w:p>
        </w:tc>
      </w:tr>
      <w:tr w:rsidR="00A768AC" w14:paraId="725D0546" w14:textId="77777777" w:rsidTr="00D01EDE">
        <w:trPr>
          <w:cantSplit/>
        </w:trPr>
        <w:tc>
          <w:tcPr>
            <w:tcW w:w="1871" w:type="dxa"/>
          </w:tcPr>
          <w:p w14:paraId="15A19356" w14:textId="77777777" w:rsidR="00A768AC" w:rsidRPr="00217F5D" w:rsidRDefault="00A768AC" w:rsidP="009859AD">
            <w:pPr>
              <w:pStyle w:val="TableSideHeading"/>
            </w:pPr>
          </w:p>
        </w:tc>
        <w:tc>
          <w:tcPr>
            <w:tcW w:w="624" w:type="dxa"/>
          </w:tcPr>
          <w:p w14:paraId="729E17F1" w14:textId="77777777" w:rsidR="00A768AC" w:rsidRPr="00217F5D" w:rsidRDefault="00A768AC" w:rsidP="009859AD">
            <w:pPr>
              <w:pStyle w:val="TableText"/>
              <w:jc w:val="both"/>
            </w:pPr>
          </w:p>
        </w:tc>
        <w:tc>
          <w:tcPr>
            <w:tcW w:w="624" w:type="dxa"/>
          </w:tcPr>
          <w:p w14:paraId="36096041" w14:textId="77777777" w:rsidR="00A768AC" w:rsidRPr="00217F5D" w:rsidRDefault="00A768AC" w:rsidP="009859AD">
            <w:pPr>
              <w:pStyle w:val="TableText"/>
              <w:jc w:val="both"/>
            </w:pPr>
          </w:p>
        </w:tc>
        <w:tc>
          <w:tcPr>
            <w:tcW w:w="624" w:type="dxa"/>
          </w:tcPr>
          <w:p w14:paraId="20BE6014" w14:textId="77777777" w:rsidR="00A768AC" w:rsidRPr="00217F5D" w:rsidRDefault="00A768AC" w:rsidP="009859AD">
            <w:pPr>
              <w:pStyle w:val="TableText"/>
              <w:jc w:val="both"/>
            </w:pPr>
          </w:p>
        </w:tc>
        <w:tc>
          <w:tcPr>
            <w:tcW w:w="624" w:type="dxa"/>
          </w:tcPr>
          <w:p w14:paraId="4278972A" w14:textId="77777777" w:rsidR="00A768AC" w:rsidRPr="00217F5D" w:rsidRDefault="00A768AC" w:rsidP="009859AD">
            <w:pPr>
              <w:pStyle w:val="TableText"/>
              <w:jc w:val="both"/>
            </w:pPr>
          </w:p>
        </w:tc>
        <w:tc>
          <w:tcPr>
            <w:tcW w:w="624" w:type="dxa"/>
          </w:tcPr>
          <w:p w14:paraId="274BED11" w14:textId="77777777" w:rsidR="00A768AC" w:rsidRPr="00217F5D" w:rsidRDefault="00A768AC" w:rsidP="009859AD">
            <w:pPr>
              <w:pStyle w:val="TableText"/>
              <w:jc w:val="both"/>
            </w:pPr>
          </w:p>
        </w:tc>
        <w:tc>
          <w:tcPr>
            <w:tcW w:w="4647" w:type="dxa"/>
          </w:tcPr>
          <w:p w14:paraId="26D2719B" w14:textId="77777777" w:rsidR="00A768AC" w:rsidRPr="00002837" w:rsidRDefault="00A768AC" w:rsidP="00D01EDE">
            <w:pPr>
              <w:pStyle w:val="TableBlockOutdent"/>
              <w:tabs>
                <w:tab w:val="left" w:pos="624"/>
                <w:tab w:val="left" w:pos="1247"/>
              </w:tabs>
              <w:rPr>
                <w:rtl/>
              </w:rPr>
            </w:pPr>
            <w:r w:rsidRPr="00002837">
              <w:rPr>
                <w:rFonts w:hint="cs"/>
                <w:rtl/>
              </w:rPr>
              <w:t xml:space="preserve">"מקום ציבורי" </w:t>
            </w:r>
            <w:r w:rsidRPr="00002837">
              <w:rPr>
                <w:rtl/>
              </w:rPr>
              <w:t>–</w:t>
            </w:r>
            <w:r w:rsidRPr="00002837">
              <w:rPr>
                <w:rFonts w:hint="cs"/>
                <w:rtl/>
              </w:rPr>
              <w:t xml:space="preserve"> כהגדרתו בסימן ג' לפרק ה'1 לחוק שוויון זכויות לאנשים עם מוגבלות, התשנ"ח</w:t>
            </w:r>
            <w:r>
              <w:rPr>
                <w:rFonts w:hint="eastAsia"/>
                <w:rtl/>
              </w:rPr>
              <w:t>–</w:t>
            </w:r>
            <w:r w:rsidRPr="00002837">
              <w:rPr>
                <w:rFonts w:hint="cs"/>
                <w:rtl/>
              </w:rPr>
              <w:t>1998</w:t>
            </w:r>
            <w:r w:rsidRPr="00D01EDE">
              <w:rPr>
                <w:rStyle w:val="a5"/>
                <w:rFonts w:ascii="David" w:hAnsi="David"/>
                <w:sz w:val="26"/>
                <w:rtl/>
              </w:rPr>
              <w:footnoteReference w:id="3"/>
            </w:r>
            <w:r w:rsidRPr="00002837">
              <w:rPr>
                <w:rFonts w:hint="cs"/>
                <w:rtl/>
              </w:rPr>
              <w:t>;</w:t>
            </w:r>
          </w:p>
        </w:tc>
      </w:tr>
      <w:tr w:rsidR="00A768AC" w14:paraId="54A2EDA3" w14:textId="77777777" w:rsidTr="00D01EDE">
        <w:trPr>
          <w:cantSplit/>
        </w:trPr>
        <w:tc>
          <w:tcPr>
            <w:tcW w:w="1871" w:type="dxa"/>
          </w:tcPr>
          <w:p w14:paraId="75A03095" w14:textId="77777777" w:rsidR="00A768AC" w:rsidRPr="00217F5D" w:rsidRDefault="00A768AC" w:rsidP="009859AD">
            <w:pPr>
              <w:pStyle w:val="TableSideHeading"/>
            </w:pPr>
          </w:p>
        </w:tc>
        <w:tc>
          <w:tcPr>
            <w:tcW w:w="624" w:type="dxa"/>
          </w:tcPr>
          <w:p w14:paraId="1D74C289" w14:textId="77777777" w:rsidR="00A768AC" w:rsidRPr="00217F5D" w:rsidRDefault="00A768AC" w:rsidP="009859AD">
            <w:pPr>
              <w:pStyle w:val="TableText"/>
              <w:jc w:val="both"/>
            </w:pPr>
          </w:p>
        </w:tc>
        <w:tc>
          <w:tcPr>
            <w:tcW w:w="624" w:type="dxa"/>
          </w:tcPr>
          <w:p w14:paraId="2357C5BB" w14:textId="77777777" w:rsidR="00A768AC" w:rsidRPr="00217F5D" w:rsidRDefault="00A768AC" w:rsidP="009859AD">
            <w:pPr>
              <w:pStyle w:val="TableText"/>
              <w:jc w:val="both"/>
            </w:pPr>
          </w:p>
        </w:tc>
        <w:tc>
          <w:tcPr>
            <w:tcW w:w="624" w:type="dxa"/>
          </w:tcPr>
          <w:p w14:paraId="7949671B" w14:textId="77777777" w:rsidR="00A768AC" w:rsidRPr="00217F5D" w:rsidRDefault="00A768AC" w:rsidP="009859AD">
            <w:pPr>
              <w:pStyle w:val="TableText"/>
              <w:jc w:val="both"/>
            </w:pPr>
          </w:p>
        </w:tc>
        <w:tc>
          <w:tcPr>
            <w:tcW w:w="624" w:type="dxa"/>
          </w:tcPr>
          <w:p w14:paraId="10055E4A" w14:textId="77777777" w:rsidR="00A768AC" w:rsidRPr="00217F5D" w:rsidRDefault="00A768AC" w:rsidP="009859AD">
            <w:pPr>
              <w:pStyle w:val="TableText"/>
              <w:jc w:val="both"/>
            </w:pPr>
          </w:p>
        </w:tc>
        <w:tc>
          <w:tcPr>
            <w:tcW w:w="624" w:type="dxa"/>
          </w:tcPr>
          <w:p w14:paraId="38FEEA84" w14:textId="77777777" w:rsidR="00A768AC" w:rsidRPr="00217F5D" w:rsidRDefault="00A768AC" w:rsidP="009859AD">
            <w:pPr>
              <w:pStyle w:val="TableText"/>
              <w:jc w:val="both"/>
            </w:pPr>
          </w:p>
        </w:tc>
        <w:tc>
          <w:tcPr>
            <w:tcW w:w="4647" w:type="dxa"/>
          </w:tcPr>
          <w:p w14:paraId="2677952F" w14:textId="77777777" w:rsidR="00A768AC" w:rsidRPr="00002837" w:rsidRDefault="00A768AC" w:rsidP="00D01EDE">
            <w:pPr>
              <w:pStyle w:val="TableBlockOutdent"/>
              <w:tabs>
                <w:tab w:val="left" w:pos="624"/>
                <w:tab w:val="left" w:pos="1247"/>
              </w:tabs>
              <w:rPr>
                <w:rtl/>
              </w:rPr>
            </w:pPr>
            <w:r w:rsidRPr="00002837">
              <w:rPr>
                <w:rFonts w:hint="cs"/>
                <w:rtl/>
              </w:rPr>
              <w:t xml:space="preserve">"רכב מזכה" </w:t>
            </w:r>
            <w:r w:rsidRPr="00002837">
              <w:rPr>
                <w:rtl/>
              </w:rPr>
              <w:t>–</w:t>
            </w:r>
            <w:r w:rsidRPr="00002837">
              <w:rPr>
                <w:rFonts w:hint="cs"/>
                <w:rtl/>
              </w:rPr>
              <w:t xml:space="preserve"> רכב שלגביו הוכיח האזרח הו</w:t>
            </w:r>
            <w:r>
              <w:rPr>
                <w:rFonts w:hint="cs"/>
                <w:rtl/>
              </w:rPr>
              <w:t>ו</w:t>
            </w:r>
            <w:r w:rsidRPr="00002837">
              <w:rPr>
                <w:rFonts w:hint="cs"/>
                <w:rtl/>
              </w:rPr>
              <w:t>תיק, להנחת דעתה של רשות הרישוי, כי הוא עומד לשימושו האישי דרך קבע;</w:t>
            </w:r>
          </w:p>
        </w:tc>
      </w:tr>
      <w:tr w:rsidR="00A768AC" w14:paraId="44561618" w14:textId="77777777" w:rsidTr="00D01EDE">
        <w:trPr>
          <w:cantSplit/>
        </w:trPr>
        <w:tc>
          <w:tcPr>
            <w:tcW w:w="1871" w:type="dxa"/>
          </w:tcPr>
          <w:p w14:paraId="09835D96" w14:textId="77777777" w:rsidR="00A768AC" w:rsidRPr="00217F5D" w:rsidRDefault="00A768AC" w:rsidP="009859AD">
            <w:pPr>
              <w:pStyle w:val="TableSideHeading"/>
            </w:pPr>
          </w:p>
        </w:tc>
        <w:tc>
          <w:tcPr>
            <w:tcW w:w="624" w:type="dxa"/>
          </w:tcPr>
          <w:p w14:paraId="0FA9EF07" w14:textId="77777777" w:rsidR="00A768AC" w:rsidRPr="00217F5D" w:rsidRDefault="00A768AC" w:rsidP="009859AD">
            <w:pPr>
              <w:pStyle w:val="TableText"/>
              <w:jc w:val="both"/>
            </w:pPr>
          </w:p>
        </w:tc>
        <w:tc>
          <w:tcPr>
            <w:tcW w:w="624" w:type="dxa"/>
          </w:tcPr>
          <w:p w14:paraId="0543A77A" w14:textId="77777777" w:rsidR="00A768AC" w:rsidRPr="00217F5D" w:rsidRDefault="00A768AC" w:rsidP="009859AD">
            <w:pPr>
              <w:pStyle w:val="TableText"/>
              <w:jc w:val="both"/>
            </w:pPr>
          </w:p>
        </w:tc>
        <w:tc>
          <w:tcPr>
            <w:tcW w:w="624" w:type="dxa"/>
          </w:tcPr>
          <w:p w14:paraId="0F7CB530" w14:textId="77777777" w:rsidR="00A768AC" w:rsidRPr="00217F5D" w:rsidRDefault="00A768AC" w:rsidP="009859AD">
            <w:pPr>
              <w:pStyle w:val="TableText"/>
              <w:jc w:val="both"/>
            </w:pPr>
          </w:p>
        </w:tc>
        <w:tc>
          <w:tcPr>
            <w:tcW w:w="624" w:type="dxa"/>
          </w:tcPr>
          <w:p w14:paraId="3E3F98F3" w14:textId="77777777" w:rsidR="00A768AC" w:rsidRPr="00217F5D" w:rsidRDefault="00A768AC" w:rsidP="009859AD">
            <w:pPr>
              <w:pStyle w:val="TableText"/>
              <w:jc w:val="both"/>
            </w:pPr>
          </w:p>
        </w:tc>
        <w:tc>
          <w:tcPr>
            <w:tcW w:w="624" w:type="dxa"/>
          </w:tcPr>
          <w:p w14:paraId="28DB8A0E" w14:textId="77777777" w:rsidR="00A768AC" w:rsidRPr="00217F5D" w:rsidRDefault="00A768AC" w:rsidP="009859AD">
            <w:pPr>
              <w:pStyle w:val="TableText"/>
              <w:jc w:val="both"/>
            </w:pPr>
          </w:p>
        </w:tc>
        <w:tc>
          <w:tcPr>
            <w:tcW w:w="4647" w:type="dxa"/>
          </w:tcPr>
          <w:p w14:paraId="094C0485" w14:textId="77777777" w:rsidR="00A768AC" w:rsidRPr="00002837" w:rsidRDefault="00A768AC" w:rsidP="00D01EDE">
            <w:pPr>
              <w:pStyle w:val="TableBlockOutdent"/>
              <w:tabs>
                <w:tab w:val="left" w:pos="624"/>
                <w:tab w:val="left" w:pos="1247"/>
              </w:tabs>
              <w:rPr>
                <w:rtl/>
              </w:rPr>
            </w:pPr>
            <w:r w:rsidRPr="00002837">
              <w:rPr>
                <w:rFonts w:hint="cs"/>
                <w:rtl/>
              </w:rPr>
              <w:t xml:space="preserve">"תג אזרח ותיק" </w:t>
            </w:r>
            <w:r w:rsidRPr="00002837">
              <w:rPr>
                <w:rtl/>
              </w:rPr>
              <w:t>–</w:t>
            </w:r>
            <w:r w:rsidRPr="00002837">
              <w:rPr>
                <w:rFonts w:hint="cs"/>
                <w:rtl/>
              </w:rPr>
              <w:t xml:space="preserve"> תג שנתנה רשות הרישוי לאזרח ותיק, הנושא את שם האזרח הו</w:t>
            </w:r>
            <w:r>
              <w:rPr>
                <w:rFonts w:hint="cs"/>
                <w:rtl/>
              </w:rPr>
              <w:t>ו</w:t>
            </w:r>
            <w:r w:rsidRPr="00002837">
              <w:rPr>
                <w:rFonts w:hint="cs"/>
                <w:rtl/>
              </w:rPr>
              <w:t>תיק, את מספר זהותו ואת מספר הרישוי של רכב מזכה.</w:t>
            </w:r>
            <w:r>
              <w:rPr>
                <w:rFonts w:hint="cs"/>
                <w:rtl/>
              </w:rPr>
              <w:t>"</w:t>
            </w:r>
          </w:p>
        </w:tc>
      </w:tr>
      <w:tr w:rsidR="00A768AC" w14:paraId="4EC423E7" w14:textId="77777777" w:rsidTr="00D01EDE">
        <w:trPr>
          <w:cantSplit/>
        </w:trPr>
        <w:tc>
          <w:tcPr>
            <w:tcW w:w="1871" w:type="dxa"/>
          </w:tcPr>
          <w:p w14:paraId="359A5DE7" w14:textId="77777777" w:rsidR="00A768AC" w:rsidRDefault="00A768AC" w:rsidP="009859AD">
            <w:pPr>
              <w:pStyle w:val="TableSideHeading"/>
            </w:pPr>
            <w:r>
              <w:rPr>
                <w:rFonts w:hint="cs"/>
                <w:rtl/>
              </w:rPr>
              <w:t>תיקון פקודת התעבורה</w:t>
            </w:r>
          </w:p>
        </w:tc>
        <w:tc>
          <w:tcPr>
            <w:tcW w:w="624" w:type="dxa"/>
          </w:tcPr>
          <w:p w14:paraId="7E112FD2" w14:textId="77777777" w:rsidR="00A768AC" w:rsidRPr="00162DF9" w:rsidRDefault="00A768AC" w:rsidP="009859AD">
            <w:pPr>
              <w:pStyle w:val="TableText"/>
            </w:pPr>
            <w:r>
              <w:rPr>
                <w:rFonts w:hint="cs"/>
                <w:rtl/>
              </w:rPr>
              <w:t>2.</w:t>
            </w:r>
          </w:p>
        </w:tc>
        <w:tc>
          <w:tcPr>
            <w:tcW w:w="7143" w:type="dxa"/>
            <w:gridSpan w:val="5"/>
          </w:tcPr>
          <w:p w14:paraId="74648160" w14:textId="77777777" w:rsidR="00A768AC" w:rsidRDefault="00A768AC" w:rsidP="00D01EDE">
            <w:pPr>
              <w:pStyle w:val="TableBlock"/>
              <w:tabs>
                <w:tab w:val="left" w:pos="624"/>
                <w:tab w:val="left" w:pos="1247"/>
              </w:tabs>
            </w:pPr>
            <w:r>
              <w:rPr>
                <w:rFonts w:hint="cs"/>
                <w:rtl/>
              </w:rPr>
              <w:t>בפקודת התעבורה</w:t>
            </w:r>
            <w:r w:rsidRPr="00D01EDE">
              <w:rPr>
                <w:rStyle w:val="a5"/>
                <w:rFonts w:ascii="David" w:hAnsi="David"/>
                <w:sz w:val="26"/>
                <w:rtl/>
              </w:rPr>
              <w:footnoteReference w:id="4"/>
            </w:r>
            <w:r>
              <w:rPr>
                <w:rFonts w:hint="cs"/>
                <w:rtl/>
              </w:rPr>
              <w:t xml:space="preserve"> </w:t>
            </w:r>
            <w:r>
              <w:rPr>
                <w:rtl/>
              </w:rPr>
              <w:t>–</w:t>
            </w:r>
            <w:r>
              <w:rPr>
                <w:rFonts w:hint="cs"/>
                <w:rtl/>
              </w:rPr>
              <w:t xml:space="preserve"> </w:t>
            </w:r>
          </w:p>
        </w:tc>
      </w:tr>
      <w:tr w:rsidR="00A768AC" w14:paraId="17E4A87D" w14:textId="77777777" w:rsidTr="00D01EDE">
        <w:trPr>
          <w:cantSplit/>
        </w:trPr>
        <w:tc>
          <w:tcPr>
            <w:tcW w:w="1871" w:type="dxa"/>
          </w:tcPr>
          <w:p w14:paraId="55A241A3" w14:textId="77777777" w:rsidR="00A768AC" w:rsidRDefault="00A768AC" w:rsidP="009859AD">
            <w:pPr>
              <w:pStyle w:val="TableSideHeading"/>
              <w:rPr>
                <w:rtl/>
              </w:rPr>
            </w:pPr>
          </w:p>
        </w:tc>
        <w:tc>
          <w:tcPr>
            <w:tcW w:w="624" w:type="dxa"/>
          </w:tcPr>
          <w:p w14:paraId="4CBCF98F" w14:textId="77777777" w:rsidR="00A768AC" w:rsidRDefault="00A768AC" w:rsidP="009859AD">
            <w:pPr>
              <w:pStyle w:val="TableText"/>
              <w:rPr>
                <w:rtl/>
              </w:rPr>
            </w:pPr>
          </w:p>
        </w:tc>
        <w:tc>
          <w:tcPr>
            <w:tcW w:w="7143" w:type="dxa"/>
            <w:gridSpan w:val="5"/>
          </w:tcPr>
          <w:p w14:paraId="08BEB9A5" w14:textId="77777777" w:rsidR="00A768AC" w:rsidRDefault="00A768AC" w:rsidP="00D01EDE">
            <w:pPr>
              <w:pStyle w:val="TableBlock"/>
              <w:tabs>
                <w:tab w:val="left" w:pos="624"/>
                <w:tab w:val="left" w:pos="1247"/>
              </w:tabs>
              <w:rPr>
                <w:rtl/>
              </w:rPr>
            </w:pPr>
            <w:r>
              <w:rPr>
                <w:rFonts w:hint="cs"/>
                <w:rtl/>
              </w:rPr>
              <w:t>(1)</w:t>
            </w:r>
            <w:r>
              <w:rPr>
                <w:rtl/>
              </w:rPr>
              <w:tab/>
            </w:r>
            <w:r>
              <w:rPr>
                <w:rFonts w:hint="cs"/>
                <w:rtl/>
              </w:rPr>
              <w:t xml:space="preserve">בסעיף 70ב2 </w:t>
            </w:r>
            <w:r>
              <w:rPr>
                <w:rtl/>
              </w:rPr>
              <w:t>–</w:t>
            </w:r>
          </w:p>
        </w:tc>
      </w:tr>
      <w:tr w:rsidR="00A768AC" w14:paraId="5B62117C" w14:textId="77777777" w:rsidTr="00D01EDE">
        <w:trPr>
          <w:cantSplit/>
        </w:trPr>
        <w:tc>
          <w:tcPr>
            <w:tcW w:w="1871" w:type="dxa"/>
          </w:tcPr>
          <w:p w14:paraId="3A208A11" w14:textId="77777777" w:rsidR="00A768AC" w:rsidRDefault="00A768AC" w:rsidP="009859AD">
            <w:pPr>
              <w:pStyle w:val="TableSideHeading"/>
            </w:pPr>
          </w:p>
        </w:tc>
        <w:tc>
          <w:tcPr>
            <w:tcW w:w="624" w:type="dxa"/>
          </w:tcPr>
          <w:p w14:paraId="0D5D9308" w14:textId="77777777" w:rsidR="00A768AC" w:rsidRDefault="00A768AC" w:rsidP="009859AD">
            <w:pPr>
              <w:pStyle w:val="TableText"/>
            </w:pPr>
          </w:p>
        </w:tc>
        <w:tc>
          <w:tcPr>
            <w:tcW w:w="624" w:type="dxa"/>
          </w:tcPr>
          <w:p w14:paraId="59DE601D" w14:textId="77777777" w:rsidR="00A768AC" w:rsidRDefault="00A768AC" w:rsidP="009859AD">
            <w:pPr>
              <w:pStyle w:val="TableText"/>
            </w:pPr>
          </w:p>
        </w:tc>
        <w:tc>
          <w:tcPr>
            <w:tcW w:w="6519" w:type="dxa"/>
            <w:gridSpan w:val="4"/>
          </w:tcPr>
          <w:p w14:paraId="431A19F1" w14:textId="77777777" w:rsidR="00A768AC" w:rsidRDefault="00A768AC" w:rsidP="00D01EDE">
            <w:pPr>
              <w:pStyle w:val="TableBlock"/>
            </w:pPr>
            <w:r>
              <w:rPr>
                <w:rFonts w:hint="cs"/>
                <w:rtl/>
              </w:rPr>
              <w:t>(א)</w:t>
            </w:r>
            <w:r>
              <w:rPr>
                <w:rtl/>
              </w:rPr>
              <w:tab/>
            </w:r>
            <w:r>
              <w:rPr>
                <w:rFonts w:hint="cs"/>
                <w:rtl/>
              </w:rPr>
              <w:t>בכותרת השוליים, בסופה יבוא "ובמקום חניה לאזרח ותיק";</w:t>
            </w:r>
          </w:p>
        </w:tc>
      </w:tr>
      <w:tr w:rsidR="00A768AC" w14:paraId="035CA34D" w14:textId="77777777" w:rsidTr="00D01EDE">
        <w:trPr>
          <w:cantSplit/>
        </w:trPr>
        <w:tc>
          <w:tcPr>
            <w:tcW w:w="1871" w:type="dxa"/>
          </w:tcPr>
          <w:p w14:paraId="5C45A134" w14:textId="77777777" w:rsidR="00A768AC" w:rsidRDefault="00A768AC" w:rsidP="009859AD">
            <w:pPr>
              <w:pStyle w:val="TableSideHeading"/>
            </w:pPr>
          </w:p>
        </w:tc>
        <w:tc>
          <w:tcPr>
            <w:tcW w:w="624" w:type="dxa"/>
          </w:tcPr>
          <w:p w14:paraId="76463BF4" w14:textId="77777777" w:rsidR="00A768AC" w:rsidRDefault="00A768AC" w:rsidP="009859AD">
            <w:pPr>
              <w:pStyle w:val="TableText"/>
            </w:pPr>
          </w:p>
        </w:tc>
        <w:tc>
          <w:tcPr>
            <w:tcW w:w="624" w:type="dxa"/>
          </w:tcPr>
          <w:p w14:paraId="7F76E756" w14:textId="77777777" w:rsidR="00A768AC" w:rsidRDefault="00A768AC" w:rsidP="009859AD">
            <w:pPr>
              <w:pStyle w:val="TableText"/>
            </w:pPr>
          </w:p>
        </w:tc>
        <w:tc>
          <w:tcPr>
            <w:tcW w:w="6519" w:type="dxa"/>
            <w:gridSpan w:val="4"/>
          </w:tcPr>
          <w:p w14:paraId="0F95DD6F" w14:textId="52DFC348" w:rsidR="00A768AC" w:rsidRDefault="00A768AC" w:rsidP="00D01EDE">
            <w:pPr>
              <w:pStyle w:val="TableBlock"/>
            </w:pPr>
            <w:r>
              <w:rPr>
                <w:rFonts w:hint="cs"/>
                <w:rtl/>
              </w:rPr>
              <w:t>(ב)</w:t>
            </w:r>
            <w:r>
              <w:rPr>
                <w:rtl/>
              </w:rPr>
              <w:tab/>
            </w:r>
            <w:r>
              <w:rPr>
                <w:rFonts w:hint="cs"/>
                <w:rtl/>
              </w:rPr>
              <w:t xml:space="preserve">בסעיף קטן (א), אחרי "מקום חניה לנכה" יבוא "או לאזרח ותיק כהגדרתו </w:t>
            </w:r>
            <w:r w:rsidR="00A32389">
              <w:rPr>
                <w:rFonts w:hint="cs"/>
                <w:rtl/>
              </w:rPr>
              <w:t>ב</w:t>
            </w:r>
            <w:r>
              <w:rPr>
                <w:rFonts w:hint="cs"/>
                <w:rtl/>
              </w:rPr>
              <w:t>חוק האזרחים הוותיקים, התש"ן</w:t>
            </w:r>
            <w:r>
              <w:rPr>
                <w:rFonts w:hint="eastAsia"/>
                <w:rtl/>
              </w:rPr>
              <w:t>–</w:t>
            </w:r>
            <w:r>
              <w:rPr>
                <w:rFonts w:hint="cs"/>
                <w:rtl/>
              </w:rPr>
              <w:t>1989</w:t>
            </w:r>
            <w:r w:rsidRPr="00D01EDE">
              <w:rPr>
                <w:rStyle w:val="a5"/>
                <w:rFonts w:ascii="David" w:hAnsi="David"/>
                <w:sz w:val="26"/>
                <w:rtl/>
              </w:rPr>
              <w:footnoteReference w:id="5"/>
            </w:r>
            <w:r w:rsidDel="00A63C4E">
              <w:rPr>
                <w:rFonts w:hint="cs"/>
                <w:rtl/>
              </w:rPr>
              <w:t xml:space="preserve"> </w:t>
            </w:r>
            <w:r>
              <w:rPr>
                <w:rFonts w:hint="cs"/>
                <w:rtl/>
              </w:rPr>
              <w:t>".</w:t>
            </w:r>
          </w:p>
        </w:tc>
      </w:tr>
      <w:tr w:rsidR="00A768AC" w14:paraId="28A8E934" w14:textId="77777777" w:rsidTr="00D01EDE">
        <w:trPr>
          <w:cantSplit/>
        </w:trPr>
        <w:tc>
          <w:tcPr>
            <w:tcW w:w="1871" w:type="dxa"/>
          </w:tcPr>
          <w:p w14:paraId="13F16863" w14:textId="77777777" w:rsidR="00A768AC" w:rsidRDefault="00A768AC" w:rsidP="009859AD">
            <w:pPr>
              <w:pStyle w:val="TableSideHeading"/>
            </w:pPr>
          </w:p>
        </w:tc>
        <w:tc>
          <w:tcPr>
            <w:tcW w:w="624" w:type="dxa"/>
          </w:tcPr>
          <w:p w14:paraId="2F3E6646" w14:textId="77777777" w:rsidR="00A768AC" w:rsidRDefault="00A768AC" w:rsidP="009859AD">
            <w:pPr>
              <w:pStyle w:val="TableText"/>
            </w:pPr>
          </w:p>
        </w:tc>
        <w:tc>
          <w:tcPr>
            <w:tcW w:w="7143" w:type="dxa"/>
            <w:gridSpan w:val="5"/>
          </w:tcPr>
          <w:p w14:paraId="07E649C6" w14:textId="77777777" w:rsidR="00A768AC" w:rsidRPr="00C34DE2" w:rsidRDefault="00A768AC" w:rsidP="00D01EDE">
            <w:pPr>
              <w:pStyle w:val="TableBlock"/>
              <w:tabs>
                <w:tab w:val="left" w:pos="624"/>
                <w:tab w:val="left" w:pos="1247"/>
              </w:tabs>
            </w:pPr>
            <w:r>
              <w:rPr>
                <w:rFonts w:hint="cs"/>
                <w:rtl/>
              </w:rPr>
              <w:t>(2)</w:t>
            </w:r>
            <w:r>
              <w:rPr>
                <w:rtl/>
              </w:rPr>
              <w:tab/>
            </w:r>
            <w:r>
              <w:rPr>
                <w:rFonts w:hint="cs"/>
                <w:rtl/>
              </w:rPr>
              <w:t>בסעיף 70ב3, בכותרת השוליים, בסופה יבוא "ובמקום חניה לאזרח ותיק".</w:t>
            </w:r>
          </w:p>
        </w:tc>
      </w:tr>
    </w:tbl>
    <w:p w14:paraId="7F6961CA" w14:textId="77777777" w:rsidR="002D1EE3" w:rsidRDefault="002D1EE3" w:rsidP="002D1EE3">
      <w:pPr>
        <w:pStyle w:val="HeadDivreiHesber"/>
        <w:rPr>
          <w:rtl/>
        </w:rPr>
      </w:pPr>
      <w:r w:rsidRPr="0027450A">
        <w:rPr>
          <w:rFonts w:hint="cs"/>
          <w:rtl/>
        </w:rPr>
        <w:t>דברי הסבר</w:t>
      </w:r>
    </w:p>
    <w:p w14:paraId="15C7EC5C" w14:textId="77777777" w:rsidR="00A768AC" w:rsidRPr="00953394" w:rsidRDefault="00A768AC" w:rsidP="00D01EDE">
      <w:pPr>
        <w:pStyle w:val="Hesber"/>
        <w:spacing w:line="276" w:lineRule="auto"/>
        <w:rPr>
          <w:rtl/>
        </w:rPr>
      </w:pPr>
      <w:r w:rsidRPr="00953394">
        <w:rPr>
          <w:rFonts w:hint="cs"/>
          <w:rtl/>
        </w:rPr>
        <w:t>הוראות חוק התכנון והבנייה, התשכ"ה</w:t>
      </w:r>
      <w:r w:rsidRPr="00953394">
        <w:rPr>
          <w:rFonts w:hint="eastAsia"/>
          <w:rtl/>
        </w:rPr>
        <w:t>–</w:t>
      </w:r>
      <w:r w:rsidRPr="00953394">
        <w:rPr>
          <w:rFonts w:hint="cs"/>
          <w:rtl/>
        </w:rPr>
        <w:t xml:space="preserve">1965, קובעות חובה להקצות מקומות חניה במקומות ציבוריים עבור אנשים עם מוגבלות, לרבות במקומות בבעלות פרטית המיועדים לשימוש כלל הציבור, כגון מרכזי קניות, בתי מלון ואולמות שמחה, וכן הוראות בדבר הנגשת מקומות החניה שהוקצו. </w:t>
      </w:r>
    </w:p>
    <w:p w14:paraId="31C345C9" w14:textId="77777777" w:rsidR="00A768AC" w:rsidRPr="00953394" w:rsidRDefault="00A768AC" w:rsidP="00D01EDE">
      <w:pPr>
        <w:pStyle w:val="Hesber"/>
        <w:spacing w:line="276" w:lineRule="auto"/>
        <w:rPr>
          <w:rtl/>
        </w:rPr>
      </w:pPr>
      <w:r w:rsidRPr="00953394">
        <w:rPr>
          <w:rFonts w:hint="cs"/>
          <w:rtl/>
        </w:rPr>
        <w:t xml:space="preserve">בפקודת התעבורה [נוסח חדש], נקבעו הוראות שמטרתן להבטיח כי תיאכף זכותם של אנשים עם מוגבלות לחנות במקומות שהוקצו לכך, על ידי הצבת תמרור לסימון מקום החניה, והענקת סמכויות פיקוח לעניין מקום חניה לנכה.  </w:t>
      </w:r>
    </w:p>
    <w:p w14:paraId="2B590AFC" w14:textId="77777777" w:rsidR="00A768AC" w:rsidRPr="00953394" w:rsidRDefault="00A768AC" w:rsidP="00D01EDE">
      <w:pPr>
        <w:pStyle w:val="Hesber"/>
        <w:spacing w:line="276" w:lineRule="auto"/>
        <w:rPr>
          <w:rtl/>
        </w:rPr>
      </w:pPr>
      <w:r w:rsidRPr="00953394">
        <w:rPr>
          <w:rFonts w:hint="cs"/>
          <w:rtl/>
        </w:rPr>
        <w:t>ב</w:t>
      </w:r>
      <w:r w:rsidRPr="00953394">
        <w:rPr>
          <w:rtl/>
        </w:rPr>
        <w:t xml:space="preserve">פרק ג' </w:t>
      </w:r>
      <w:r w:rsidRPr="00953394">
        <w:rPr>
          <w:rFonts w:hint="cs"/>
          <w:rtl/>
        </w:rPr>
        <w:t>לחוק האזרחים הוותיקים, התש"ן</w:t>
      </w:r>
      <w:r w:rsidRPr="00953394">
        <w:rPr>
          <w:rFonts w:hint="eastAsia"/>
          <w:rtl/>
        </w:rPr>
        <w:t>–</w:t>
      </w:r>
      <w:r w:rsidRPr="00953394">
        <w:rPr>
          <w:rFonts w:hint="cs"/>
          <w:rtl/>
        </w:rPr>
        <w:t xml:space="preserve">1989, נקבע כי אזרח ותיק זכאי לתעודת אזרח ותיק המקנה לו הטבות שונות. עם זאת, החוק האמור אינו קובע הקצאת מקומות חניה במקומות ציבוריים לאזרחים ותיקים.   </w:t>
      </w:r>
    </w:p>
    <w:p w14:paraId="12072CA8" w14:textId="77777777" w:rsidR="00A768AC" w:rsidRDefault="00A768AC" w:rsidP="00D01EDE">
      <w:pPr>
        <w:pStyle w:val="Hesber"/>
        <w:spacing w:line="276" w:lineRule="auto"/>
        <w:rPr>
          <w:rtl/>
        </w:rPr>
      </w:pPr>
      <w:r w:rsidRPr="00953394">
        <w:rPr>
          <w:rFonts w:hint="cs"/>
          <w:rtl/>
        </w:rPr>
        <w:t xml:space="preserve">על מנת לסייע לאזרחים ותיקים המתקשים במציאת מקומות חניה במקומות ציבוריים, </w:t>
      </w:r>
      <w:r w:rsidRPr="00953394">
        <w:rPr>
          <w:rtl/>
        </w:rPr>
        <w:t xml:space="preserve">מוצע לקבוע </w:t>
      </w:r>
      <w:r w:rsidRPr="00953394">
        <w:rPr>
          <w:rFonts w:hint="cs"/>
          <w:rtl/>
        </w:rPr>
        <w:t>חובה להקצות מקומות חניה כאמור לאזרח ותיק שגילו עולה על גיל הפרישה, כפי שיקבע שר הפנים בהתייעצות עם השר לשוויון חברתי. בנוסף, מוצע לקבוע כי במקומות חניה כאמור יוצב תמרור לסימון מקום החניה ויוענקו סמכויות פיקוח</w:t>
      </w:r>
      <w:r>
        <w:rPr>
          <w:rFonts w:hint="cs"/>
          <w:rtl/>
        </w:rPr>
        <w:t>.</w:t>
      </w:r>
    </w:p>
    <w:p w14:paraId="7F6961CB" w14:textId="0EACCC21" w:rsidR="00E13C27" w:rsidRDefault="00A768AC" w:rsidP="00D01EDE">
      <w:pPr>
        <w:pStyle w:val="Hesber"/>
        <w:spacing w:line="276" w:lineRule="auto"/>
        <w:rPr>
          <w:rtl/>
        </w:rPr>
      </w:pPr>
      <w:r>
        <w:rPr>
          <w:rFonts w:hint="cs"/>
          <w:rtl/>
        </w:rPr>
        <w:t>הצעות חוק זהות הונחו על שולחן הכנסת העשרים וארבע על ידי חברי הכנסת ינון אזולאי ומשה ארבל (פ/535/24) ועל שולחן הכנסת העשרים וחמש על ידי חבר הכנסת ואליד אלהואשלה (פ/3336/25)</w:t>
      </w:r>
      <w:r w:rsidR="00053D55">
        <w:rPr>
          <w:rFonts w:hint="cs"/>
          <w:rtl/>
        </w:rPr>
        <w:t xml:space="preserve"> ועל ידי חבר הכנסת אחמד טיבי (פ/3923/25)</w:t>
      </w:r>
      <w:r>
        <w:rPr>
          <w:rFonts w:hint="cs"/>
          <w:rtl/>
        </w:rPr>
        <w:t>.</w:t>
      </w:r>
    </w:p>
    <w:p w14:paraId="161FBFD2" w14:textId="77777777" w:rsidR="00D01EDE" w:rsidRDefault="00D01EDE" w:rsidP="00D01EDE">
      <w:pPr>
        <w:pStyle w:val="Hesber"/>
        <w:spacing w:line="276" w:lineRule="auto"/>
        <w:rPr>
          <w:rtl/>
        </w:rPr>
      </w:pPr>
      <w:bookmarkStart w:id="8" w:name="_GoBack"/>
      <w:bookmarkEnd w:id="8"/>
    </w:p>
    <w:p w14:paraId="68907382" w14:textId="77777777" w:rsidR="007B5039" w:rsidRDefault="00D01EDE" w:rsidP="00D01EDE">
      <w:pPr>
        <w:spacing w:line="276" w:lineRule="auto"/>
        <w:jc w:val="left"/>
      </w:pPr>
      <w:bookmarkStart w:id="9" w:name="selectedDocDateB"/>
      <w:bookmarkEnd w:id="9"/>
      <w:r>
        <w:rPr>
          <w:rFonts w:eastAsia="David" w:hint="cs"/>
          <w:sz w:val="26"/>
          <w:szCs w:val="26"/>
          <w:rtl/>
        </w:rPr>
        <w:t>--------------------------------</w:t>
      </w:r>
    </w:p>
    <w:p w14:paraId="08AC2A02" w14:textId="77777777" w:rsidR="007B5039" w:rsidRDefault="00D01EDE" w:rsidP="00D01EDE">
      <w:pPr>
        <w:spacing w:line="240" w:lineRule="auto"/>
        <w:jc w:val="left"/>
      </w:pPr>
      <w:r>
        <w:rPr>
          <w:rFonts w:eastAsia="David" w:hint="cs"/>
          <w:sz w:val="26"/>
          <w:szCs w:val="26"/>
          <w:rtl/>
        </w:rPr>
        <w:t>הוגשה ליו"ר הכנסת והסגנים</w:t>
      </w:r>
    </w:p>
    <w:p w14:paraId="4FD431CB" w14:textId="77777777" w:rsidR="007B5039" w:rsidRDefault="00D01EDE" w:rsidP="00D01EDE">
      <w:pPr>
        <w:spacing w:line="240" w:lineRule="auto"/>
        <w:jc w:val="left"/>
      </w:pPr>
      <w:r>
        <w:rPr>
          <w:rFonts w:eastAsia="David" w:hint="cs"/>
          <w:sz w:val="26"/>
          <w:szCs w:val="26"/>
          <w:rtl/>
        </w:rPr>
        <w:t>והונחה על שולחן הכנסת ביום</w:t>
      </w:r>
    </w:p>
    <w:p w14:paraId="4AEC55A5" w14:textId="4372F8CE" w:rsidR="007B5039" w:rsidRDefault="00D01EDE" w:rsidP="00D01EDE">
      <w:pPr>
        <w:spacing w:line="240" w:lineRule="auto"/>
        <w:jc w:val="left"/>
      </w:pPr>
      <w:r>
        <w:rPr>
          <w:rFonts w:eastAsia="David" w:hint="cs"/>
          <w:sz w:val="26"/>
          <w:szCs w:val="26"/>
          <w:rtl/>
        </w:rPr>
        <w:t xml:space="preserve">ט"ז באדר ב' התשפ"ד (26.03.2024) </w:t>
      </w:r>
    </w:p>
    <w:sectPr w:rsidR="007B5039" w:rsidSect="00D01ED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1DB7A21"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D01ED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D01ED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307332C" w14:textId="77777777" w:rsidR="00A768AC" w:rsidRDefault="00A768AC" w:rsidP="00A768AC">
      <w:pPr>
        <w:pStyle w:val="a4"/>
        <w:rPr>
          <w:rtl/>
        </w:rPr>
      </w:pPr>
      <w:r>
        <w:rPr>
          <w:rStyle w:val="a5"/>
        </w:rPr>
        <w:footnoteRef/>
      </w:r>
      <w:r>
        <w:rPr>
          <w:rtl/>
        </w:rPr>
        <w:t xml:space="preserve"> </w:t>
      </w:r>
      <w:r>
        <w:rPr>
          <w:rFonts w:hint="cs"/>
          <w:rtl/>
        </w:rPr>
        <w:t>ס"ח התש"ן, עמ' 26.</w:t>
      </w:r>
    </w:p>
  </w:footnote>
  <w:footnote w:id="3">
    <w:p w14:paraId="76432388" w14:textId="77777777" w:rsidR="00A768AC" w:rsidRDefault="00A768AC" w:rsidP="00A768AC">
      <w:pPr>
        <w:pStyle w:val="a4"/>
        <w:rPr>
          <w:rtl/>
        </w:rPr>
      </w:pPr>
      <w:r>
        <w:rPr>
          <w:rStyle w:val="a5"/>
        </w:rPr>
        <w:footnoteRef/>
      </w:r>
      <w:r>
        <w:rPr>
          <w:rtl/>
        </w:rPr>
        <w:t xml:space="preserve"> </w:t>
      </w:r>
      <w:r>
        <w:rPr>
          <w:rFonts w:hint="cs"/>
          <w:rtl/>
        </w:rPr>
        <w:t>ס"ח התשנ"ח, עמ' 152.</w:t>
      </w:r>
    </w:p>
  </w:footnote>
  <w:footnote w:id="4">
    <w:p w14:paraId="08B6FEB0" w14:textId="77777777" w:rsidR="00A768AC" w:rsidRDefault="00A768AC" w:rsidP="00A768AC">
      <w:pPr>
        <w:pStyle w:val="a4"/>
        <w:rPr>
          <w:rtl/>
        </w:rPr>
      </w:pPr>
      <w:r>
        <w:rPr>
          <w:rStyle w:val="a5"/>
        </w:rPr>
        <w:footnoteRef/>
      </w:r>
      <w:r>
        <w:rPr>
          <w:rtl/>
        </w:rPr>
        <w:t xml:space="preserve"> </w:t>
      </w:r>
      <w:r>
        <w:rPr>
          <w:rFonts w:hint="cs"/>
          <w:rtl/>
        </w:rPr>
        <w:t>דיני מדינת ישראל, נוסח חדש 7, עמ' 173.</w:t>
      </w:r>
    </w:p>
  </w:footnote>
  <w:footnote w:id="5">
    <w:p w14:paraId="6F55572A" w14:textId="77777777" w:rsidR="00A768AC" w:rsidRDefault="00A768AC" w:rsidP="00A768AC">
      <w:pPr>
        <w:pStyle w:val="a4"/>
      </w:pPr>
      <w:r>
        <w:rPr>
          <w:rStyle w:val="a5"/>
        </w:rPr>
        <w:footnoteRef/>
      </w:r>
      <w:r>
        <w:rPr>
          <w:rtl/>
        </w:rPr>
        <w:t xml:space="preserve"> </w:t>
      </w:r>
      <w:r>
        <w:rPr>
          <w:rFonts w:hint="cs"/>
          <w:rtl/>
        </w:rPr>
        <w:t>ס"ח התש"ן, עמ'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3D55"/>
    <w:rsid w:val="00063A3E"/>
    <w:rsid w:val="00072CAC"/>
    <w:rsid w:val="0007681A"/>
    <w:rsid w:val="000A542E"/>
    <w:rsid w:val="000D6DD1"/>
    <w:rsid w:val="00102B6B"/>
    <w:rsid w:val="001052D4"/>
    <w:rsid w:val="0010644B"/>
    <w:rsid w:val="001207F8"/>
    <w:rsid w:val="00121924"/>
    <w:rsid w:val="001279A8"/>
    <w:rsid w:val="0014195F"/>
    <w:rsid w:val="00152609"/>
    <w:rsid w:val="00153E1B"/>
    <w:rsid w:val="001A0623"/>
    <w:rsid w:val="001C23B0"/>
    <w:rsid w:val="001D7AAF"/>
    <w:rsid w:val="001F044C"/>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B5039"/>
    <w:rsid w:val="007C3FA6"/>
    <w:rsid w:val="007D585A"/>
    <w:rsid w:val="007D5A12"/>
    <w:rsid w:val="007E59F9"/>
    <w:rsid w:val="00810BCD"/>
    <w:rsid w:val="00812C98"/>
    <w:rsid w:val="00814D92"/>
    <w:rsid w:val="00827AB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1D7A"/>
    <w:rsid w:val="00982412"/>
    <w:rsid w:val="00983A8D"/>
    <w:rsid w:val="009A0DB8"/>
    <w:rsid w:val="009A7257"/>
    <w:rsid w:val="009D6E0A"/>
    <w:rsid w:val="009E1E33"/>
    <w:rsid w:val="00A14672"/>
    <w:rsid w:val="00A26BD6"/>
    <w:rsid w:val="00A32389"/>
    <w:rsid w:val="00A443CF"/>
    <w:rsid w:val="00A6611D"/>
    <w:rsid w:val="00A768AC"/>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01EDE"/>
    <w:rsid w:val="00D142D3"/>
    <w:rsid w:val="00D17774"/>
    <w:rsid w:val="00D63620"/>
    <w:rsid w:val="00D8410D"/>
    <w:rsid w:val="00D867D7"/>
    <w:rsid w:val="00DB7060"/>
    <w:rsid w:val="00DE0C51"/>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3F64CBD-FB3C-4961-A381-D982126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D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01ED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01ED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01ED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01ED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01EDE"/>
    <w:pPr>
      <w:spacing w:line="259" w:lineRule="auto"/>
      <w:outlineLvl w:val="4"/>
    </w:pPr>
    <w:rPr>
      <w:color w:val="000000" w:themeColor="text1"/>
    </w:rPr>
  </w:style>
  <w:style w:type="character" w:default="1" w:styleId="a0">
    <w:name w:val="Default Paragraph Font"/>
    <w:uiPriority w:val="1"/>
    <w:semiHidden/>
    <w:unhideWhenUsed/>
    <w:rsid w:val="00D01ED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01EDE"/>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01ED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01EDE"/>
    <w:rPr>
      <w:sz w:val="36"/>
      <w:szCs w:val="52"/>
    </w:rPr>
  </w:style>
  <w:style w:type="paragraph" w:customStyle="1" w:styleId="Cover3-Haknesset">
    <w:name w:val="Cover 3-Haknesset"/>
    <w:basedOn w:val="Cover1-Reshumot"/>
    <w:rsid w:val="00D01EDE"/>
    <w:rPr>
      <w:b/>
      <w:bCs/>
      <w:spacing w:val="60"/>
    </w:rPr>
  </w:style>
  <w:style w:type="paragraph" w:customStyle="1" w:styleId="Cover4-Date">
    <w:name w:val="Cover 4-Date"/>
    <w:basedOn w:val="a"/>
    <w:rsid w:val="00D01ED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01ED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01ED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01EDE"/>
    <w:pPr>
      <w:spacing w:before="120" w:after="120"/>
    </w:pPr>
    <w:rPr>
      <w:color w:val="FF0000"/>
      <w:w w:val="80"/>
    </w:rPr>
  </w:style>
  <w:style w:type="paragraph" w:styleId="a3">
    <w:name w:val="endnote text"/>
    <w:basedOn w:val="a"/>
    <w:semiHidden/>
    <w:rsid w:val="00D01EDE"/>
    <w:pPr>
      <w:ind w:left="227" w:hanging="227"/>
    </w:pPr>
    <w:rPr>
      <w:sz w:val="14"/>
      <w:szCs w:val="22"/>
    </w:rPr>
  </w:style>
  <w:style w:type="paragraph" w:customStyle="1" w:styleId="TableText">
    <w:name w:val="Table Text"/>
    <w:basedOn w:val="a"/>
    <w:rsid w:val="00D01ED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01EDE"/>
    <w:pPr>
      <w:outlineLvl w:val="2"/>
    </w:pPr>
  </w:style>
  <w:style w:type="paragraph" w:customStyle="1" w:styleId="TableBlock">
    <w:name w:val="Table Block"/>
    <w:basedOn w:val="TableText"/>
    <w:rsid w:val="00D01EDE"/>
    <w:pPr>
      <w:jc w:val="both"/>
    </w:pPr>
  </w:style>
  <w:style w:type="paragraph" w:customStyle="1" w:styleId="TableHead">
    <w:name w:val="Table Head"/>
    <w:basedOn w:val="TableText"/>
    <w:rsid w:val="00D01ED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01EDE"/>
    <w:pPr>
      <w:outlineLvl w:val="9"/>
    </w:pPr>
  </w:style>
  <w:style w:type="paragraph" w:customStyle="1" w:styleId="Hesber">
    <w:name w:val="Hesber"/>
    <w:basedOn w:val="a"/>
    <w:rsid w:val="00D01EDE"/>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D01EDE"/>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D01EDE"/>
    <w:rPr>
      <w:vertAlign w:val="superscript"/>
    </w:rPr>
  </w:style>
  <w:style w:type="paragraph" w:customStyle="1" w:styleId="HesberHeading">
    <w:name w:val="Hesber Heading"/>
    <w:basedOn w:val="Hesber"/>
    <w:rsid w:val="00D01EDE"/>
    <w:pPr>
      <w:tabs>
        <w:tab w:val="left" w:pos="624"/>
        <w:tab w:val="left" w:pos="1247"/>
      </w:tabs>
    </w:pPr>
    <w:rPr>
      <w:b/>
      <w:bCs/>
    </w:rPr>
  </w:style>
  <w:style w:type="paragraph" w:customStyle="1" w:styleId="HesberWriters">
    <w:name w:val="Hesber Writers"/>
    <w:basedOn w:val="Hesber"/>
    <w:rsid w:val="00D01EDE"/>
    <w:pPr>
      <w:spacing w:before="120" w:after="120"/>
      <w:ind w:left="1418"/>
      <w:jc w:val="right"/>
    </w:pPr>
    <w:rPr>
      <w:b/>
      <w:bCs/>
    </w:rPr>
  </w:style>
  <w:style w:type="paragraph" w:customStyle="1" w:styleId="Hesber1st">
    <w:name w:val="Hesber 1st"/>
    <w:basedOn w:val="Hesber"/>
    <w:rsid w:val="00D01EDE"/>
    <w:pPr>
      <w:tabs>
        <w:tab w:val="left" w:pos="680"/>
        <w:tab w:val="left" w:pos="1020"/>
      </w:tabs>
      <w:ind w:firstLine="0"/>
    </w:pPr>
  </w:style>
  <w:style w:type="character" w:styleId="a6">
    <w:name w:val="endnote reference"/>
    <w:basedOn w:val="a0"/>
    <w:semiHidden/>
    <w:rsid w:val="00D01EDE"/>
    <w:rPr>
      <w:vertAlign w:val="superscript"/>
    </w:rPr>
  </w:style>
  <w:style w:type="paragraph" w:customStyle="1" w:styleId="TableBlockOutdent">
    <w:name w:val="Table BlockOutdent"/>
    <w:basedOn w:val="TableBlock"/>
    <w:rsid w:val="00D01EDE"/>
    <w:pPr>
      <w:ind w:left="624" w:hanging="624"/>
    </w:pPr>
  </w:style>
  <w:style w:type="paragraph" w:styleId="a7">
    <w:name w:val="header"/>
    <w:basedOn w:val="a"/>
    <w:rsid w:val="00D01EDE"/>
    <w:pPr>
      <w:tabs>
        <w:tab w:val="center" w:pos="4153"/>
        <w:tab w:val="right" w:pos="8306"/>
      </w:tabs>
    </w:pPr>
  </w:style>
  <w:style w:type="paragraph" w:styleId="a8">
    <w:name w:val="footer"/>
    <w:basedOn w:val="a"/>
    <w:rsid w:val="00D01EDE"/>
    <w:pPr>
      <w:tabs>
        <w:tab w:val="center" w:pos="4153"/>
        <w:tab w:val="right" w:pos="8306"/>
      </w:tabs>
    </w:pPr>
  </w:style>
  <w:style w:type="paragraph" w:customStyle="1" w:styleId="HeadDivreiHesber">
    <w:name w:val="Head DivreiHesber"/>
    <w:basedOn w:val="a"/>
    <w:rsid w:val="00D01ED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01EDE"/>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D01ED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D01EDE"/>
    <w:rPr>
      <w:rFonts w:asciiTheme="majorHAnsi" w:eastAsiaTheme="majorEastAsia" w:hAnsiTheme="majorHAnsi" w:cs="David"/>
      <w:bCs/>
      <w:sz w:val="32"/>
      <w:szCs w:val="36"/>
    </w:rPr>
  </w:style>
  <w:style w:type="character" w:customStyle="1" w:styleId="20">
    <w:name w:val="כותרת 2 תו"/>
    <w:basedOn w:val="a0"/>
    <w:link w:val="2"/>
    <w:rsid w:val="00D01EDE"/>
    <w:rPr>
      <w:rFonts w:asciiTheme="majorHAnsi" w:eastAsiaTheme="majorEastAsia" w:hAnsiTheme="majorHAnsi" w:cs="David"/>
      <w:bCs/>
      <w:sz w:val="26"/>
      <w:szCs w:val="36"/>
      <w:u w:val="single"/>
    </w:rPr>
  </w:style>
  <w:style w:type="character" w:customStyle="1" w:styleId="30">
    <w:name w:val="כותרת 3 תו"/>
    <w:basedOn w:val="a0"/>
    <w:link w:val="3"/>
    <w:rsid w:val="00D01EDE"/>
    <w:rPr>
      <w:rFonts w:asciiTheme="majorHAnsi" w:eastAsiaTheme="majorEastAsia" w:hAnsiTheme="majorHAnsi" w:cs="David"/>
      <w:sz w:val="24"/>
      <w:szCs w:val="28"/>
      <w:u w:val="double"/>
    </w:rPr>
  </w:style>
  <w:style w:type="character" w:customStyle="1" w:styleId="40">
    <w:name w:val="כותרת 4 תו"/>
    <w:basedOn w:val="a0"/>
    <w:link w:val="4"/>
    <w:uiPriority w:val="9"/>
    <w:rsid w:val="00D01ED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01EDE"/>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D01EDE"/>
    <w:pPr>
      <w:widowControl/>
      <w:spacing w:before="120" w:after="120"/>
      <w:outlineLvl w:val="9"/>
    </w:pPr>
    <w:rPr>
      <w:rtl/>
      <w:cs/>
    </w:rPr>
  </w:style>
  <w:style w:type="paragraph" w:styleId="TOC1">
    <w:name w:val="toc 1"/>
    <w:basedOn w:val="a"/>
    <w:next w:val="a"/>
    <w:autoRedefine/>
    <w:uiPriority w:val="39"/>
    <w:unhideWhenUsed/>
    <w:rsid w:val="00D01EDE"/>
    <w:pPr>
      <w:tabs>
        <w:tab w:val="right" w:leader="dot" w:pos="9629"/>
      </w:tabs>
      <w:spacing w:after="100"/>
    </w:pPr>
    <w:rPr>
      <w:bCs/>
      <w:szCs w:val="22"/>
    </w:rPr>
  </w:style>
  <w:style w:type="paragraph" w:styleId="TOC2">
    <w:name w:val="toc 2"/>
    <w:basedOn w:val="a"/>
    <w:next w:val="a"/>
    <w:uiPriority w:val="39"/>
    <w:unhideWhenUsed/>
    <w:rsid w:val="00D01EDE"/>
    <w:pPr>
      <w:tabs>
        <w:tab w:val="right" w:leader="dot" w:pos="9628"/>
      </w:tabs>
      <w:spacing w:after="100"/>
    </w:pPr>
    <w:rPr>
      <w:szCs w:val="22"/>
    </w:rPr>
  </w:style>
  <w:style w:type="character" w:styleId="Hyperlink">
    <w:name w:val="Hyperlink"/>
    <w:basedOn w:val="a0"/>
    <w:uiPriority w:val="99"/>
    <w:unhideWhenUsed/>
    <w:rsid w:val="00D01EDE"/>
    <w:rPr>
      <w:color w:val="0000FF" w:themeColor="hyperlink"/>
      <w:u w:val="single"/>
    </w:rPr>
  </w:style>
  <w:style w:type="paragraph" w:styleId="TOC3">
    <w:name w:val="toc 3"/>
    <w:basedOn w:val="a"/>
    <w:next w:val="a"/>
    <w:uiPriority w:val="39"/>
    <w:unhideWhenUsed/>
    <w:rsid w:val="00D01ED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01ED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01EDE"/>
    <w:pPr>
      <w:tabs>
        <w:tab w:val="right" w:leader="dot" w:pos="9628"/>
      </w:tabs>
      <w:spacing w:after="100"/>
      <w:ind w:left="567"/>
    </w:pPr>
    <w:rPr>
      <w:szCs w:val="22"/>
    </w:rPr>
  </w:style>
  <w:style w:type="paragraph" w:styleId="TOC6">
    <w:name w:val="toc 6"/>
    <w:basedOn w:val="a"/>
    <w:next w:val="a"/>
    <w:autoRedefine/>
    <w:semiHidden/>
    <w:unhideWhenUsed/>
    <w:rsid w:val="00D01EDE"/>
    <w:pPr>
      <w:spacing w:after="100"/>
      <w:ind w:left="850"/>
    </w:pPr>
  </w:style>
  <w:style w:type="paragraph" w:styleId="TOC7">
    <w:name w:val="toc 7"/>
    <w:basedOn w:val="a"/>
    <w:next w:val="a"/>
    <w:autoRedefine/>
    <w:semiHidden/>
    <w:unhideWhenUsed/>
    <w:rsid w:val="00D01EDE"/>
    <w:pPr>
      <w:spacing w:after="100"/>
      <w:ind w:left="1020"/>
    </w:pPr>
  </w:style>
  <w:style w:type="paragraph" w:styleId="TOC8">
    <w:name w:val="toc 8"/>
    <w:basedOn w:val="a"/>
    <w:next w:val="a"/>
    <w:autoRedefine/>
    <w:semiHidden/>
    <w:unhideWhenUsed/>
    <w:rsid w:val="00D01EDE"/>
    <w:pPr>
      <w:spacing w:after="100"/>
      <w:ind w:left="1190"/>
    </w:pPr>
  </w:style>
  <w:style w:type="paragraph" w:styleId="TOC9">
    <w:name w:val="toc 9"/>
    <w:basedOn w:val="a"/>
    <w:next w:val="a"/>
    <w:autoRedefine/>
    <w:semiHidden/>
    <w:unhideWhenUsed/>
    <w:rsid w:val="00D01EDE"/>
    <w:pPr>
      <w:spacing w:after="100"/>
      <w:ind w:left="1360"/>
    </w:pPr>
  </w:style>
  <w:style w:type="paragraph" w:customStyle="1" w:styleId="TableHead2">
    <w:name w:val="Table Head2"/>
    <w:basedOn w:val="TableHead"/>
    <w:qFormat/>
    <w:rsid w:val="00D01EDE"/>
    <w:pPr>
      <w:outlineLvl w:val="9"/>
    </w:pPr>
  </w:style>
  <w:style w:type="paragraph" w:customStyle="1" w:styleId="TableSideHeading2">
    <w:name w:val="Table SideHeading2"/>
    <w:basedOn w:val="TableSideHeading"/>
    <w:autoRedefine/>
    <w:qFormat/>
    <w:rsid w:val="00D01EDE"/>
    <w:pPr>
      <w:keepLines w:val="0"/>
      <w:outlineLvl w:val="9"/>
    </w:pPr>
  </w:style>
  <w:style w:type="paragraph" w:customStyle="1" w:styleId="0">
    <w:name w:val="סגנון שורה ראשונה:  0  ס''מ"/>
    <w:basedOn w:val="2"/>
    <w:rsid w:val="00D01EDE"/>
    <w:rPr>
      <w:rFonts w:eastAsia="Times New Roman"/>
    </w:rPr>
  </w:style>
  <w:style w:type="paragraph" w:styleId="ae">
    <w:name w:val="List Paragraph"/>
    <w:basedOn w:val="a"/>
    <w:uiPriority w:val="34"/>
    <w:qFormat/>
    <w:rsid w:val="00D01EDE"/>
    <w:pPr>
      <w:widowControl/>
      <w:spacing w:line="259" w:lineRule="auto"/>
    </w:pPr>
    <w:rPr>
      <w:rFonts w:asciiTheme="minorHAnsi" w:hAnsiTheme="minorHAnsi"/>
      <w:sz w:val="22"/>
    </w:rPr>
  </w:style>
  <w:style w:type="table" w:styleId="af">
    <w:name w:val="Table Grid"/>
    <w:basedOn w:val="a1"/>
    <w:rsid w:val="00D01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01E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01E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D01ED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01EDE"/>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290d5b49-c690-4c6f-bbb9-1e50dab33eee"/>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61E68D1-064E-45C9-AC1B-D7FF3527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FC0A1-540D-4961-9E75-0101D06C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446</Words>
  <Characters>2232</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2013-07-04T08:25:00Z</cp:lastPrinted>
  <dcterms:created xsi:type="dcterms:W3CDTF">2015-04-20T09:58:00Z</dcterms:created>
  <dcterms:modified xsi:type="dcterms:W3CDTF">2024-03-21T06:56:00Z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2216671</vt:r8>
  </property>
</Properties>
</file>