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635A2" w:rsidR="002C2E29" w:rsidP="00E635A2" w:rsidRDefault="004033D8" w14:paraId="7F6961A1" w14:textId="77777777">
      <w:pPr>
        <w:jc w:val="right"/>
        <w:rPr>
          <w:rFonts w:cs="David"/>
          <w:b/>
          <w:bCs/>
          <w:sz w:val="20"/>
          <w:szCs w:val="20"/>
        </w:rPr>
      </w:pPr>
      <w:r w:rsidRPr="00E635A2">
        <w:rPr>
          <w:rFonts w:hint="cs" w:cs="David"/>
          <w:sz w:val="20"/>
          <w:szCs w:val="20"/>
          <w:rtl/>
        </w:rPr>
        <w:t xml:space="preserve">מספר פנימי: </w:t>
      </w:r>
      <w:bookmarkStart w:name="LGS_Internal_ID" w:id="0"/>
      <w:r>
        <w:rPr>
          <w:rFonts w:hint="cs" w:cs="David"/>
          <w:sz w:val="20"/>
          <w:szCs w:val="20"/>
          <w:rtl/>
        </w:rPr>
        <w:t>2215477</w:t>
      </w:r>
      <w:bookmarkEnd w:id="0"/>
    </w:p>
    <w:p w:rsidRPr="00DB7060" w:rsidR="00E13C27" w:rsidP="00A443CF" w:rsidRDefault="00E13C27" w14:paraId="7F6961A2" w14:textId="53D639AE">
      <w:pPr>
        <w:pStyle w:val="HeadHatzaotHok"/>
        <w:rPr>
          <w:sz w:val="28"/>
          <w:szCs w:val="28"/>
          <w:rtl/>
        </w:rPr>
      </w:pPr>
      <w:r w:rsidRPr="00DB7060">
        <w:rPr>
          <w:rFonts w:hint="cs"/>
          <w:sz w:val="28"/>
          <w:szCs w:val="28"/>
          <w:rtl/>
        </w:rPr>
        <w:t xml:space="preserve">הכנסת </w:t>
      </w:r>
      <w:bookmarkStart w:name="LGS_Knesset_Num" w:id="1"/>
      <w:r>
        <w:rPr>
          <w:rFonts w:hint="cs"/>
          <w:sz w:val="28"/>
          <w:szCs w:val="28"/>
          <w:rtl/>
        </w:rPr>
        <w:t>העשרים וחמש</w:t>
      </w:r>
      <w:bookmarkEnd w:id="1"/>
    </w:p>
    <w:p w:rsidRPr="00F67051" w:rsidR="00E13C27" w:rsidP="00E13C27" w:rsidRDefault="00E13C27" w14:paraId="7F6961A3" w14:textId="77777777">
      <w:pPr>
        <w:rPr>
          <w:rFonts w:cs="David"/>
          <w:b/>
          <w:bCs/>
          <w:sz w:val="26"/>
          <w:szCs w:val="26"/>
          <w:rtl/>
        </w:rPr>
      </w:pPr>
    </w:p>
    <w:p w:rsidR="00E13C27" w:rsidP="00930EFE" w:rsidRDefault="008F6665" w14:paraId="7F6961A6" w14:textId="77777777">
      <w:pPr>
        <w:pStyle w:val="David"/>
        <w:spacing w:line="360" w:lineRule="auto"/>
        <w:ind w:left="3544"/>
        <w:rPr>
          <w:b/>
          <w:bCs/>
          <w:rtl/>
        </w:rPr>
      </w:pPr>
      <w:bookmarkStart w:name="LGS_Initiators_List" w:id="2"/>
      <w:r>
        <w:rPr>
          <w:b/>
          <w:bCs/>
          <w:rtl/>
        </w:rPr>
        <w:t>יוזמת:</w:t>
      </w:r>
      <w:r>
        <w:tab/>
      </w:r>
      <w:r>
        <w:rPr>
          <w:b/>
          <w:bCs/>
          <w:rtl/>
        </w:rPr>
        <w:t xml:space="preserve">      חברת הכנסת</w:t>
      </w:r>
      <w:bookmarkEnd w:id="2"/>
      <w:r w:rsidRPr="00F67051" w:rsidR="00B35784">
        <w:rPr>
          <w:b/>
          <w:bCs/>
        </w:rPr>
        <w:tab/>
      </w:r>
      <w:bookmarkStart w:name="LGS_PM_Names" w:id="3"/>
      <w:r>
        <w:rPr>
          <w:rFonts w:hint="cs"/>
          <w:b/>
          <w:bCs/>
          <w:rtl/>
        </w:rPr>
        <w:t xml:space="preserve">גלית </w:t>
      </w:r>
      <w:proofErr w:type="spellStart"/>
      <w:r>
        <w:rPr>
          <w:rFonts w:hint="cs"/>
          <w:b/>
          <w:bCs/>
          <w:rtl/>
        </w:rPr>
        <w:t>דיסטל</w:t>
      </w:r>
      <w:proofErr w:type="spellEnd"/>
      <w:r>
        <w:rPr>
          <w:rFonts w:hint="cs"/>
          <w:b/>
          <w:bCs/>
          <w:rtl/>
        </w:rPr>
        <w:t xml:space="preserve"> </w:t>
      </w:r>
      <w:proofErr w:type="spellStart"/>
      <w:r>
        <w:rPr>
          <w:rFonts w:hint="cs"/>
          <w:b/>
          <w:bCs/>
          <w:rtl/>
        </w:rPr>
        <w:t>אטבריאן</w:t>
      </w:r>
      <w:bookmarkEnd w:id="3"/>
      <w:proofErr w:type="spellEnd"/>
    </w:p>
    <w:p w:rsidRPr="00CF1AA2" w:rsidR="00E13C27" w:rsidP="0036422C" w:rsidRDefault="007D585A" w14:paraId="7F6961AA" w14:textId="39F9D96B">
      <w:pPr>
        <w:pStyle w:val="David"/>
        <w:spacing w:before="0" w:line="360" w:lineRule="auto"/>
        <w:ind w:left="3544"/>
        <w:rPr>
          <w:b/>
          <w:bCs/>
          <w:sz w:val="16"/>
          <w:szCs w:val="16"/>
          <w:rtl/>
        </w:rPr>
      </w:pPr>
      <w:bookmarkStart w:name="LGS_Join_List" w:id="4"/>
      <w:r>
        <w:rPr>
          <w:rtl/>
        </w:rPr>
        <w:t xml:space="preserve"> </w:t>
      </w:r>
      <w:bookmarkEnd w:id="4"/>
      <w:r w:rsidRPr="00CF1AA2" w:rsidR="002200A1">
        <w:rPr>
          <w:rFonts w:hint="cs"/>
          <w:rtl/>
        </w:rPr>
        <w:tab/>
      </w:r>
      <w:bookmarkStart w:name="LGS_PM_NamesJoin" w:id="5"/>
      <w:r>
        <w:rPr>
          <w:rFonts w:hint="cs"/>
          <w:rtl/>
        </w:rPr>
        <w:t xml:space="preserve"> </w:t>
      </w:r>
      <w:bookmarkEnd w:id="5"/>
    </w:p>
    <w:p w:rsidRPr="00904591" w:rsidR="00904591" w:rsidP="0036422C" w:rsidRDefault="00266D86" w14:paraId="34DB4103" w14:textId="77777777">
      <w:pPr>
        <w:pStyle w:val="David"/>
        <w:spacing w:before="0" w:line="360" w:lineRule="auto"/>
        <w:ind w:left="3544"/>
        <w:rPr>
          <w:sz w:val="4"/>
          <w:szCs w:val="4"/>
          <w:rtl/>
        </w:rPr>
      </w:pPr>
      <w:r>
        <w:t>____</w:t>
      </w:r>
      <w:r w:rsidR="00E374F2">
        <w:t>__</w:t>
      </w:r>
      <w:r>
        <w:t>________________________________________</w:t>
      </w:r>
      <w:r w:rsidRPr="00E06736" w:rsidR="00E06736">
        <w:tab/>
      </w:r>
      <w:r w:rsidRPr="00E06736" w:rsidR="00E13C27">
        <w:rPr>
          <w:rFonts w:hint="cs"/>
          <w:rtl/>
        </w:rPr>
        <w:tab/>
      </w:r>
      <w:r w:rsidRPr="00E06736" w:rsidR="00E13C27">
        <w:rPr>
          <w:rFonts w:hint="cs"/>
          <w:rtl/>
        </w:rPr>
        <w:tab/>
      </w:r>
      <w:r w:rsidRPr="00E06736" w:rsidR="00E13C27">
        <w:rPr>
          <w:rFonts w:hint="cs"/>
          <w:rtl/>
        </w:rPr>
        <w:tab/>
      </w:r>
      <w:r w:rsidR="00904591">
        <w:t xml:space="preserve">           </w:t>
      </w:r>
    </w:p>
    <w:p w:rsidRPr="00E06736" w:rsidR="00E13C27" w:rsidP="00904591" w:rsidRDefault="00904591" w14:paraId="7F6961AB" w14:textId="256138AA">
      <w:pPr>
        <w:pStyle w:val="David"/>
        <w:spacing w:before="0" w:line="240" w:lineRule="auto"/>
        <w:ind w:left="3544"/>
        <w:rPr>
          <w:rtl/>
        </w:rPr>
      </w:pPr>
      <w:r>
        <w:t xml:space="preserve">                                            </w:t>
      </w:r>
      <w:r w:rsidR="008F1308">
        <w:t xml:space="preserve"> </w:t>
      </w:r>
      <w:bookmarkStart w:name="Private_Number" w:id="6"/>
      <w:r>
        <w:rPr>
          <w:rFonts w:hint="cs"/>
          <w:rtl/>
        </w:rPr>
        <w:t>פ/4410/25</w:t>
      </w:r>
      <w:bookmarkEnd w:id="6"/>
    </w:p>
    <w:p w:rsidR="00E13C27" w:rsidP="00E13C27" w:rsidRDefault="00E13C27" w14:paraId="7F6961AC" w14:textId="77777777">
      <w:pPr>
        <w:spacing w:before="0" w:line="360" w:lineRule="auto"/>
        <w:ind w:left="2880" w:firstLine="720"/>
        <w:rPr>
          <w:rFonts w:cs="David"/>
          <w:sz w:val="26"/>
          <w:szCs w:val="26"/>
          <w:rtl/>
        </w:rPr>
      </w:pPr>
    </w:p>
    <w:p w:rsidRPr="00F67051" w:rsidR="00E13C27" w:rsidP="00E835A3" w:rsidRDefault="00E17C11" w14:paraId="7F6961AD" w14:textId="1F3EAA4D">
      <w:pPr>
        <w:pStyle w:val="HeadHatzaotHok"/>
        <w:rPr>
          <w:rtl/>
        </w:rPr>
      </w:pPr>
      <w:bookmarkStart w:name="LGS_Subject" w:id="7"/>
      <w:r xmlns:w="http://schemas.openxmlformats.org/wordprocessingml/2006/main">
        <w:rPr xmlns:w="http://schemas.openxmlformats.org/wordprocessingml/2006/main">
          <w:rFonts w:hint="cs"/>
          <w:rtl/>
        </w:rPr>
        <w:t xml:space="preserve"> הצעת חוק גיל פרישה (הורה שילדו נפטר) (הוראת שעה) (תיקון – הפיכת הוראת שעה להוראה קבועה), התשפ"ד-2024</w:t>
      </w:r>
      <w:proofErr w:type="spellStart"/>
      <w:proofErr w:type="spellEnd"/>
      <w:bookmarkEnd w:id="7"/>
      <w:r w:rsidR="00BC1AA7">
        <w:rPr>
          <w:rFonts w:hint="cs"/>
          <w:rtl/>
        </w:rPr>
        <w:t>4</w:t>
      </w: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3"/>
      </w:tblGrid>
      <w:tr w:rsidR="009A690B" w:rsidTr="00466075" w14:paraId="585DF9EE" w14:textId="77777777">
        <w:trPr>
          <w:cantSplit/>
        </w:trPr>
        <w:tc>
          <w:tcPr>
            <w:tcW w:w="1871" w:type="dxa"/>
          </w:tcPr>
          <w:p w:rsidR="009A690B" w:rsidP="00466075" w:rsidRDefault="009A690B" w14:paraId="6837838D" w14:textId="77777777">
            <w:pPr>
              <w:pStyle w:val="TableSideHeading"/>
              <w:keepLines w:val="0"/>
              <w:rPr>
                <w:rtl/>
              </w:rPr>
            </w:pPr>
            <w:r>
              <w:rPr>
                <w:rFonts w:hint="cs"/>
                <w:rtl/>
              </w:rPr>
              <w:t>שם החוק</w:t>
            </w:r>
          </w:p>
        </w:tc>
        <w:tc>
          <w:tcPr>
            <w:tcW w:w="624" w:type="dxa"/>
          </w:tcPr>
          <w:p w:rsidRPr="00FA455C" w:rsidR="009A690B" w:rsidP="00FA455C" w:rsidRDefault="009A690B" w14:paraId="34BEA22C" w14:textId="77777777">
            <w:pPr>
              <w:pStyle w:val="TableText"/>
              <w:ind w:right="0"/>
              <w:jc w:val="both"/>
              <w:rPr>
                <w:rtl/>
              </w:rPr>
            </w:pPr>
            <w:r w:rsidRPr="00FA455C">
              <w:rPr>
                <w:rFonts w:hint="cs"/>
                <w:rtl/>
              </w:rPr>
              <w:t>1.</w:t>
            </w:r>
          </w:p>
        </w:tc>
        <w:tc>
          <w:tcPr>
            <w:tcW w:w="7143" w:type="dxa"/>
          </w:tcPr>
          <w:p w:rsidR="009A690B" w:rsidP="00466075" w:rsidRDefault="009A690B" w14:paraId="106045AF" w14:textId="77777777">
            <w:pPr>
              <w:pStyle w:val="TableBlock"/>
              <w:rPr>
                <w:rtl/>
              </w:rPr>
            </w:pPr>
            <w:r>
              <w:rPr>
                <w:rFonts w:hint="cs"/>
                <w:rtl/>
              </w:rPr>
              <w:t xml:space="preserve">בחוק גיל פרישה (הורה שילדו נפטר) (הוראת שעה), </w:t>
            </w:r>
            <w:proofErr w:type="spellStart"/>
            <w:r>
              <w:rPr>
                <w:rFonts w:hint="cs"/>
                <w:rtl/>
              </w:rPr>
              <w:t>התשע"ח</w:t>
            </w:r>
            <w:proofErr w:type="spellEnd"/>
            <w:r>
              <w:rPr>
                <w:rFonts w:hint="eastAsia"/>
                <w:rtl/>
              </w:rPr>
              <w:t>–</w:t>
            </w:r>
            <w:r>
              <w:rPr>
                <w:rFonts w:hint="cs"/>
                <w:rtl/>
              </w:rPr>
              <w:t>2017</w:t>
            </w:r>
            <w:r w:rsidRPr="00646CB6">
              <w:rPr>
                <w:rStyle w:val="a6"/>
                <w:rFonts w:ascii="David" w:hAnsi="David"/>
                <w:sz w:val="26"/>
                <w:rtl/>
              </w:rPr>
              <w:footnoteReference w:id="2"/>
            </w:r>
            <w:r>
              <w:rPr>
                <w:rFonts w:hint="cs"/>
                <w:rtl/>
              </w:rPr>
              <w:t xml:space="preserve"> (להלן </w:t>
            </w:r>
            <w:r>
              <w:rPr>
                <w:rtl/>
              </w:rPr>
              <w:t>–</w:t>
            </w:r>
            <w:r>
              <w:rPr>
                <w:rFonts w:hint="cs"/>
                <w:rtl/>
              </w:rPr>
              <w:t xml:space="preserve"> החוק העיקרי), בשם החוק, המילים "(הוראת שעה)" </w:t>
            </w:r>
            <w:r>
              <w:rPr>
                <w:rFonts w:hint="eastAsia"/>
                <w:rtl/>
              </w:rPr>
              <w:t>–</w:t>
            </w:r>
            <w:r>
              <w:rPr>
                <w:rFonts w:hint="cs"/>
                <w:rtl/>
              </w:rPr>
              <w:t xml:space="preserve"> יימחקו.</w:t>
            </w:r>
          </w:p>
        </w:tc>
      </w:tr>
      <w:tr w:rsidR="009A690B" w:rsidTr="00466075" w14:paraId="29D9AD05" w14:textId="77777777">
        <w:trPr>
          <w:cantSplit/>
        </w:trPr>
        <w:tc>
          <w:tcPr>
            <w:tcW w:w="1871" w:type="dxa"/>
          </w:tcPr>
          <w:p w:rsidR="009A690B" w:rsidP="00466075" w:rsidRDefault="009A690B" w14:paraId="2849F182" w14:textId="77777777">
            <w:pPr>
              <w:pStyle w:val="TableSideHeading"/>
              <w:keepLines w:val="0"/>
              <w:rPr>
                <w:rtl/>
              </w:rPr>
            </w:pPr>
            <w:r>
              <w:rPr>
                <w:rFonts w:hint="cs"/>
                <w:rtl/>
              </w:rPr>
              <w:t>תיקון סעיף 7</w:t>
            </w:r>
          </w:p>
        </w:tc>
        <w:tc>
          <w:tcPr>
            <w:tcW w:w="624" w:type="dxa"/>
          </w:tcPr>
          <w:p w:rsidRPr="00FA455C" w:rsidR="009A690B" w:rsidP="00FA455C" w:rsidRDefault="009A690B" w14:paraId="37C2DE18" w14:textId="77777777">
            <w:pPr>
              <w:pStyle w:val="TableText"/>
              <w:rPr>
                <w:rtl/>
              </w:rPr>
            </w:pPr>
            <w:r w:rsidRPr="00FA455C">
              <w:rPr>
                <w:rFonts w:hint="cs"/>
                <w:rtl/>
              </w:rPr>
              <w:t>2.</w:t>
            </w:r>
          </w:p>
        </w:tc>
        <w:tc>
          <w:tcPr>
            <w:tcW w:w="7143" w:type="dxa"/>
          </w:tcPr>
          <w:p w:rsidR="009A690B" w:rsidP="00E17C11" w:rsidRDefault="009A690B" w14:paraId="49CF1EB4" w14:textId="0DA88602">
            <w:pPr>
              <w:pStyle w:val="TableBlock"/>
              <w:rPr>
                <w:rtl/>
              </w:rPr>
            </w:pPr>
            <w:r>
              <w:rPr>
                <w:rFonts w:hint="cs"/>
                <w:rtl/>
              </w:rPr>
              <w:t>בסעיף 7</w:t>
            </w:r>
            <w:r w:rsidR="00E17C11">
              <w:rPr>
                <w:rFonts w:hint="cs"/>
                <w:rtl/>
              </w:rPr>
              <w:t>(א)</w:t>
            </w:r>
            <w:r>
              <w:rPr>
                <w:rFonts w:hint="cs"/>
                <w:rtl/>
              </w:rPr>
              <w:t xml:space="preserve"> לחוק העיקרי</w:t>
            </w:r>
            <w:r w:rsidR="00E17C11">
              <w:rPr>
                <w:rFonts w:hint="cs"/>
                <w:rtl/>
              </w:rPr>
              <w:t>,</w:t>
            </w:r>
            <w:r>
              <w:rPr>
                <w:rFonts w:hint="cs"/>
                <w:rtl/>
              </w:rPr>
              <w:t xml:space="preserve"> </w:t>
            </w:r>
            <w:r w:rsidR="00E17C11">
              <w:rPr>
                <w:rFonts w:hint="cs"/>
                <w:rtl/>
              </w:rPr>
              <w:t>המילים "</w:t>
            </w:r>
            <w:r w:rsidRPr="008108E9" w:rsidR="00E17C11">
              <w:rPr>
                <w:rtl/>
              </w:rPr>
              <w:t xml:space="preserve">והוא יעמוד בתוקפו </w:t>
            </w:r>
            <w:r w:rsidR="00E17C11">
              <w:rPr>
                <w:rFonts w:hint="cs"/>
                <w:rtl/>
              </w:rPr>
              <w:t>שמונה</w:t>
            </w:r>
            <w:r w:rsidRPr="008108E9" w:rsidR="00E17C11">
              <w:rPr>
                <w:rtl/>
              </w:rPr>
              <w:t xml:space="preserve"> שנים מיום תחילתו</w:t>
            </w:r>
            <w:r w:rsidR="00E17C11">
              <w:rPr>
                <w:rFonts w:hint="cs"/>
                <w:rtl/>
              </w:rPr>
              <w:t xml:space="preserve">" </w:t>
            </w:r>
            <w:r w:rsidR="00E17C11">
              <w:rPr>
                <w:rFonts w:hint="eastAsia"/>
                <w:rtl/>
              </w:rPr>
              <w:t>–</w:t>
            </w:r>
            <w:r w:rsidR="00FA455C">
              <w:rPr>
                <w:rFonts w:hint="cs"/>
                <w:rtl/>
              </w:rPr>
              <w:t xml:space="preserve"> יימחקו.</w:t>
            </w:r>
            <w:bookmarkStart w:name="_GoBack" w:id="8"/>
            <w:bookmarkEnd w:id="8"/>
          </w:p>
        </w:tc>
      </w:tr>
    </w:tbl>
    <w:p w:rsidR="002D1EE3" w:rsidP="002D1EE3" w:rsidRDefault="002D1EE3" w14:paraId="7F6961CA" w14:textId="77777777">
      <w:pPr>
        <w:pStyle w:val="HeadDivreiHesber"/>
        <w:rPr>
          <w:rtl/>
        </w:rPr>
      </w:pPr>
      <w:r w:rsidRPr="0027450A">
        <w:rPr>
          <w:rFonts w:hint="cs"/>
          <w:rtl/>
        </w:rPr>
        <w:t>דברי הסבר</w:t>
      </w:r>
    </w:p>
    <w:p w:rsidRPr="00BC1AA7" w:rsidR="009A690B" w:rsidP="00A44CA7" w:rsidRDefault="009A690B" w14:paraId="2CCBB955" w14:textId="7A80179F">
      <w:pPr>
        <w:pStyle w:val="Hesber"/>
        <w:spacing w:line="276" w:lineRule="auto"/>
        <w:rPr>
          <w:rtl/>
        </w:rPr>
      </w:pPr>
      <w:r w:rsidRPr="00BC1AA7">
        <w:rPr>
          <w:rFonts w:hint="cs"/>
          <w:rtl/>
        </w:rPr>
        <w:t xml:space="preserve">בהתאם לחוק גיל פרישה, </w:t>
      </w:r>
      <w:proofErr w:type="spellStart"/>
      <w:r w:rsidRPr="00BC1AA7">
        <w:rPr>
          <w:rFonts w:hint="cs"/>
          <w:rtl/>
        </w:rPr>
        <w:t>התשס"ד</w:t>
      </w:r>
      <w:proofErr w:type="spellEnd"/>
      <w:r w:rsidRPr="00BC1AA7">
        <w:rPr>
          <w:rFonts w:hint="eastAsia"/>
          <w:rtl/>
        </w:rPr>
        <w:t>–</w:t>
      </w:r>
      <w:r w:rsidRPr="00BC1AA7">
        <w:rPr>
          <w:rFonts w:hint="cs"/>
          <w:rtl/>
        </w:rPr>
        <w:t xml:space="preserve">2004 (להלן </w:t>
      </w:r>
      <w:r w:rsidRPr="00BC1AA7">
        <w:rPr>
          <w:rtl/>
        </w:rPr>
        <w:t>–</w:t>
      </w:r>
      <w:r w:rsidRPr="00BC1AA7">
        <w:rPr>
          <w:rFonts w:hint="cs"/>
          <w:rtl/>
        </w:rPr>
        <w:t xml:space="preserve"> החוק), החל מגיל 67 רשאי מעסיק לחייב עובד לפרוש מעבודתו בשל גילו. חוק גיל פרישה (הורה שילדו נפטר)(הוראת שעה), </w:t>
      </w:r>
      <w:proofErr w:type="spellStart"/>
      <w:r w:rsidRPr="00BC1AA7">
        <w:rPr>
          <w:rFonts w:hint="cs"/>
          <w:rtl/>
        </w:rPr>
        <w:t>התשע"ח</w:t>
      </w:r>
      <w:proofErr w:type="spellEnd"/>
      <w:r w:rsidRPr="00BC1AA7">
        <w:rPr>
          <w:rFonts w:hint="eastAsia"/>
          <w:rtl/>
        </w:rPr>
        <w:t>–</w:t>
      </w:r>
      <w:r w:rsidRPr="00BC1AA7">
        <w:rPr>
          <w:rFonts w:hint="cs"/>
          <w:rtl/>
        </w:rPr>
        <w:t xml:space="preserve">2017, קובע כי מעסיק של </w:t>
      </w:r>
      <w:r w:rsidR="00A44CA7">
        <w:rPr>
          <w:rFonts w:hint="cs"/>
          <w:rtl/>
        </w:rPr>
        <w:t xml:space="preserve">יותר </w:t>
      </w:r>
      <w:r w:rsidRPr="00BC1AA7">
        <w:rPr>
          <w:rFonts w:hint="cs"/>
          <w:rtl/>
        </w:rPr>
        <w:t xml:space="preserve">מ-25 עובדים, לא יחייב עובד </w:t>
      </w:r>
      <w:r w:rsidRPr="00A44CA7">
        <w:rPr>
          <w:rFonts w:hint="cs"/>
          <w:rtl/>
        </w:rPr>
        <w:t>שילדו</w:t>
      </w:r>
      <w:r w:rsidRPr="00BC1AA7">
        <w:rPr>
          <w:rFonts w:hint="cs"/>
          <w:rtl/>
        </w:rPr>
        <w:t xml:space="preserve"> נפטר ומועסק במשך שבע שנים לפחות בתכוף לפני הגיעו לגיל פרישת חובה לפרוש מעבודתו בשל גילו, למשך ארבע שנים </w:t>
      </w:r>
      <w:proofErr w:type="spellStart"/>
      <w:r w:rsidRPr="00BC1AA7">
        <w:rPr>
          <w:rFonts w:hint="cs"/>
          <w:rtl/>
        </w:rPr>
        <w:t>מהגיעו</w:t>
      </w:r>
      <w:proofErr w:type="spellEnd"/>
      <w:r w:rsidRPr="00BC1AA7">
        <w:rPr>
          <w:rFonts w:hint="cs"/>
          <w:rtl/>
        </w:rPr>
        <w:t xml:space="preserve"> לגיל הפרישה. החוק קובע מספר מקצועות שעליהם לא תחול הוראה זו.</w:t>
      </w:r>
    </w:p>
    <w:p w:rsidR="00E13C27" w:rsidP="00A44CA7" w:rsidRDefault="009A690B" w14:paraId="7F6961CB" w14:textId="46C8D4ED">
      <w:pPr>
        <w:pStyle w:val="Hesber"/>
        <w:spacing w:line="276" w:lineRule="auto"/>
        <w:rPr>
          <w:rtl/>
        </w:rPr>
      </w:pPr>
      <w:r w:rsidRPr="00BC1AA7">
        <w:rPr>
          <w:rFonts w:hint="cs"/>
          <w:rtl/>
        </w:rPr>
        <w:t>החוק נקבע כהוראת שעה ש</w:t>
      </w:r>
      <w:r w:rsidRPr="00BC1AA7">
        <w:rPr>
          <w:rFonts w:hint="eastAsia"/>
          <w:rtl/>
        </w:rPr>
        <w:t>הוארכה</w:t>
      </w:r>
      <w:r w:rsidR="002D6FBA">
        <w:rPr>
          <w:rFonts w:hint="cs"/>
          <w:rtl/>
        </w:rPr>
        <w:t xml:space="preserve"> </w:t>
      </w:r>
      <w:r w:rsidR="00E17C11">
        <w:rPr>
          <w:rFonts w:hint="cs"/>
          <w:rtl/>
        </w:rPr>
        <w:t>כמה פעמים</w:t>
      </w:r>
      <w:r w:rsidRPr="00BC1AA7">
        <w:rPr>
          <w:rtl/>
        </w:rPr>
        <w:t xml:space="preserve"> </w:t>
      </w:r>
      <w:r w:rsidRPr="00BC1AA7">
        <w:rPr>
          <w:rFonts w:hint="cs"/>
          <w:rtl/>
        </w:rPr>
        <w:t xml:space="preserve">כך שיחול </w:t>
      </w:r>
      <w:r w:rsidRPr="00BC1AA7">
        <w:rPr>
          <w:rFonts w:hint="eastAsia"/>
          <w:rtl/>
        </w:rPr>
        <w:t>למשך</w:t>
      </w:r>
      <w:r w:rsidRPr="00BC1AA7">
        <w:rPr>
          <w:rtl/>
        </w:rPr>
        <w:t xml:space="preserve"> </w:t>
      </w:r>
      <w:r w:rsidR="002D6FBA">
        <w:rPr>
          <w:rFonts w:hint="cs"/>
          <w:rtl/>
        </w:rPr>
        <w:t>שמונה</w:t>
      </w:r>
      <w:r w:rsidRPr="00BC1AA7" w:rsidR="002D6FBA">
        <w:rPr>
          <w:rtl/>
        </w:rPr>
        <w:t xml:space="preserve"> </w:t>
      </w:r>
      <w:r w:rsidRPr="00BC1AA7">
        <w:rPr>
          <w:rFonts w:hint="eastAsia"/>
          <w:rtl/>
        </w:rPr>
        <w:t>שנים</w:t>
      </w:r>
      <w:r w:rsidRPr="00BC1AA7">
        <w:rPr>
          <w:rtl/>
        </w:rPr>
        <w:t xml:space="preserve"> </w:t>
      </w:r>
      <w:r w:rsidRPr="00BC1AA7">
        <w:rPr>
          <w:rFonts w:hint="eastAsia"/>
          <w:rtl/>
        </w:rPr>
        <w:t>בסך</w:t>
      </w:r>
      <w:r w:rsidRPr="00BC1AA7">
        <w:rPr>
          <w:rtl/>
        </w:rPr>
        <w:t xml:space="preserve"> </w:t>
      </w:r>
      <w:proofErr w:type="spellStart"/>
      <w:r w:rsidRPr="00BC1AA7">
        <w:rPr>
          <w:rFonts w:hint="eastAsia"/>
          <w:rtl/>
        </w:rPr>
        <w:t>הכל</w:t>
      </w:r>
      <w:proofErr w:type="spellEnd"/>
      <w:r w:rsidRPr="00BC1AA7">
        <w:rPr>
          <w:rtl/>
        </w:rPr>
        <w:t xml:space="preserve"> </w:t>
      </w:r>
      <w:r w:rsidRPr="00BC1AA7">
        <w:rPr>
          <w:rFonts w:hint="eastAsia"/>
          <w:rtl/>
        </w:rPr>
        <w:t>מכניסת</w:t>
      </w:r>
      <w:r w:rsidRPr="00BC1AA7">
        <w:rPr>
          <w:rFonts w:hint="cs"/>
          <w:rtl/>
        </w:rPr>
        <w:t xml:space="preserve">ו </w:t>
      </w:r>
      <w:r w:rsidRPr="00BC1AA7">
        <w:rPr>
          <w:rtl/>
        </w:rPr>
        <w:t>לתוקף</w:t>
      </w:r>
      <w:r w:rsidRPr="00BC1AA7">
        <w:rPr>
          <w:rFonts w:hint="cs"/>
          <w:rtl/>
        </w:rPr>
        <w:t xml:space="preserve">. </w:t>
      </w:r>
      <w:r w:rsidRPr="00BC1AA7">
        <w:rPr>
          <w:rtl/>
        </w:rPr>
        <w:t xml:space="preserve">הצעת חוק זו מציעה להפוך את הוראת השעה להוראה קבועה. במסגרת הוראות סעיף 7(ב) </w:t>
      </w:r>
      <w:r w:rsidRPr="00BC1AA7">
        <w:rPr>
          <w:rFonts w:hint="cs"/>
          <w:rtl/>
        </w:rPr>
        <w:t>ל</w:t>
      </w:r>
      <w:r w:rsidRPr="00BC1AA7">
        <w:rPr>
          <w:rtl/>
        </w:rPr>
        <w:t>חוק</w:t>
      </w:r>
      <w:r w:rsidR="003964FB">
        <w:rPr>
          <w:rFonts w:hint="cs"/>
          <w:rtl/>
        </w:rPr>
        <w:t xml:space="preserve"> שבוטל ב</w:t>
      </w:r>
      <w:r w:rsidR="00E17C11">
        <w:rPr>
          <w:rFonts w:hint="cs"/>
          <w:rtl/>
        </w:rPr>
        <w:t xml:space="preserve">מסגרת </w:t>
      </w:r>
      <w:r w:rsidR="003964FB">
        <w:rPr>
          <w:rFonts w:hint="cs"/>
          <w:rtl/>
        </w:rPr>
        <w:t xml:space="preserve">תיקון מס' 2 </w:t>
      </w:r>
      <w:r w:rsidR="00E17C11">
        <w:rPr>
          <w:rFonts w:hint="cs"/>
          <w:rtl/>
        </w:rPr>
        <w:t>לחוק</w:t>
      </w:r>
      <w:r w:rsidRPr="00BC1AA7">
        <w:rPr>
          <w:rtl/>
        </w:rPr>
        <w:t xml:space="preserve">, </w:t>
      </w:r>
      <w:r w:rsidRPr="00BC1AA7">
        <w:rPr>
          <w:rFonts w:hint="cs"/>
          <w:rtl/>
        </w:rPr>
        <w:t xml:space="preserve">המשרד לשוויון חברתי ערך מחקר לבחינת יישומו והשפעתו של החוק על סוגיות הנובעות מהעסקת הורים שילדם נפטר. המחקר הורכב מסקר בקרב ההורים ומראיונות עם מעסיקים, שהשיבו לו 133 הורים ושבעה מעסיקים. ממצאי הסקר </w:t>
      </w:r>
      <w:r w:rsidRPr="00BC1AA7">
        <w:rPr>
          <w:rFonts w:hint="eastAsia"/>
          <w:rtl/>
        </w:rPr>
        <w:t>הראו</w:t>
      </w:r>
      <w:r w:rsidRPr="00BC1AA7">
        <w:rPr>
          <w:rtl/>
        </w:rPr>
        <w:t xml:space="preserve"> כי כ-70% מההורים נשארו או מעוניינים להישאר במקום עבודתם לאחר גיל פרישת חובה. הסיבות שהוזכרו לכך הן מגוונות, וביניהן תחושת משמעות (75%), סיבה לצאת מהבית (66%), העבודה סייעה לחשוב פחות על האובדן (56%), וכן רצון להמשיך לעבוד מסיבות כלכליות (54%). לפי הערכות המשרד </w:t>
      </w:r>
      <w:r w:rsidRPr="00BC1AA7">
        <w:rPr>
          <w:rFonts w:hint="eastAsia"/>
          <w:rtl/>
        </w:rPr>
        <w:t>לשוויון</w:t>
      </w:r>
      <w:r w:rsidRPr="00BC1AA7">
        <w:rPr>
          <w:rtl/>
        </w:rPr>
        <w:t xml:space="preserve"> </w:t>
      </w:r>
      <w:r w:rsidRPr="00BC1AA7">
        <w:rPr>
          <w:rFonts w:hint="eastAsia"/>
          <w:rtl/>
        </w:rPr>
        <w:t>חברתי</w:t>
      </w:r>
      <w:r w:rsidRPr="00BC1AA7">
        <w:rPr>
          <w:rtl/>
        </w:rPr>
        <w:t xml:space="preserve">, </w:t>
      </w:r>
      <w:r w:rsidRPr="00BC1AA7">
        <w:rPr>
          <w:rFonts w:hint="eastAsia"/>
          <w:rtl/>
        </w:rPr>
        <w:t>בשנים</w:t>
      </w:r>
      <w:r w:rsidRPr="00BC1AA7">
        <w:rPr>
          <w:rtl/>
        </w:rPr>
        <w:t xml:space="preserve"> 2020 </w:t>
      </w:r>
      <w:r w:rsidRPr="00BC1AA7">
        <w:rPr>
          <w:rFonts w:hint="eastAsia"/>
          <w:rtl/>
        </w:rPr>
        <w:t>ו</w:t>
      </w:r>
      <w:r w:rsidRPr="00BC1AA7">
        <w:rPr>
          <w:rtl/>
        </w:rPr>
        <w:t xml:space="preserve">-2021, </w:t>
      </w:r>
      <w:r w:rsidRPr="00BC1AA7">
        <w:rPr>
          <w:rFonts w:hint="eastAsia"/>
          <w:rtl/>
        </w:rPr>
        <w:t>הקבוצה</w:t>
      </w:r>
      <w:r w:rsidRPr="00BC1AA7">
        <w:rPr>
          <w:rtl/>
        </w:rPr>
        <w:t xml:space="preserve"> </w:t>
      </w:r>
      <w:r w:rsidRPr="00BC1AA7">
        <w:rPr>
          <w:rFonts w:hint="eastAsia"/>
          <w:rtl/>
        </w:rPr>
        <w:t>עליה</w:t>
      </w:r>
      <w:r w:rsidRPr="00BC1AA7">
        <w:rPr>
          <w:rtl/>
        </w:rPr>
        <w:t xml:space="preserve"> </w:t>
      </w:r>
      <w:r w:rsidRPr="00BC1AA7">
        <w:rPr>
          <w:rFonts w:hint="eastAsia"/>
          <w:rtl/>
        </w:rPr>
        <w:t>חל</w:t>
      </w:r>
      <w:r w:rsidRPr="00BC1AA7">
        <w:rPr>
          <w:rtl/>
        </w:rPr>
        <w:t xml:space="preserve"> </w:t>
      </w:r>
      <w:r w:rsidRPr="00BC1AA7">
        <w:rPr>
          <w:rFonts w:hint="eastAsia"/>
          <w:rtl/>
        </w:rPr>
        <w:t>החוק</w:t>
      </w:r>
      <w:r w:rsidRPr="00BC1AA7">
        <w:rPr>
          <w:rtl/>
        </w:rPr>
        <w:t xml:space="preserve"> </w:t>
      </w:r>
      <w:r w:rsidRPr="00BC1AA7">
        <w:rPr>
          <w:rFonts w:hint="eastAsia"/>
          <w:rtl/>
        </w:rPr>
        <w:t>עמד</w:t>
      </w:r>
      <w:r w:rsidRPr="00BC1AA7">
        <w:rPr>
          <w:rtl/>
        </w:rPr>
        <w:t xml:space="preserve"> </w:t>
      </w:r>
      <w:r w:rsidRPr="00BC1AA7">
        <w:rPr>
          <w:rFonts w:hint="eastAsia"/>
          <w:rtl/>
        </w:rPr>
        <w:t>על</w:t>
      </w:r>
      <w:r w:rsidRPr="00BC1AA7">
        <w:rPr>
          <w:rtl/>
        </w:rPr>
        <w:t xml:space="preserve"> </w:t>
      </w:r>
      <w:r w:rsidRPr="00BC1AA7">
        <w:rPr>
          <w:rFonts w:hint="eastAsia"/>
          <w:rtl/>
        </w:rPr>
        <w:t>כ</w:t>
      </w:r>
      <w:r w:rsidRPr="00BC1AA7">
        <w:rPr>
          <w:rtl/>
        </w:rPr>
        <w:t xml:space="preserve">-5,300 </w:t>
      </w:r>
      <w:r w:rsidRPr="00BC1AA7">
        <w:rPr>
          <w:rFonts w:hint="eastAsia"/>
          <w:rtl/>
        </w:rPr>
        <w:t>אזרחים</w:t>
      </w:r>
      <w:r w:rsidRPr="00BC1AA7">
        <w:rPr>
          <w:rtl/>
        </w:rPr>
        <w:t xml:space="preserve"> </w:t>
      </w:r>
      <w:r w:rsidRPr="00BC1AA7">
        <w:rPr>
          <w:rFonts w:hint="eastAsia"/>
          <w:rtl/>
        </w:rPr>
        <w:t>ותיקים</w:t>
      </w:r>
      <w:r w:rsidRPr="00BC1AA7">
        <w:rPr>
          <w:rtl/>
        </w:rPr>
        <w:t xml:space="preserve">. </w:t>
      </w:r>
      <w:r w:rsidRPr="00BC1AA7">
        <w:rPr>
          <w:rFonts w:hint="eastAsia"/>
          <w:rtl/>
        </w:rPr>
        <w:t>משהושלמה</w:t>
      </w:r>
      <w:r w:rsidRPr="00BC1AA7">
        <w:rPr>
          <w:rtl/>
        </w:rPr>
        <w:t xml:space="preserve"> </w:t>
      </w:r>
      <w:r w:rsidRPr="00BC1AA7">
        <w:rPr>
          <w:rFonts w:hint="eastAsia"/>
          <w:rtl/>
        </w:rPr>
        <w:t>תקופת</w:t>
      </w:r>
      <w:r w:rsidRPr="00BC1AA7">
        <w:rPr>
          <w:rtl/>
        </w:rPr>
        <w:t xml:space="preserve"> </w:t>
      </w:r>
      <w:r w:rsidRPr="00BC1AA7">
        <w:rPr>
          <w:rFonts w:hint="eastAsia"/>
          <w:rtl/>
        </w:rPr>
        <w:t>בחינת</w:t>
      </w:r>
      <w:r w:rsidRPr="00BC1AA7">
        <w:rPr>
          <w:rtl/>
        </w:rPr>
        <w:t xml:space="preserve"> </w:t>
      </w:r>
      <w:r w:rsidRPr="00BC1AA7">
        <w:rPr>
          <w:rFonts w:hint="eastAsia"/>
          <w:rtl/>
        </w:rPr>
        <w:t>היישום</w:t>
      </w:r>
      <w:r w:rsidRPr="00BC1AA7">
        <w:rPr>
          <w:rtl/>
        </w:rPr>
        <w:t xml:space="preserve"> </w:t>
      </w:r>
      <w:r w:rsidRPr="00BC1AA7">
        <w:rPr>
          <w:rFonts w:hint="eastAsia"/>
          <w:rtl/>
        </w:rPr>
        <w:t>של</w:t>
      </w:r>
      <w:r w:rsidRPr="00BC1AA7">
        <w:rPr>
          <w:rtl/>
        </w:rPr>
        <w:t xml:space="preserve"> </w:t>
      </w:r>
      <w:r w:rsidRPr="00BC1AA7">
        <w:rPr>
          <w:rFonts w:hint="eastAsia"/>
          <w:rtl/>
        </w:rPr>
        <w:t>החוק</w:t>
      </w:r>
      <w:r w:rsidRPr="00BC1AA7">
        <w:rPr>
          <w:rFonts w:hint="cs"/>
          <w:rtl/>
        </w:rPr>
        <w:t>,</w:t>
      </w:r>
      <w:r w:rsidRPr="00BC1AA7">
        <w:rPr>
          <w:rtl/>
        </w:rPr>
        <w:t xml:space="preserve"> </w:t>
      </w:r>
      <w:r w:rsidRPr="00BC1AA7">
        <w:rPr>
          <w:rFonts w:hint="cs"/>
          <w:rtl/>
        </w:rPr>
        <w:t xml:space="preserve">בחינה </w:t>
      </w:r>
      <w:r w:rsidRPr="00BC1AA7">
        <w:rPr>
          <w:rFonts w:hint="eastAsia"/>
          <w:rtl/>
        </w:rPr>
        <w:t>שהצביעה</w:t>
      </w:r>
      <w:r w:rsidRPr="00BC1AA7">
        <w:rPr>
          <w:rtl/>
        </w:rPr>
        <w:t xml:space="preserve"> </w:t>
      </w:r>
      <w:r w:rsidRPr="00BC1AA7">
        <w:rPr>
          <w:rFonts w:hint="eastAsia"/>
          <w:rtl/>
        </w:rPr>
        <w:t>על</w:t>
      </w:r>
      <w:r w:rsidRPr="00BC1AA7">
        <w:rPr>
          <w:rtl/>
        </w:rPr>
        <w:t xml:space="preserve"> </w:t>
      </w:r>
      <w:r w:rsidRPr="00BC1AA7">
        <w:rPr>
          <w:rFonts w:hint="eastAsia"/>
          <w:rtl/>
        </w:rPr>
        <w:t>משמעותו</w:t>
      </w:r>
      <w:r w:rsidRPr="00BC1AA7">
        <w:rPr>
          <w:rtl/>
        </w:rPr>
        <w:t xml:space="preserve"> </w:t>
      </w:r>
      <w:r w:rsidRPr="00BC1AA7">
        <w:rPr>
          <w:rFonts w:hint="eastAsia"/>
          <w:rtl/>
        </w:rPr>
        <w:t>הרבה</w:t>
      </w:r>
      <w:r w:rsidRPr="00BC1AA7">
        <w:rPr>
          <w:rtl/>
        </w:rPr>
        <w:t xml:space="preserve"> </w:t>
      </w:r>
      <w:r w:rsidRPr="00BC1AA7">
        <w:rPr>
          <w:rFonts w:hint="eastAsia"/>
          <w:rtl/>
        </w:rPr>
        <w:t>בקרב</w:t>
      </w:r>
      <w:r w:rsidRPr="00BC1AA7">
        <w:rPr>
          <w:rtl/>
        </w:rPr>
        <w:t xml:space="preserve"> </w:t>
      </w:r>
      <w:r w:rsidRPr="00BC1AA7">
        <w:rPr>
          <w:rFonts w:hint="eastAsia"/>
          <w:rtl/>
        </w:rPr>
        <w:t>האזרחים</w:t>
      </w:r>
      <w:r w:rsidRPr="00BC1AA7">
        <w:rPr>
          <w:rtl/>
        </w:rPr>
        <w:t xml:space="preserve"> </w:t>
      </w:r>
      <w:r w:rsidRPr="00BC1AA7">
        <w:rPr>
          <w:rFonts w:hint="eastAsia"/>
          <w:rtl/>
        </w:rPr>
        <w:t>הוותיקים</w:t>
      </w:r>
      <w:r w:rsidRPr="00BC1AA7">
        <w:rPr>
          <w:rtl/>
        </w:rPr>
        <w:t xml:space="preserve">, </w:t>
      </w:r>
      <w:r w:rsidRPr="00BC1AA7">
        <w:rPr>
          <w:rFonts w:hint="eastAsia"/>
          <w:rtl/>
        </w:rPr>
        <w:t>מוצע</w:t>
      </w:r>
      <w:r w:rsidRPr="00BC1AA7">
        <w:rPr>
          <w:rtl/>
        </w:rPr>
        <w:t xml:space="preserve"> </w:t>
      </w:r>
      <w:r w:rsidRPr="00BC1AA7">
        <w:rPr>
          <w:rFonts w:hint="eastAsia"/>
          <w:rtl/>
        </w:rPr>
        <w:t>כעת</w:t>
      </w:r>
      <w:r w:rsidRPr="00BC1AA7">
        <w:rPr>
          <w:rtl/>
        </w:rPr>
        <w:t xml:space="preserve"> </w:t>
      </w:r>
      <w:r w:rsidRPr="00BC1AA7">
        <w:rPr>
          <w:rFonts w:hint="eastAsia"/>
          <w:rtl/>
        </w:rPr>
        <w:t>להפוך</w:t>
      </w:r>
      <w:r w:rsidRPr="00BC1AA7">
        <w:rPr>
          <w:rtl/>
        </w:rPr>
        <w:t xml:space="preserve"> </w:t>
      </w:r>
      <w:r w:rsidRPr="00BC1AA7">
        <w:rPr>
          <w:rFonts w:hint="eastAsia"/>
          <w:rtl/>
        </w:rPr>
        <w:t>את</w:t>
      </w:r>
      <w:r w:rsidRPr="00BC1AA7">
        <w:rPr>
          <w:rtl/>
        </w:rPr>
        <w:t xml:space="preserve"> </w:t>
      </w:r>
      <w:r w:rsidRPr="00BC1AA7">
        <w:rPr>
          <w:rFonts w:hint="eastAsia"/>
          <w:rtl/>
        </w:rPr>
        <w:t>הוראות</w:t>
      </w:r>
      <w:r w:rsidRPr="00BC1AA7">
        <w:rPr>
          <w:rtl/>
        </w:rPr>
        <w:t xml:space="preserve"> </w:t>
      </w:r>
      <w:r w:rsidRPr="00BC1AA7">
        <w:rPr>
          <w:rFonts w:hint="eastAsia"/>
          <w:rtl/>
        </w:rPr>
        <w:t>החוק</w:t>
      </w:r>
      <w:r w:rsidRPr="00BC1AA7">
        <w:rPr>
          <w:rtl/>
        </w:rPr>
        <w:t xml:space="preserve"> </w:t>
      </w:r>
      <w:r w:rsidRPr="00BC1AA7">
        <w:rPr>
          <w:rFonts w:hint="eastAsia"/>
          <w:rtl/>
        </w:rPr>
        <w:t>להוראה</w:t>
      </w:r>
      <w:r w:rsidRPr="00BC1AA7">
        <w:rPr>
          <w:rtl/>
        </w:rPr>
        <w:t xml:space="preserve"> </w:t>
      </w:r>
      <w:r w:rsidRPr="00BC1AA7">
        <w:rPr>
          <w:rFonts w:hint="eastAsia"/>
          <w:rtl/>
        </w:rPr>
        <w:t>קבועה</w:t>
      </w:r>
      <w:r w:rsidRPr="00BC1AA7">
        <w:rPr>
          <w:rtl/>
        </w:rPr>
        <w:t>.</w:t>
      </w:r>
    </w:p>
    <w:p w:rsidR="00F00976" w:rsidP="00A44CA7" w:rsidRDefault="00F00976" w14:paraId="036CCEBE" w14:textId="3682FB25">
      <w:pPr>
        <w:pStyle w:val="Hesber"/>
        <w:spacing w:line="276" w:lineRule="auto"/>
        <w:rPr>
          <w:rtl/>
        </w:rPr>
      </w:pPr>
      <w:r>
        <w:rPr>
          <w:rFonts w:hint="cs"/>
          <w:rtl/>
        </w:rPr>
        <w:t>הצעת חוק דומה בעיקרה הונחה על שולחן הכנסת העשרים וחמש על ידי חברת הכנסת מירב כהן (פ/3708/25).</w:t>
      </w:r>
    </w:p>
    <w:p w:rsidR="00F11D14" w:rsidP="00A44CA7" w:rsidRDefault="00A44CA7" w14:paraId="7EE65254" w14:textId="094B9F2A">
      <w:pPr>
        <w:spacing w:before="0" w:line="276" w:lineRule="auto"/>
        <w:jc w:val="left"/>
      </w:pPr>
      <w:r>
        <w:rPr>
          <w:rFonts w:hint="cs" w:ascii="David" w:hAnsi="David" w:eastAsia="David" w:cs="David"/>
          <w:sz w:val="26"/>
          <w:szCs w:val="26"/>
          <w:rtl/>
        </w:rPr>
        <w:t>-------------------------------</w:t>
      </w:r>
    </w:p>
    <w:p w:rsidR="00F11D14" w:rsidP="00A44CA7" w:rsidRDefault="00A44CA7" w14:paraId="64F166B6" w14:textId="77777777">
      <w:pPr>
        <w:spacing w:before="0" w:line="276" w:lineRule="auto"/>
        <w:jc w:val="left"/>
      </w:pPr>
      <w:r>
        <w:rPr>
          <w:rFonts w:hint="cs" w:ascii="David" w:hAnsi="David" w:eastAsia="David" w:cs="David"/>
          <w:sz w:val="26"/>
          <w:szCs w:val="26"/>
          <w:rtl/>
        </w:rPr>
        <w:t>הוגשה ליו"ר הכנסת והסגנים</w:t>
      </w:r>
    </w:p>
    <w:p w:rsidR="00F11D14" w:rsidP="00A44CA7" w:rsidRDefault="00A44CA7" w14:paraId="1BFE512D" w14:textId="77777777">
      <w:pPr>
        <w:spacing w:before="0" w:line="276" w:lineRule="auto"/>
        <w:jc w:val="left"/>
      </w:pPr>
      <w:r>
        <w:rPr>
          <w:rFonts w:hint="cs" w:ascii="David" w:hAnsi="David" w:eastAsia="David" w:cs="David"/>
          <w:sz w:val="26"/>
          <w:szCs w:val="26"/>
          <w:rtl/>
        </w:rPr>
        <w:t>והונחה על שולחן הכנסת ביום</w:t>
      </w:r>
    </w:p>
    <w:p w:rsidR="00F11D14" w:rsidP="00A44CA7" w:rsidRDefault="00A44CA7" w14:paraId="067CE4E5" w14:textId="77777777">
      <w:pPr>
        <w:spacing w:before="0" w:line="276" w:lineRule="auto"/>
        <w:jc w:val="left"/>
      </w:pPr>
      <w:r>
        <w:rPr>
          <w:rFonts w:hint="cs" w:ascii="David" w:hAnsi="David" w:eastAsia="David" w:cs="David"/>
          <w:sz w:val="26"/>
          <w:szCs w:val="26"/>
          <w:rtl/>
        </w:rPr>
        <w:t xml:space="preserve">א' באדר ב' </w:t>
      </w:r>
      <w:proofErr w:type="spellStart"/>
      <w:r>
        <w:rPr>
          <w:rFonts w:hint="cs" w:ascii="David" w:hAnsi="David" w:eastAsia="David" w:cs="David"/>
          <w:sz w:val="26"/>
          <w:szCs w:val="26"/>
          <w:rtl/>
        </w:rPr>
        <w:t>התשפ"ד</w:t>
      </w:r>
      <w:proofErr w:type="spellEnd"/>
      <w:r>
        <w:rPr>
          <w:rFonts w:hint="cs" w:ascii="David" w:hAnsi="David" w:eastAsia="David" w:cs="David"/>
          <w:sz w:val="26"/>
          <w:szCs w:val="26"/>
          <w:rtl/>
        </w:rPr>
        <w:t xml:space="preserve"> (11.03.2024) </w:t>
      </w:r>
    </w:p>
    <w:p w:rsidR="00F11D14" w:rsidRDefault="00F11D14" w14:paraId="02D9F706" w14:textId="77777777">
      <w:pPr>
        <w:spacing w:before="0" w:line="276" w:lineRule="auto"/>
        <w:jc w:val="left"/>
      </w:pPr>
    </w:p>
    <w:sectPr w:rsidR="00F11D14"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04660B74"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FA455C">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168AED33" w14:textId="77777777" w:rsidR="009A690B" w:rsidRDefault="009A690B" w:rsidP="009A690B">
      <w:pPr>
        <w:pStyle w:val="a4"/>
      </w:pPr>
      <w:r>
        <w:rPr>
          <w:rStyle w:val="a6"/>
        </w:rPr>
        <w:footnoteRef/>
      </w:r>
      <w:r>
        <w:rPr>
          <w:rtl/>
        </w:rPr>
        <w:t xml:space="preserve"> </w:t>
      </w:r>
      <w:r>
        <w:rPr>
          <w:rFonts w:hint="cs"/>
          <w:rtl/>
        </w:rPr>
        <w:t>ס"ח תשע"ח, עמ' 64.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07C06"/>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1429"/>
    <w:rsid w:val="002728B4"/>
    <w:rsid w:val="0027600C"/>
    <w:rsid w:val="00292712"/>
    <w:rsid w:val="002A487D"/>
    <w:rsid w:val="002C2E29"/>
    <w:rsid w:val="002C3041"/>
    <w:rsid w:val="002D1EE3"/>
    <w:rsid w:val="002D6FBA"/>
    <w:rsid w:val="002F1D80"/>
    <w:rsid w:val="003232A2"/>
    <w:rsid w:val="00325C14"/>
    <w:rsid w:val="0036422C"/>
    <w:rsid w:val="003710F6"/>
    <w:rsid w:val="00386E88"/>
    <w:rsid w:val="003964FB"/>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63EFC"/>
    <w:rsid w:val="006818A9"/>
    <w:rsid w:val="006A2D81"/>
    <w:rsid w:val="006C1D0D"/>
    <w:rsid w:val="0070601E"/>
    <w:rsid w:val="00712C72"/>
    <w:rsid w:val="00735FE9"/>
    <w:rsid w:val="00763CAA"/>
    <w:rsid w:val="00765F66"/>
    <w:rsid w:val="00777539"/>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690B"/>
    <w:rsid w:val="009A7257"/>
    <w:rsid w:val="009D6E0A"/>
    <w:rsid w:val="009E1E33"/>
    <w:rsid w:val="00A14672"/>
    <w:rsid w:val="00A26BD6"/>
    <w:rsid w:val="00A443CF"/>
    <w:rsid w:val="00A44CA7"/>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1AA7"/>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17C11"/>
    <w:rsid w:val="00E33BBD"/>
    <w:rsid w:val="00E374F2"/>
    <w:rsid w:val="00E45103"/>
    <w:rsid w:val="00E55A60"/>
    <w:rsid w:val="00E62778"/>
    <w:rsid w:val="00E635A2"/>
    <w:rsid w:val="00E63D38"/>
    <w:rsid w:val="00E665B9"/>
    <w:rsid w:val="00E70774"/>
    <w:rsid w:val="00E835A3"/>
    <w:rsid w:val="00EA01E6"/>
    <w:rsid w:val="00EA3DE8"/>
    <w:rsid w:val="00EA758F"/>
    <w:rsid w:val="00ED4A6F"/>
    <w:rsid w:val="00EF3A3A"/>
    <w:rsid w:val="00F00976"/>
    <w:rsid w:val="00F11D14"/>
    <w:rsid w:val="00F628D6"/>
    <w:rsid w:val="00F67051"/>
    <w:rsid w:val="00F83EB2"/>
    <w:rsid w:val="00F86A1E"/>
    <w:rsid w:val="00FA455C"/>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4C94827C-03CB-4786-9BA1-8C50D117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9A690B"/>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290d5b49-c690-4c6f-bbb9-1e50dab33eee"/>
    <ds:schemaRef ds:uri="http://www.w3.org/XML/1998/namespace"/>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E3E63DF0-801B-4446-A01B-79A313FDE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6951DB-0271-4968-93B5-D0860415A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303</Words>
  <Characters>1732</Characters>
  <Application>Microsoft Office Word</Application>
  <DocSecurity>0</DocSecurity>
  <Lines>14</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23</cp:revision>
  <cp:lastPrinted>2024-03-10T09:18:00Z</cp:lastPrinted>
  <dcterms:created xsi:type="dcterms:W3CDTF">2015-04-20T09:58:00Z</dcterms:created>
  <dcterms:modified xsi:type="dcterms:W3CDTF">2024-03-10T09:18:00Z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2215477</vt:r8>
  </property>
</Properties>
</file>