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2214645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4E0364A9" w:rsidR="00E13C27" w:rsidRPr="00CF1AA2" w:rsidRDefault="008F6665" w:rsidP="00662A50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יוליה </w:t>
      </w:r>
      <w:proofErr w:type="spellStart"/>
      <w:r>
        <w:rPr>
          <w:rFonts w:hint="cs"/>
          <w:b/>
          <w:bCs/>
          <w:rtl/>
        </w:rPr>
        <w:t>מלינובסקי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אביגדור ליברמן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שרון ניר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חמד עמאר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4740B470" w:rsidR="00E13C27" w:rsidRDefault="00904591" w:rsidP="00662A50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פ/4332/25</w:t>
      </w:r>
      <w:bookmarkEnd w:id="6"/>
    </w:p>
    <w:p w14:paraId="080DD3DE" w14:textId="36D9D93A" w:rsidR="00857E52" w:rsidRPr="00F67051" w:rsidRDefault="00A443CF" w:rsidP="009B40D0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להפסקת יחסי מדינת ישראל עם סוכנות הסעד והתעסוקה של האו"ם לפליטי פלסטין במזרח הקרוב (</w:t>
      </w:r>
      <w:proofErr w:type="spellStart"/>
      <w:r>
        <w:rPr>
          <w:rFonts w:hint="cs"/>
          <w:rtl/>
        </w:rPr>
        <w:t>אונר"א</w:t>
      </w:r>
      <w:proofErr w:type="spellEnd"/>
      <w:r>
        <w:rPr>
          <w:rFonts w:hint="cs"/>
          <w:rtl/>
        </w:rPr>
        <w:t xml:space="preserve">) והכרזתה כארגון טרור, </w:t>
      </w:r>
      <w:proofErr w:type="spellStart"/>
      <w:r>
        <w:rPr>
          <w:rFonts w:hint="cs"/>
          <w:rtl/>
        </w:rPr>
        <w:t>התשפ"ד</w:t>
      </w:r>
      <w:proofErr w:type="spellEnd"/>
      <w:r>
        <w:rPr>
          <w:rFonts w:hint="cs"/>
          <w:rtl/>
        </w:rPr>
        <w:t>–2024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857E52" w14:paraId="2BF0AC01" w14:textId="77777777" w:rsidTr="00662A50">
        <w:trPr>
          <w:cantSplit/>
        </w:trPr>
        <w:tc>
          <w:tcPr>
            <w:tcW w:w="1871" w:type="dxa"/>
          </w:tcPr>
          <w:p w14:paraId="5D680BF6" w14:textId="77777777" w:rsidR="00857E52" w:rsidRPr="00F54754" w:rsidRDefault="00857E52" w:rsidP="007363E3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 xml:space="preserve">הכרזה על ארגון </w:t>
            </w:r>
            <w:proofErr w:type="spellStart"/>
            <w:r>
              <w:rPr>
                <w:rFonts w:hint="cs"/>
                <w:rtl/>
              </w:rPr>
              <w:t>אונר"א</w:t>
            </w:r>
            <w:proofErr w:type="spellEnd"/>
            <w:r>
              <w:rPr>
                <w:rFonts w:hint="cs"/>
                <w:rtl/>
              </w:rPr>
              <w:t xml:space="preserve"> כארגון טרור</w:t>
            </w:r>
          </w:p>
        </w:tc>
        <w:tc>
          <w:tcPr>
            <w:tcW w:w="624" w:type="dxa"/>
          </w:tcPr>
          <w:p w14:paraId="7B9FD6CC" w14:textId="77777777" w:rsidR="00857E52" w:rsidRDefault="00857E52" w:rsidP="007363E3">
            <w:pPr>
              <w:pStyle w:val="TableText"/>
              <w:keepLines w:val="0"/>
              <w:tabs>
                <w:tab w:val="clear" w:pos="624"/>
              </w:tabs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3E0048AB" w14:textId="16BEFE77" w:rsidR="00857E52" w:rsidRPr="00C475A1" w:rsidRDefault="00E8724D" w:rsidP="00662A5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בלי לגרוע מהוראות חוק המאבק בטרור, </w:t>
            </w:r>
            <w:proofErr w:type="spellStart"/>
            <w:r>
              <w:rPr>
                <w:rFonts w:hint="cs"/>
                <w:rtl/>
              </w:rPr>
              <w:t>התשע"ו</w:t>
            </w:r>
            <w:proofErr w:type="spellEnd"/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2016</w:t>
            </w:r>
            <w:r w:rsidRPr="00662A50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חוק המאבק בטרור), מוכרז בזה כי סוכנות הסעד והתעסוקה של האו"ם לפליטי פלסטין במזרח הקרוב (</w:t>
            </w:r>
            <w:proofErr w:type="spellStart"/>
            <w:r>
              <w:rPr>
                <w:rFonts w:hint="cs"/>
                <w:rtl/>
              </w:rPr>
              <w:t>אונר"א</w:t>
            </w:r>
            <w:proofErr w:type="spellEnd"/>
            <w:r>
              <w:rPr>
                <w:rFonts w:hint="cs"/>
                <w:rtl/>
              </w:rPr>
              <w:t xml:space="preserve">)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אונר"א</w:t>
            </w:r>
            <w:proofErr w:type="spellEnd"/>
            <w:r>
              <w:rPr>
                <w:rFonts w:hint="cs"/>
                <w:rtl/>
              </w:rPr>
              <w:t>)</w:t>
            </w:r>
            <w:r w:rsidR="00CE7DB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היא </w:t>
            </w:r>
            <w:r w:rsidR="00857E52" w:rsidRPr="00AA6C8B">
              <w:rPr>
                <w:rtl/>
              </w:rPr>
              <w:t>ארגון טרור</w:t>
            </w:r>
            <w:r>
              <w:rPr>
                <w:rFonts w:hint="cs"/>
                <w:rtl/>
              </w:rPr>
              <w:t xml:space="preserve">; בסעיף זה, "ארגון טרור" </w:t>
            </w:r>
            <w:r>
              <w:rPr>
                <w:rtl/>
              </w:rPr>
              <w:t>–</w:t>
            </w:r>
            <w:r w:rsidR="0018220E">
              <w:rPr>
                <w:rFonts w:hint="cs"/>
                <w:rtl/>
              </w:rPr>
              <w:t xml:space="preserve"> </w:t>
            </w:r>
            <w:bookmarkStart w:id="8" w:name="_GoBack"/>
            <w:bookmarkEnd w:id="8"/>
            <w:r w:rsidR="00857E52" w:rsidRPr="004A2566">
              <w:rPr>
                <w:rtl/>
              </w:rPr>
              <w:t>כהגדרתו בחוק המאבק בטרור.</w:t>
            </w:r>
          </w:p>
        </w:tc>
      </w:tr>
      <w:tr w:rsidR="00E8724D" w14:paraId="05ADB380" w14:textId="77777777" w:rsidTr="00662A50">
        <w:trPr>
          <w:cantSplit/>
        </w:trPr>
        <w:tc>
          <w:tcPr>
            <w:tcW w:w="1871" w:type="dxa"/>
          </w:tcPr>
          <w:p w14:paraId="183C99BD" w14:textId="5505461E" w:rsidR="00E8724D" w:rsidRDefault="00E8724D" w:rsidP="00E8724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 xml:space="preserve">הפסקת יחסי מדינת ישראל עם </w:t>
            </w:r>
            <w:proofErr w:type="spellStart"/>
            <w:r>
              <w:rPr>
                <w:rFonts w:hint="cs"/>
                <w:rtl/>
              </w:rPr>
              <w:t>אונר"א</w:t>
            </w:r>
            <w:proofErr w:type="spellEnd"/>
          </w:p>
        </w:tc>
        <w:tc>
          <w:tcPr>
            <w:tcW w:w="624" w:type="dxa"/>
          </w:tcPr>
          <w:p w14:paraId="67E2A134" w14:textId="465FDDE4" w:rsidR="00E8724D" w:rsidRDefault="00E8724D" w:rsidP="009B40D0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14:paraId="7C4F34E8" w14:textId="6BADD666" w:rsidR="00E8724D" w:rsidRDefault="00A775EE" w:rsidP="00662A5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מדינת ישראל תפסיק את יחסיה עם </w:t>
            </w:r>
            <w:proofErr w:type="spellStart"/>
            <w:r>
              <w:rPr>
                <w:rFonts w:hint="cs"/>
                <w:rtl/>
              </w:rPr>
              <w:t>אונר"א</w:t>
            </w:r>
            <w:proofErr w:type="spellEnd"/>
            <w:r>
              <w:rPr>
                <w:rFonts w:hint="cs"/>
                <w:rtl/>
              </w:rPr>
              <w:t>, בין במישרין ובין בעקיפין.</w:t>
            </w:r>
          </w:p>
        </w:tc>
      </w:tr>
    </w:tbl>
    <w:p w14:paraId="7F6961CA" w14:textId="35D02F60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0BFFA4C0" w14:textId="7FD3E3D9" w:rsidR="00ED2E40" w:rsidRDefault="00ED2E40" w:rsidP="00662A50">
      <w:pPr>
        <w:pStyle w:val="Hesber"/>
        <w:spacing w:line="240" w:lineRule="auto"/>
        <w:rPr>
          <w:rtl/>
        </w:rPr>
      </w:pPr>
      <w:r w:rsidRPr="00E8724D">
        <w:rPr>
          <w:rtl/>
        </w:rPr>
        <w:t xml:space="preserve">שנים דובר על כך </w:t>
      </w:r>
      <w:proofErr w:type="spellStart"/>
      <w:r w:rsidRPr="00662A50">
        <w:rPr>
          <w:rtl/>
        </w:rPr>
        <w:t>שאונר</w:t>
      </w:r>
      <w:r w:rsidRPr="00E8724D">
        <w:rPr>
          <w:rtl/>
        </w:rPr>
        <w:t>"א</w:t>
      </w:r>
      <w:proofErr w:type="spellEnd"/>
      <w:r w:rsidRPr="00E8724D">
        <w:rPr>
          <w:rtl/>
        </w:rPr>
        <w:t xml:space="preserve">, </w:t>
      </w:r>
      <w:r w:rsidR="00E8724D">
        <w:rPr>
          <w:rFonts w:hint="cs"/>
          <w:rtl/>
        </w:rPr>
        <w:t>סוכנות</w:t>
      </w:r>
      <w:r w:rsidR="00E8724D" w:rsidRPr="00E8724D">
        <w:rPr>
          <w:rtl/>
        </w:rPr>
        <w:t xml:space="preserve"> </w:t>
      </w:r>
      <w:r w:rsidRPr="00E8724D">
        <w:rPr>
          <w:rtl/>
        </w:rPr>
        <w:t xml:space="preserve">של האו"ם </w:t>
      </w:r>
      <w:r w:rsidR="00E8724D">
        <w:rPr>
          <w:rFonts w:hint="cs"/>
          <w:rtl/>
        </w:rPr>
        <w:t>האמונה</w:t>
      </w:r>
      <w:r w:rsidR="00E8724D" w:rsidRPr="00E8724D">
        <w:rPr>
          <w:rtl/>
        </w:rPr>
        <w:t xml:space="preserve"> </w:t>
      </w:r>
      <w:r w:rsidRPr="00E8724D">
        <w:rPr>
          <w:rtl/>
        </w:rPr>
        <w:t xml:space="preserve">על </w:t>
      </w:r>
      <w:r w:rsidR="00E8724D">
        <w:rPr>
          <w:rFonts w:hint="cs"/>
          <w:rtl/>
        </w:rPr>
        <w:t>ה</w:t>
      </w:r>
      <w:r w:rsidRPr="00E8724D">
        <w:rPr>
          <w:rtl/>
        </w:rPr>
        <w:t xml:space="preserve">טיפול בפליטים פלסטינים, </w:t>
      </w:r>
      <w:r w:rsidRPr="00E8724D">
        <w:rPr>
          <w:rFonts w:hint="eastAsia"/>
          <w:rtl/>
        </w:rPr>
        <w:t>ה</w:t>
      </w:r>
      <w:r w:rsidR="00E8724D">
        <w:rPr>
          <w:rFonts w:hint="cs"/>
          <w:rtl/>
        </w:rPr>
        <w:t>י</w:t>
      </w:r>
      <w:r w:rsidRPr="00E8724D">
        <w:rPr>
          <w:rFonts w:hint="eastAsia"/>
          <w:rtl/>
        </w:rPr>
        <w:t>א</w:t>
      </w:r>
      <w:r w:rsidRPr="00E8724D">
        <w:rPr>
          <w:rtl/>
        </w:rPr>
        <w:t xml:space="preserve"> </w:t>
      </w:r>
      <w:r w:rsidRPr="00E8724D">
        <w:rPr>
          <w:rFonts w:hint="eastAsia"/>
          <w:rtl/>
        </w:rPr>
        <w:t>למעשה</w:t>
      </w:r>
      <w:r w:rsidRPr="00E8724D">
        <w:rPr>
          <w:rtl/>
        </w:rPr>
        <w:t xml:space="preserve"> </w:t>
      </w:r>
      <w:r w:rsidRPr="00E8724D">
        <w:rPr>
          <w:rFonts w:hint="eastAsia"/>
          <w:rtl/>
        </w:rPr>
        <w:t>ארגון</w:t>
      </w:r>
      <w:r w:rsidRPr="00E8724D">
        <w:rPr>
          <w:rtl/>
        </w:rPr>
        <w:t xml:space="preserve"> להנצחת הסכסוך והעברת מעמד הפליטות מדור לדור, אך הטבח של השביעי באוקטובר </w:t>
      </w:r>
      <w:r w:rsidR="00E8724D">
        <w:rPr>
          <w:rFonts w:hint="cs"/>
          <w:rtl/>
        </w:rPr>
        <w:t>הוכיח זאת</w:t>
      </w:r>
      <w:r w:rsidRPr="00E8724D">
        <w:rPr>
          <w:rtl/>
        </w:rPr>
        <w:t xml:space="preserve"> בצורה רשמית. </w:t>
      </w:r>
    </w:p>
    <w:p w14:paraId="1172C855" w14:textId="6EEAA73C" w:rsidR="00ED2E40" w:rsidRPr="00CE7DBC" w:rsidRDefault="00ED2E40" w:rsidP="00662A50">
      <w:pPr>
        <w:pStyle w:val="Hesber"/>
        <w:spacing w:line="240" w:lineRule="auto"/>
        <w:rPr>
          <w:rtl/>
        </w:rPr>
      </w:pPr>
      <w:r w:rsidRPr="00CE7DBC">
        <w:rPr>
          <w:rFonts w:hint="eastAsia"/>
          <w:rtl/>
        </w:rPr>
        <w:t>כידוע</w:t>
      </w:r>
      <w:r w:rsidRPr="00CE7DBC">
        <w:rPr>
          <w:rtl/>
        </w:rPr>
        <w:t xml:space="preserve">, בימים האחרונים </w:t>
      </w:r>
      <w:r w:rsidRPr="00CE7DBC">
        <w:rPr>
          <w:rFonts w:hint="eastAsia"/>
          <w:rtl/>
        </w:rPr>
        <w:t>נחשפה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מעורבותם</w:t>
      </w:r>
      <w:r w:rsidRPr="00CE7DBC">
        <w:rPr>
          <w:rtl/>
        </w:rPr>
        <w:t xml:space="preserve"> של עובדי ארגון </w:t>
      </w:r>
      <w:proofErr w:type="spellStart"/>
      <w:r w:rsidRPr="00CE7DBC">
        <w:rPr>
          <w:rtl/>
        </w:rPr>
        <w:t>אונר"א</w:t>
      </w:r>
      <w:proofErr w:type="spellEnd"/>
      <w:r w:rsidRPr="00CE7DBC">
        <w:rPr>
          <w:rtl/>
        </w:rPr>
        <w:t xml:space="preserve"> בטבח השביעי באוקטובר. לפי התחקירים, לפחות 12 עובדים של </w:t>
      </w:r>
      <w:proofErr w:type="spellStart"/>
      <w:r w:rsidRPr="00CE7DBC">
        <w:rPr>
          <w:rtl/>
        </w:rPr>
        <w:t>אונר"א</w:t>
      </w:r>
      <w:proofErr w:type="spellEnd"/>
      <w:r w:rsidRPr="00CE7DBC">
        <w:rPr>
          <w:rtl/>
        </w:rPr>
        <w:t xml:space="preserve"> היו קשורים למתקפ</w:t>
      </w:r>
      <w:r w:rsidRPr="00CE7DBC">
        <w:rPr>
          <w:rFonts w:hint="eastAsia"/>
          <w:rtl/>
        </w:rPr>
        <w:t>ת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הטרור</w:t>
      </w:r>
      <w:r w:rsidRPr="00CE7DBC">
        <w:rPr>
          <w:rtl/>
        </w:rPr>
        <w:t xml:space="preserve">, </w:t>
      </w:r>
      <w:r w:rsidRPr="00CE7DBC">
        <w:rPr>
          <w:rFonts w:hint="eastAsia"/>
          <w:rtl/>
        </w:rPr>
        <w:t>לקחו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חלק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במעשי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רצח</w:t>
      </w:r>
      <w:r w:rsidRPr="00CE7DBC">
        <w:rPr>
          <w:rtl/>
        </w:rPr>
        <w:t xml:space="preserve">, </w:t>
      </w:r>
      <w:r w:rsidRPr="00CE7DBC">
        <w:rPr>
          <w:rFonts w:hint="eastAsia"/>
          <w:rtl/>
        </w:rPr>
        <w:t>חטיפ</w:t>
      </w:r>
      <w:r w:rsidR="00E8724D" w:rsidRPr="00CE7DBC">
        <w:rPr>
          <w:rFonts w:hint="cs"/>
          <w:rtl/>
        </w:rPr>
        <w:t>ה</w:t>
      </w:r>
      <w:r w:rsidRPr="00CE7DBC">
        <w:rPr>
          <w:rtl/>
        </w:rPr>
        <w:t xml:space="preserve">, </w:t>
      </w:r>
      <w:r w:rsidR="00E8724D" w:rsidRPr="00CE7DBC">
        <w:rPr>
          <w:rFonts w:hint="cs"/>
          <w:rtl/>
        </w:rPr>
        <w:t xml:space="preserve">כולל </w:t>
      </w:r>
      <w:r w:rsidRPr="00CE7DBC">
        <w:rPr>
          <w:rFonts w:hint="eastAsia"/>
          <w:rtl/>
        </w:rPr>
        <w:t>חטיפת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גופות</w:t>
      </w:r>
      <w:r w:rsidR="00E8724D" w:rsidRPr="00CE7DBC">
        <w:rPr>
          <w:rFonts w:hint="cs"/>
          <w:rtl/>
        </w:rPr>
        <w:t>,</w:t>
      </w:r>
      <w:r w:rsidRPr="00CE7DBC">
        <w:rPr>
          <w:rtl/>
        </w:rPr>
        <w:t xml:space="preserve"> ומסירת פקודות</w:t>
      </w:r>
      <w:r w:rsidR="00E8724D" w:rsidRPr="00CE7DBC">
        <w:rPr>
          <w:rFonts w:hint="cs"/>
          <w:rtl/>
        </w:rPr>
        <w:t xml:space="preserve"> מטעם ארגון הטרור חמאס. </w:t>
      </w:r>
      <w:r w:rsidRPr="00CE7DBC">
        <w:rPr>
          <w:rtl/>
        </w:rPr>
        <w:t>כ-10% מכלל הצוות של</w:t>
      </w:r>
      <w:r w:rsidR="00E8724D" w:rsidRPr="00CE7DBC">
        <w:rPr>
          <w:rFonts w:hint="cs"/>
          <w:rtl/>
        </w:rPr>
        <w:t xml:space="preserve"> </w:t>
      </w:r>
      <w:proofErr w:type="spellStart"/>
      <w:r w:rsidR="00E8724D" w:rsidRPr="00CE7DBC">
        <w:rPr>
          <w:rFonts w:hint="cs"/>
          <w:rtl/>
        </w:rPr>
        <w:t>אונר"א</w:t>
      </w:r>
      <w:proofErr w:type="spellEnd"/>
      <w:r w:rsidRPr="00CE7DBC">
        <w:rPr>
          <w:rtl/>
        </w:rPr>
        <w:t xml:space="preserve"> ברצוע</w:t>
      </w:r>
      <w:r w:rsidR="00E8724D" w:rsidRPr="00CE7DBC">
        <w:rPr>
          <w:rFonts w:hint="cs"/>
          <w:rtl/>
        </w:rPr>
        <w:t>ת עזה</w:t>
      </w:r>
      <w:r w:rsidRPr="00CE7DBC">
        <w:rPr>
          <w:rtl/>
        </w:rPr>
        <w:t xml:space="preserve"> קשור לארגוני טרור. עוד פורסם כי שני מורים של </w:t>
      </w:r>
      <w:r w:rsidRPr="00CE7DBC">
        <w:rPr>
          <w:rFonts w:hint="eastAsia"/>
          <w:rtl/>
        </w:rPr>
        <w:t>הארגון</w:t>
      </w:r>
      <w:r w:rsidRPr="00CE7DBC">
        <w:rPr>
          <w:rtl/>
        </w:rPr>
        <w:t xml:space="preserve"> החזיקו בביתם חטופים ישראלים ו-130 מורים שיבחו את הטבח בפומבי ו-3,000 </w:t>
      </w:r>
      <w:r w:rsidRPr="00CE7DBC">
        <w:rPr>
          <w:rFonts w:hint="eastAsia"/>
          <w:rtl/>
        </w:rPr>
        <w:t>מורים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מטעם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הארגון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היללו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את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הטבח</w:t>
      </w:r>
      <w:r w:rsidRPr="00CE7DBC">
        <w:rPr>
          <w:rtl/>
        </w:rPr>
        <w:t xml:space="preserve"> </w:t>
      </w:r>
      <w:r w:rsidRPr="00CE7DBC">
        <w:rPr>
          <w:rFonts w:hint="eastAsia"/>
          <w:rtl/>
        </w:rPr>
        <w:t>בקבוצת</w:t>
      </w:r>
      <w:r w:rsidRPr="00CE7DBC">
        <w:rPr>
          <w:rtl/>
        </w:rPr>
        <w:t xml:space="preserve"> "</w:t>
      </w:r>
      <w:proofErr w:type="spellStart"/>
      <w:r w:rsidRPr="00CE7DBC">
        <w:rPr>
          <w:rtl/>
        </w:rPr>
        <w:t>טלגרם</w:t>
      </w:r>
      <w:proofErr w:type="spellEnd"/>
      <w:r w:rsidRPr="00CE7DBC">
        <w:rPr>
          <w:rtl/>
        </w:rPr>
        <w:t>".</w:t>
      </w:r>
      <w:r w:rsidR="00E8724D" w:rsidRPr="00CE7DBC">
        <w:rPr>
          <w:rtl/>
        </w:rPr>
        <w:t xml:space="preserve"> </w:t>
      </w:r>
      <w:r w:rsidRPr="00CE7DBC">
        <w:rPr>
          <w:rFonts w:hint="eastAsia"/>
          <w:rtl/>
        </w:rPr>
        <w:t>בתגובה</w:t>
      </w:r>
      <w:r w:rsidRPr="00CE7DBC">
        <w:rPr>
          <w:rtl/>
        </w:rPr>
        <w:t xml:space="preserve"> לפרסומים החמורים, מדינות </w:t>
      </w:r>
      <w:r w:rsidRPr="00CE7DBC">
        <w:rPr>
          <w:rFonts w:hint="eastAsia"/>
          <w:rtl/>
        </w:rPr>
        <w:t>רבות</w:t>
      </w:r>
      <w:r w:rsidRPr="00CE7DBC">
        <w:rPr>
          <w:rtl/>
        </w:rPr>
        <w:t xml:space="preserve"> בהן ארה"ב, גרמניה, קנדה, אוסטרליה, איטליה, בריטניה, פינלנד ורומניה הודיעו על החלטתן להפסיק את </w:t>
      </w:r>
      <w:r w:rsidRPr="00CE7DBC">
        <w:rPr>
          <w:rFonts w:hint="eastAsia"/>
          <w:rtl/>
        </w:rPr>
        <w:t>ה</w:t>
      </w:r>
      <w:r w:rsidRPr="00CE7DBC">
        <w:rPr>
          <w:rtl/>
        </w:rPr>
        <w:t xml:space="preserve">מימון </w:t>
      </w:r>
      <w:proofErr w:type="spellStart"/>
      <w:r w:rsidRPr="00CE7DBC">
        <w:rPr>
          <w:rFonts w:hint="eastAsia"/>
          <w:rtl/>
        </w:rPr>
        <w:t>ל</w:t>
      </w:r>
      <w:r w:rsidRPr="00CE7DBC">
        <w:rPr>
          <w:rtl/>
        </w:rPr>
        <w:t>אונר"א</w:t>
      </w:r>
      <w:proofErr w:type="spellEnd"/>
      <w:r w:rsidRPr="00CE7DBC">
        <w:rPr>
          <w:rtl/>
        </w:rPr>
        <w:t xml:space="preserve">. </w:t>
      </w:r>
    </w:p>
    <w:p w14:paraId="7B7C23AA" w14:textId="7748971B" w:rsidR="00ED2E40" w:rsidRPr="00CE7DBC" w:rsidRDefault="00ED2E40" w:rsidP="00662A50">
      <w:pPr>
        <w:pStyle w:val="Hesber"/>
        <w:spacing w:line="240" w:lineRule="auto"/>
      </w:pPr>
      <w:r w:rsidRPr="00CE7DBC">
        <w:rPr>
          <w:rFonts w:hint="cs"/>
          <w:rtl/>
        </w:rPr>
        <w:t>על כן, ללא צל של ספק</w:t>
      </w:r>
      <w:r w:rsidR="00E8724D" w:rsidRPr="00CE7DBC">
        <w:rPr>
          <w:rFonts w:hint="cs"/>
          <w:rtl/>
        </w:rPr>
        <w:t>,</w:t>
      </w:r>
      <w:r w:rsidRPr="00CE7DBC">
        <w:rPr>
          <w:rFonts w:hint="cs"/>
          <w:rtl/>
        </w:rPr>
        <w:t xml:space="preserve"> </w:t>
      </w:r>
      <w:r w:rsidR="00E8724D" w:rsidRPr="00CE7DBC">
        <w:rPr>
          <w:rFonts w:hint="cs"/>
          <w:rtl/>
        </w:rPr>
        <w:t xml:space="preserve">סוכנות </w:t>
      </w:r>
      <w:proofErr w:type="spellStart"/>
      <w:r w:rsidRPr="00CE7DBC">
        <w:rPr>
          <w:rFonts w:hint="cs"/>
          <w:rtl/>
        </w:rPr>
        <w:t>אונר"א</w:t>
      </w:r>
      <w:proofErr w:type="spellEnd"/>
      <w:r w:rsidRPr="00CE7DBC">
        <w:rPr>
          <w:rFonts w:hint="cs"/>
          <w:rtl/>
        </w:rPr>
        <w:t xml:space="preserve"> הוכיח בטבח השביעי באוקטובר כ</w:t>
      </w:r>
      <w:r w:rsidR="00E8724D" w:rsidRPr="00CE7DBC">
        <w:rPr>
          <w:rFonts w:hint="cs"/>
          <w:rtl/>
        </w:rPr>
        <w:t xml:space="preserve">י היא </w:t>
      </w:r>
      <w:r w:rsidRPr="00CE7DBC">
        <w:rPr>
          <w:rFonts w:hint="cs"/>
          <w:rtl/>
        </w:rPr>
        <w:t>ארגון טרור שאין כל הבדל בינ</w:t>
      </w:r>
      <w:r w:rsidR="00E8724D" w:rsidRPr="00CE7DBC">
        <w:rPr>
          <w:rFonts w:hint="cs"/>
          <w:rtl/>
        </w:rPr>
        <w:t>ה</w:t>
      </w:r>
      <w:r w:rsidRPr="00CE7DBC">
        <w:rPr>
          <w:rFonts w:hint="cs"/>
          <w:rtl/>
        </w:rPr>
        <w:t xml:space="preserve"> לבין ארגון הטרור חמאס. מכאן, </w:t>
      </w:r>
      <w:r w:rsidR="00E8724D" w:rsidRPr="00CE7DBC">
        <w:rPr>
          <w:rFonts w:hint="cs"/>
          <w:rtl/>
        </w:rPr>
        <w:t xml:space="preserve">מטרתה של </w:t>
      </w:r>
      <w:r w:rsidRPr="00CE7DBC">
        <w:rPr>
          <w:rFonts w:hint="cs"/>
          <w:rtl/>
        </w:rPr>
        <w:t xml:space="preserve">הצעת חוק זו להכריז על ארגון </w:t>
      </w:r>
      <w:proofErr w:type="spellStart"/>
      <w:r w:rsidRPr="00CE7DBC">
        <w:rPr>
          <w:rFonts w:hint="cs"/>
          <w:rtl/>
        </w:rPr>
        <w:t>אונר"א</w:t>
      </w:r>
      <w:proofErr w:type="spellEnd"/>
      <w:r w:rsidRPr="00CE7DBC">
        <w:rPr>
          <w:rFonts w:hint="cs"/>
          <w:rtl/>
        </w:rPr>
        <w:t xml:space="preserve"> כארגון טרור לכל דבר ועניין</w:t>
      </w:r>
      <w:r w:rsidR="00E8724D" w:rsidRPr="00CE7DBC">
        <w:rPr>
          <w:rFonts w:hint="cs"/>
          <w:rtl/>
        </w:rPr>
        <w:t>,</w:t>
      </w:r>
      <w:r w:rsidRPr="00CE7DBC">
        <w:rPr>
          <w:rFonts w:hint="cs"/>
          <w:rtl/>
        </w:rPr>
        <w:t xml:space="preserve"> וכ</w:t>
      </w:r>
      <w:r w:rsidR="00E8724D" w:rsidRPr="00CE7DBC">
        <w:rPr>
          <w:rFonts w:hint="cs"/>
          <w:rtl/>
        </w:rPr>
        <w:t>ן להורות על הפסקת יחסיה של</w:t>
      </w:r>
      <w:r w:rsidRPr="00CE7DBC">
        <w:rPr>
          <w:rFonts w:hint="cs"/>
          <w:rtl/>
        </w:rPr>
        <w:t xml:space="preserve"> מדינת ישראל </w:t>
      </w:r>
      <w:r w:rsidR="00E8724D" w:rsidRPr="00CE7DBC">
        <w:rPr>
          <w:rFonts w:hint="cs"/>
          <w:rtl/>
        </w:rPr>
        <w:t>ו</w:t>
      </w:r>
      <w:r w:rsidRPr="00CE7DBC">
        <w:rPr>
          <w:rFonts w:hint="cs"/>
          <w:rtl/>
        </w:rPr>
        <w:t xml:space="preserve">את שיתוף הפעולה עם </w:t>
      </w:r>
      <w:r w:rsidR="00E8724D" w:rsidRPr="00CE7DBC">
        <w:rPr>
          <w:rFonts w:hint="cs"/>
          <w:rtl/>
        </w:rPr>
        <w:t>הסוכנות</w:t>
      </w:r>
      <w:r w:rsidRPr="00CE7DBC">
        <w:rPr>
          <w:rFonts w:hint="cs"/>
          <w:rtl/>
        </w:rPr>
        <w:t>, בין במישרין ובין בעקיפין</w:t>
      </w:r>
      <w:r w:rsidR="00E8724D" w:rsidRPr="00CE7DBC">
        <w:rPr>
          <w:rFonts w:hint="cs"/>
          <w:rtl/>
        </w:rPr>
        <w:t xml:space="preserve">. </w:t>
      </w:r>
    </w:p>
    <w:p w14:paraId="7F6961CB" w14:textId="77777777" w:rsidR="00E13C27" w:rsidRPr="00ED2E40" w:rsidRDefault="00E13C27" w:rsidP="00662A50">
      <w:pPr>
        <w:pStyle w:val="Hesber"/>
        <w:spacing w:line="240" w:lineRule="auto"/>
        <w:rPr>
          <w:rtl/>
        </w:rPr>
      </w:pPr>
    </w:p>
    <w:p w14:paraId="75EDC52F" w14:textId="77777777" w:rsidR="008427E7" w:rsidRDefault="00662A50" w:rsidP="00662A50">
      <w:pPr>
        <w:spacing w:line="240" w:lineRule="auto"/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3DB283B3" w14:textId="77777777" w:rsidR="008427E7" w:rsidRDefault="00662A50" w:rsidP="00662A50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04734BF6" w14:textId="77777777" w:rsidR="008427E7" w:rsidRDefault="00662A50" w:rsidP="00662A50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7D7112DE" w14:textId="5D6283B7" w:rsidR="008427E7" w:rsidRDefault="00662A50" w:rsidP="00662A50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 xml:space="preserve">י' באדר א' </w:t>
      </w:r>
      <w:proofErr w:type="spellStart"/>
      <w:r>
        <w:rPr>
          <w:rFonts w:eastAsia="David" w:hint="cs"/>
          <w:sz w:val="26"/>
          <w:szCs w:val="26"/>
          <w:rtl/>
        </w:rPr>
        <w:t>התשפ"ד</w:t>
      </w:r>
      <w:proofErr w:type="spellEnd"/>
      <w:r>
        <w:rPr>
          <w:rFonts w:eastAsia="David" w:hint="cs"/>
          <w:sz w:val="26"/>
          <w:szCs w:val="26"/>
          <w:rtl/>
        </w:rPr>
        <w:t xml:space="preserve"> (19.02.2024)</w:t>
      </w:r>
    </w:p>
    <w:sectPr w:rsidR="008427E7" w:rsidSect="00662A50">
      <w:footerReference w:type="even" r:id="rId11"/>
      <w:footerReference w:type="default" r:id="rId12"/>
      <w:pgSz w:w="11907" w:h="16840" w:code="9"/>
      <w:pgMar w:top="1701" w:right="1134" w:bottom="426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615C2FC8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662A50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662A50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44BE7F0" w14:textId="77777777" w:rsidR="00E8724D" w:rsidRDefault="00E8724D" w:rsidP="00E8724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התשע"ו</w:t>
      </w:r>
      <w:proofErr w:type="spellEnd"/>
      <w:r>
        <w:rPr>
          <w:rFonts w:hint="cs"/>
          <w:rtl/>
        </w:rPr>
        <w:t xml:space="preserve">, עמ' 898.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7F5C"/>
    <w:multiLevelType w:val="hybridMultilevel"/>
    <w:tmpl w:val="86B8A632"/>
    <w:lvl w:ilvl="0" w:tplc="DC7E9130">
      <w:start w:val="1"/>
      <w:numFmt w:val="hebrew1"/>
      <w:lvlText w:val="(%1)"/>
      <w:lvlJc w:val="left"/>
      <w:pPr>
        <w:ind w:left="730" w:hanging="3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3"/>
  </w:num>
  <w:num w:numId="16">
    <w:abstractNumId w:val="14"/>
  </w:num>
  <w:num w:numId="17">
    <w:abstractNumId w:val="14"/>
    <w:lvlOverride w:ilvl="0">
      <w:startOverride w:val="1"/>
    </w:lvlOverride>
  </w:num>
  <w:num w:numId="18">
    <w:abstractNumId w:val="1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17E31"/>
    <w:rsid w:val="001207F8"/>
    <w:rsid w:val="00121924"/>
    <w:rsid w:val="001279A8"/>
    <w:rsid w:val="0014195F"/>
    <w:rsid w:val="00152609"/>
    <w:rsid w:val="00153E1B"/>
    <w:rsid w:val="0018220E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57B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0D97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62A5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27E7"/>
    <w:rsid w:val="00843EB2"/>
    <w:rsid w:val="00857E5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465DB"/>
    <w:rsid w:val="00957589"/>
    <w:rsid w:val="00966D06"/>
    <w:rsid w:val="00982412"/>
    <w:rsid w:val="00983A8D"/>
    <w:rsid w:val="009A0DB8"/>
    <w:rsid w:val="009A7257"/>
    <w:rsid w:val="009B40D0"/>
    <w:rsid w:val="009D6E0A"/>
    <w:rsid w:val="009E1E33"/>
    <w:rsid w:val="00A14672"/>
    <w:rsid w:val="00A26BD6"/>
    <w:rsid w:val="00A443CF"/>
    <w:rsid w:val="00A6611D"/>
    <w:rsid w:val="00A775EE"/>
    <w:rsid w:val="00A82CB7"/>
    <w:rsid w:val="00A942C1"/>
    <w:rsid w:val="00AA2F03"/>
    <w:rsid w:val="00AC36F7"/>
    <w:rsid w:val="00AC63A4"/>
    <w:rsid w:val="00AD239E"/>
    <w:rsid w:val="00B0386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188B"/>
    <w:rsid w:val="00C23B1A"/>
    <w:rsid w:val="00C310EB"/>
    <w:rsid w:val="00C9176A"/>
    <w:rsid w:val="00CE7DBC"/>
    <w:rsid w:val="00CF1AA2"/>
    <w:rsid w:val="00D142D3"/>
    <w:rsid w:val="00D17774"/>
    <w:rsid w:val="00D402FE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8724D"/>
    <w:rsid w:val="00EA01E6"/>
    <w:rsid w:val="00EA3DE8"/>
    <w:rsid w:val="00EA758F"/>
    <w:rsid w:val="00ED2E40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6C097F9-2373-4AE8-AF9E-468DC8D7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A50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2A50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662A50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662A50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662A50"/>
    <w:pPr>
      <w:numPr>
        <w:numId w:val="19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62A50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662A50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662A50"/>
    <w:rPr>
      <w:sz w:val="36"/>
      <w:szCs w:val="52"/>
    </w:rPr>
  </w:style>
  <w:style w:type="paragraph" w:customStyle="1" w:styleId="Cover3-Haknesset">
    <w:name w:val="Cover 3-Haknesset"/>
    <w:basedOn w:val="Cover1-Reshumot"/>
    <w:rsid w:val="00662A50"/>
    <w:rPr>
      <w:b/>
      <w:bCs/>
      <w:spacing w:val="60"/>
    </w:rPr>
  </w:style>
  <w:style w:type="paragraph" w:customStyle="1" w:styleId="Cover4-Date">
    <w:name w:val="Cover 4-Date"/>
    <w:basedOn w:val="a"/>
    <w:rsid w:val="00662A5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662A50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662A50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662A50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662A50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662A50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662A50"/>
    <w:pPr>
      <w:outlineLvl w:val="2"/>
    </w:pPr>
  </w:style>
  <w:style w:type="paragraph" w:customStyle="1" w:styleId="TableBlock">
    <w:name w:val="Table Block"/>
    <w:basedOn w:val="TableText"/>
    <w:rsid w:val="00662A50"/>
    <w:pPr>
      <w:jc w:val="both"/>
    </w:pPr>
  </w:style>
  <w:style w:type="paragraph" w:customStyle="1" w:styleId="TableHead">
    <w:name w:val="Table Head"/>
    <w:basedOn w:val="TableText"/>
    <w:rsid w:val="00662A50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662A50"/>
    <w:pPr>
      <w:outlineLvl w:val="9"/>
    </w:pPr>
  </w:style>
  <w:style w:type="paragraph" w:customStyle="1" w:styleId="Hesber">
    <w:name w:val="Hesber"/>
    <w:basedOn w:val="a"/>
    <w:rsid w:val="00662A50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662A50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662A50"/>
    <w:rPr>
      <w:vertAlign w:val="superscript"/>
    </w:rPr>
  </w:style>
  <w:style w:type="paragraph" w:customStyle="1" w:styleId="HesberHeading">
    <w:name w:val="Hesber Heading"/>
    <w:basedOn w:val="Hesber"/>
    <w:rsid w:val="00662A50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662A50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662A50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662A50"/>
    <w:rPr>
      <w:vertAlign w:val="superscript"/>
    </w:rPr>
  </w:style>
  <w:style w:type="paragraph" w:customStyle="1" w:styleId="TableBlockOutdent">
    <w:name w:val="Table BlockOutdent"/>
    <w:basedOn w:val="TableBlock"/>
    <w:rsid w:val="00662A50"/>
    <w:pPr>
      <w:ind w:left="624" w:hanging="624"/>
    </w:pPr>
  </w:style>
  <w:style w:type="paragraph" w:styleId="a7">
    <w:name w:val="header"/>
    <w:basedOn w:val="a"/>
    <w:rsid w:val="00662A50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662A50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662A50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662A50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662A50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662A50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662A50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662A50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662A50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662A50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662A50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662A50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662A50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662A50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662A50"/>
    <w:pPr>
      <w:numPr>
        <w:numId w:val="22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662A50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662A50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662A50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662A50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662A50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662A50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662A50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662A50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662A50"/>
    <w:rPr>
      <w:rFonts w:eastAsia="Times New Roman"/>
    </w:rPr>
  </w:style>
  <w:style w:type="paragraph" w:styleId="ae">
    <w:name w:val="List Paragraph"/>
    <w:basedOn w:val="a"/>
    <w:uiPriority w:val="34"/>
    <w:qFormat/>
    <w:rsid w:val="00662A50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66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662A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662A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662A50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662A50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81EB4D-48CE-4FDD-908A-B39ECAAE9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2364D-A2C1-4F7F-80FD-6398410B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17</cp:revision>
  <cp:lastPrinted>2024-02-18T09:20:00Z</cp:lastPrinted>
  <dcterms:created xsi:type="dcterms:W3CDTF">2015-04-20T09:58:00Z</dcterms:created>
  <dcterms:modified xsi:type="dcterms:W3CDTF">2024-02-18T09:20:00Z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2214645</vt:r8>
  </property>
</Properties>
</file>