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2214518</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דן אילוז</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158D80DB" w:rsidR="00E13C27" w:rsidRPr="00E06736" w:rsidRDefault="00904591" w:rsidP="00904591">
      <w:pPr>
        <w:pStyle w:val="David"/>
        <w:spacing w:line="240" w:lineRule="auto"/>
        <w:ind w:left="3544"/>
        <w:rPr>
          <w:rtl/>
        </w:rPr>
      </w:pPr>
      <w:r>
        <w:t xml:space="preserve">                                            </w:t>
      </w:r>
      <w:r w:rsidR="008F1308">
        <w:t xml:space="preserve"> </w:t>
      </w:r>
      <w:bookmarkStart w:id="6" w:name="Private_Number"/>
      <w:r w:rsidR="0073468B">
        <w:rPr>
          <w:rtl/>
        </w:rPr>
        <w:tab/>
      </w:r>
      <w:r>
        <w:rPr>
          <w:rFonts w:hint="cs"/>
          <w:rtl/>
        </w:rPr>
        <w:t>פ/4333/25</w:t>
      </w:r>
      <w:bookmarkEnd w:id="6"/>
    </w:p>
    <w:p w14:paraId="7F6961AC" w14:textId="77777777" w:rsidR="00E13C27" w:rsidRDefault="00E13C27" w:rsidP="00E13C27">
      <w:pPr>
        <w:ind w:left="2880" w:firstLine="720"/>
        <w:rPr>
          <w:sz w:val="26"/>
          <w:szCs w:val="26"/>
          <w:rtl/>
        </w:rPr>
      </w:pPr>
    </w:p>
    <w:p w14:paraId="7F6961AD" w14:textId="1B499376" w:rsidR="00E13C27" w:rsidRPr="00F67051" w:rsidRDefault="00A443CF" w:rsidP="00892DAC">
      <w:pPr>
        <w:pStyle w:val="HeadHatzaotHok"/>
        <w:rPr>
          <w:rtl/>
        </w:rPr>
      </w:pPr>
      <w:bookmarkStart w:id="7" w:name="LGS_Subject"/>
      <w:r>
        <w:rPr>
          <w:rFonts w:hint="cs"/>
          <w:rtl/>
        </w:rPr>
        <w:t>הצעת חוק לתיקון פקודת החסינות וזכויות-היתר של האומות המאוחדות (ביטול החסינויות וזכויות-היתר של סוכנות הסעד והתעסוקה של האו"ם לפליטי פלסטין במזרח הקרוב (אונר"א)), התשפ"ד</w:t>
      </w:r>
      <w:r w:rsidR="00892DAC">
        <w:rPr>
          <w:rFonts w:hint="eastAsia"/>
          <w:rtl/>
        </w:rPr>
        <w:t>–</w:t>
      </w:r>
      <w:bookmarkStart w:id="8" w:name="_GoBack"/>
      <w:bookmarkEnd w:id="8"/>
      <w:r>
        <w:rPr>
          <w:rFonts w:hint="cs"/>
          <w:rtl/>
        </w:rPr>
        <w:t>2024</w:t>
      </w:r>
      <w:bookmarkEnd w:id="7"/>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4647"/>
      </w:tblGrid>
      <w:tr w:rsidR="002F1D80" w14:paraId="3D9B61D1" w14:textId="77777777" w:rsidTr="00B100F5">
        <w:trPr>
          <w:cantSplit/>
        </w:trPr>
        <w:tc>
          <w:tcPr>
            <w:tcW w:w="1871" w:type="dxa"/>
          </w:tcPr>
          <w:p w14:paraId="6C0CB9D8" w14:textId="72FA6647" w:rsidR="002F1D80" w:rsidRPr="00DB01A2" w:rsidRDefault="00DB01A2" w:rsidP="00C009BB">
            <w:pPr>
              <w:pStyle w:val="TableSideHeading"/>
              <w:keepLines w:val="0"/>
            </w:pPr>
            <w:r>
              <w:rPr>
                <w:rFonts w:hint="cs"/>
                <w:rtl/>
              </w:rPr>
              <w:t>הוספת סעיף 6</w:t>
            </w:r>
          </w:p>
        </w:tc>
        <w:tc>
          <w:tcPr>
            <w:tcW w:w="624" w:type="dxa"/>
          </w:tcPr>
          <w:p w14:paraId="3F4286A2" w14:textId="6595019C" w:rsidR="002F1D80" w:rsidRDefault="00DB01A2" w:rsidP="002C3041">
            <w:pPr>
              <w:pStyle w:val="TableText"/>
              <w:keepLines w:val="0"/>
            </w:pPr>
            <w:r>
              <w:rPr>
                <w:rFonts w:hint="cs"/>
                <w:rtl/>
              </w:rPr>
              <w:t>1.</w:t>
            </w:r>
          </w:p>
        </w:tc>
        <w:tc>
          <w:tcPr>
            <w:tcW w:w="7143" w:type="dxa"/>
            <w:gridSpan w:val="5"/>
          </w:tcPr>
          <w:p w14:paraId="7633D5BB" w14:textId="0307C295" w:rsidR="002F1D80" w:rsidRPr="00C34DE2" w:rsidRDefault="00DB01A2" w:rsidP="00B100F5">
            <w:pPr>
              <w:pStyle w:val="TableBlock"/>
            </w:pPr>
            <w:r>
              <w:rPr>
                <w:rFonts w:hint="cs"/>
                <w:rtl/>
              </w:rPr>
              <w:t>בפקודת החסינויות וזכויות</w:t>
            </w:r>
            <w:r w:rsidR="00B100F5">
              <w:rPr>
                <w:rFonts w:hint="cs"/>
                <w:rtl/>
              </w:rPr>
              <w:t>-</w:t>
            </w:r>
            <w:r>
              <w:rPr>
                <w:rFonts w:hint="cs"/>
                <w:rtl/>
              </w:rPr>
              <w:t>היתר של האומות המאוחדות</w:t>
            </w:r>
            <w:r w:rsidR="00BF1287" w:rsidRPr="00B100F5">
              <w:rPr>
                <w:rStyle w:val="a5"/>
                <w:rFonts w:ascii="David" w:hAnsi="David"/>
                <w:sz w:val="26"/>
                <w:rtl/>
              </w:rPr>
              <w:footnoteReference w:id="2"/>
            </w:r>
            <w:r>
              <w:rPr>
                <w:rFonts w:hint="cs"/>
                <w:rtl/>
              </w:rPr>
              <w:t>, אחרי סעיף 5 יבוא:</w:t>
            </w:r>
          </w:p>
        </w:tc>
      </w:tr>
      <w:tr w:rsidR="004B58E7" w14:paraId="4D12FB3E" w14:textId="77777777" w:rsidTr="00B100F5">
        <w:trPr>
          <w:cantSplit/>
        </w:trPr>
        <w:tc>
          <w:tcPr>
            <w:tcW w:w="1871" w:type="dxa"/>
          </w:tcPr>
          <w:p w14:paraId="11C385C6" w14:textId="77777777" w:rsidR="004B58E7" w:rsidRDefault="004B58E7">
            <w:pPr>
              <w:pStyle w:val="TableSideHeading"/>
              <w:keepLines w:val="0"/>
            </w:pPr>
          </w:p>
        </w:tc>
        <w:tc>
          <w:tcPr>
            <w:tcW w:w="624" w:type="dxa"/>
          </w:tcPr>
          <w:p w14:paraId="14EFB80D" w14:textId="77777777" w:rsidR="004B58E7" w:rsidRDefault="004B58E7">
            <w:pPr>
              <w:pStyle w:val="TableText"/>
              <w:keepLines w:val="0"/>
            </w:pPr>
          </w:p>
        </w:tc>
        <w:tc>
          <w:tcPr>
            <w:tcW w:w="1872" w:type="dxa"/>
            <w:gridSpan w:val="3"/>
          </w:tcPr>
          <w:p w14:paraId="4B748A43" w14:textId="0B2D8CEA" w:rsidR="004B58E7" w:rsidRDefault="004B58E7">
            <w:pPr>
              <w:pStyle w:val="TableInnerSideHeading"/>
            </w:pPr>
            <w:r>
              <w:rPr>
                <w:rFonts w:hint="cs"/>
                <w:rtl/>
              </w:rPr>
              <w:t xml:space="preserve">"היעדר תחולה על </w:t>
            </w:r>
            <w:r w:rsidRPr="00C8217C">
              <w:rPr>
                <w:rFonts w:hint="cs"/>
                <w:rtl/>
              </w:rPr>
              <w:t>סוכנות הסעד והתעסוקה של האו"ם לפליטי פלסטין במזרח הקרוב</w:t>
            </w:r>
          </w:p>
        </w:tc>
        <w:tc>
          <w:tcPr>
            <w:tcW w:w="624" w:type="dxa"/>
          </w:tcPr>
          <w:p w14:paraId="50E90761" w14:textId="2EE72466" w:rsidR="004B58E7" w:rsidRDefault="004B58E7">
            <w:pPr>
              <w:pStyle w:val="TableText"/>
            </w:pPr>
            <w:r>
              <w:rPr>
                <w:rFonts w:hint="cs"/>
                <w:rtl/>
              </w:rPr>
              <w:t>6.</w:t>
            </w:r>
          </w:p>
        </w:tc>
        <w:tc>
          <w:tcPr>
            <w:tcW w:w="4647" w:type="dxa"/>
          </w:tcPr>
          <w:p w14:paraId="16CCE251" w14:textId="4937263B" w:rsidR="004B58E7" w:rsidRDefault="004B58E7" w:rsidP="00B100F5">
            <w:pPr>
              <w:pStyle w:val="TableBlock"/>
            </w:pPr>
            <w:r>
              <w:rPr>
                <w:rFonts w:hint="cs"/>
                <w:rtl/>
              </w:rPr>
              <w:t>(א)</w:t>
            </w:r>
            <w:r>
              <w:rPr>
                <w:rtl/>
              </w:rPr>
              <w:tab/>
            </w:r>
            <w:r>
              <w:rPr>
                <w:rFonts w:hint="cs"/>
                <w:rtl/>
              </w:rPr>
              <w:t xml:space="preserve">הוראות פקודה זו לא יחולו </w:t>
            </w:r>
            <w:r w:rsidRPr="00C8217C">
              <w:rPr>
                <w:rFonts w:hint="cs"/>
                <w:rtl/>
              </w:rPr>
              <w:t>על סוכנות הסעד והתעסוקה של האו"ם לפליטי פלסטין במזרח הקרוב (אונר"א)</w:t>
            </w:r>
            <w:r>
              <w:rPr>
                <w:rFonts w:hint="cs"/>
                <w:rtl/>
              </w:rPr>
              <w:t xml:space="preserve"> (להלן </w:t>
            </w:r>
            <w:r>
              <w:rPr>
                <w:rtl/>
              </w:rPr>
              <w:t>–</w:t>
            </w:r>
            <w:r>
              <w:rPr>
                <w:rFonts w:hint="cs"/>
                <w:rtl/>
              </w:rPr>
              <w:t xml:space="preserve"> אונר"א)</w:t>
            </w:r>
            <w:r w:rsidRPr="00C8217C">
              <w:rPr>
                <w:rFonts w:hint="cs"/>
                <w:rtl/>
              </w:rPr>
              <w:t>,</w:t>
            </w:r>
            <w:r>
              <w:rPr>
                <w:rFonts w:hint="cs"/>
                <w:rtl/>
              </w:rPr>
              <w:t xml:space="preserve"> על פקידיה, בני-אדם המועסקים מטעמה או על נכסיה. </w:t>
            </w:r>
            <w:r>
              <w:rPr>
                <w:rtl/>
              </w:rPr>
              <w:t xml:space="preserve"> </w:t>
            </w:r>
          </w:p>
        </w:tc>
      </w:tr>
      <w:tr w:rsidR="004B58E7" w14:paraId="3A081169" w14:textId="77777777" w:rsidTr="00B100F5">
        <w:trPr>
          <w:cantSplit/>
        </w:trPr>
        <w:tc>
          <w:tcPr>
            <w:tcW w:w="1871" w:type="dxa"/>
          </w:tcPr>
          <w:p w14:paraId="63C271C9" w14:textId="77777777" w:rsidR="004B58E7" w:rsidRDefault="004B58E7">
            <w:pPr>
              <w:pStyle w:val="TableSideHeading"/>
            </w:pPr>
          </w:p>
        </w:tc>
        <w:tc>
          <w:tcPr>
            <w:tcW w:w="624" w:type="dxa"/>
          </w:tcPr>
          <w:p w14:paraId="35942062" w14:textId="77777777" w:rsidR="004B58E7" w:rsidRDefault="004B58E7">
            <w:pPr>
              <w:pStyle w:val="TableText"/>
            </w:pPr>
          </w:p>
        </w:tc>
        <w:tc>
          <w:tcPr>
            <w:tcW w:w="624" w:type="dxa"/>
          </w:tcPr>
          <w:p w14:paraId="0EAB2CD1" w14:textId="77777777" w:rsidR="004B58E7" w:rsidRDefault="004B58E7">
            <w:pPr>
              <w:pStyle w:val="TableText"/>
            </w:pPr>
          </w:p>
        </w:tc>
        <w:tc>
          <w:tcPr>
            <w:tcW w:w="624" w:type="dxa"/>
          </w:tcPr>
          <w:p w14:paraId="57E2FFE7" w14:textId="77777777" w:rsidR="004B58E7" w:rsidRDefault="004B58E7">
            <w:pPr>
              <w:pStyle w:val="TableText"/>
            </w:pPr>
          </w:p>
        </w:tc>
        <w:tc>
          <w:tcPr>
            <w:tcW w:w="624" w:type="dxa"/>
          </w:tcPr>
          <w:p w14:paraId="3A8020AD" w14:textId="77777777" w:rsidR="004B58E7" w:rsidRDefault="004B58E7">
            <w:pPr>
              <w:pStyle w:val="TableText"/>
            </w:pPr>
          </w:p>
        </w:tc>
        <w:tc>
          <w:tcPr>
            <w:tcW w:w="624" w:type="dxa"/>
          </w:tcPr>
          <w:p w14:paraId="60726BEE" w14:textId="77777777" w:rsidR="004B58E7" w:rsidRDefault="004B58E7">
            <w:pPr>
              <w:pStyle w:val="TableText"/>
            </w:pPr>
          </w:p>
        </w:tc>
        <w:tc>
          <w:tcPr>
            <w:tcW w:w="4647" w:type="dxa"/>
          </w:tcPr>
          <w:p w14:paraId="20A3768F" w14:textId="76CCA969" w:rsidR="004B58E7" w:rsidRDefault="004B58E7" w:rsidP="00B100F5">
            <w:pPr>
              <w:pStyle w:val="TableBlock"/>
            </w:pPr>
            <w:r>
              <w:rPr>
                <w:rFonts w:hint="cs"/>
                <w:rtl/>
              </w:rPr>
              <w:t>(ב)</w:t>
            </w:r>
            <w:r>
              <w:rPr>
                <w:rtl/>
              </w:rPr>
              <w:tab/>
            </w:r>
            <w:r>
              <w:rPr>
                <w:rFonts w:hint="cs"/>
                <w:rtl/>
              </w:rPr>
              <w:t>שר החוץ יקבע בצו את ביטול החסינות של אונר"א, לפי הוראות סעיף קטן (א), בתוך</w:t>
            </w:r>
            <w:r w:rsidR="00B100F5">
              <w:rPr>
                <w:rFonts w:hint="cs"/>
                <w:rtl/>
              </w:rPr>
              <w:t xml:space="preserve"> 30 יום מיום פרסומו של חוק זה."</w:t>
            </w:r>
          </w:p>
        </w:tc>
      </w:tr>
    </w:tbl>
    <w:p w14:paraId="7F6961CA" w14:textId="3D47AA00" w:rsidR="002D1EE3" w:rsidRDefault="002D1EE3" w:rsidP="002D1EE3">
      <w:pPr>
        <w:pStyle w:val="HeadDivreiHesber"/>
        <w:rPr>
          <w:rtl/>
        </w:rPr>
      </w:pPr>
      <w:r w:rsidRPr="0027450A">
        <w:rPr>
          <w:rFonts w:hint="cs"/>
          <w:rtl/>
        </w:rPr>
        <w:t>דברי הסבר</w:t>
      </w:r>
    </w:p>
    <w:p w14:paraId="6914B323" w14:textId="77777777" w:rsidR="004B58E7" w:rsidRPr="00803E9E" w:rsidRDefault="004B58E7" w:rsidP="004B58E7">
      <w:pPr>
        <w:pStyle w:val="Hesber"/>
        <w:rPr>
          <w:rtl/>
        </w:rPr>
      </w:pPr>
      <w:r w:rsidRPr="00803E9E">
        <w:rPr>
          <w:rFonts w:hint="cs"/>
          <w:rtl/>
        </w:rPr>
        <w:t>פקודת החסינויות וזכויות-היתר של האומות המאוחדות, 1947</w:t>
      </w:r>
      <w:r>
        <w:rPr>
          <w:rFonts w:hint="cs"/>
          <w:rtl/>
        </w:rPr>
        <w:t xml:space="preserve">, </w:t>
      </w:r>
      <w:r w:rsidRPr="00803E9E">
        <w:rPr>
          <w:rFonts w:hint="cs"/>
          <w:rtl/>
        </w:rPr>
        <w:t>מסמיכה את שר החוץ להתקין בצו שארגון האומות המאוחדות ופקידיו ייהנו מהחסינויות וזכויות-היתר הרשומות בתוספות לפקודה. בין החיסונויות וזכויות-היתר: חסינות בפני תביעה לדין; חסינות ארכיונים רשמיים ומשרדים; פטור או הנחה ממסים וארנונות; פטור מאיסורים על יבוא או יצוא; פטור ממס הכנסה ועוד.</w:t>
      </w:r>
    </w:p>
    <w:p w14:paraId="5A294312" w14:textId="77777777" w:rsidR="004B58E7" w:rsidRPr="00803E9E" w:rsidRDefault="004B58E7" w:rsidP="004B58E7">
      <w:pPr>
        <w:pStyle w:val="Hesber"/>
        <w:rPr>
          <w:rtl/>
        </w:rPr>
      </w:pPr>
      <w:r w:rsidRPr="00803E9E">
        <w:rPr>
          <w:rFonts w:hint="cs"/>
          <w:rtl/>
        </w:rPr>
        <w:t xml:space="preserve">בחודשים האחרונים, בעקבות אירועי הטבח של יום כ"ב בתשרי התשפ"ד (7 באוקטובר 2023), כניסת כוחות צה"ל לרצועת עזה והשתלטות על מסמכים רבים מבסיסי חמאס ומשרדי אונר"א, התגלה כי עובדי אונר"א רבים שיתפו פעולה על ארגון הטרור חמאס ועם הרוצחים והטרוריסטים שפלשו ליישובי </w:t>
      </w:r>
      <w:r w:rsidRPr="00803E9E">
        <w:rPr>
          <w:rFonts w:hint="cs"/>
          <w:rtl/>
        </w:rPr>
        <w:lastRenderedPageBreak/>
        <w:t>עוטף עזה בשביעי באוקטובר. לפי הערכות שפורסמו ביום 29 בינואר 2024 בעיתון וול-סטריט ג'ורנל, אחד מכל עשרה עובדי אונר"א קשור לחמאס ולג'יהאד האיסלאמי, סך הכל כ-1,200 עובדים.</w:t>
      </w:r>
    </w:p>
    <w:p w14:paraId="7BFEDEF4" w14:textId="77777777" w:rsidR="004B58E7" w:rsidRPr="00803E9E" w:rsidRDefault="004B58E7" w:rsidP="004B58E7">
      <w:pPr>
        <w:pStyle w:val="Hesber"/>
        <w:rPr>
          <w:rtl/>
        </w:rPr>
      </w:pPr>
      <w:r w:rsidRPr="00803E9E">
        <w:rPr>
          <w:rFonts w:hint="cs"/>
          <w:rtl/>
        </w:rPr>
        <w:t xml:space="preserve">בנוסף, לא ניתן להתעלם מהתרומה השלילית העצומה של אונר"א על יחסה של החברה ברצועת עזה והחברה הפלסטינית בכלל כלפי ישראל בשל ההסתה המתמשכת והתמיכה בטרור שמשתקפים בחומרי הלימוד בבתי הספר של הסוכנות. מאות אלפי ילדים תושבי רצועת עזה התחנכו בבתי הספר של אונר"א על שנאת ישראל ופיאור מחבלים ומעשי טרור. </w:t>
      </w:r>
    </w:p>
    <w:p w14:paraId="7BBC3989" w14:textId="77777777" w:rsidR="004B58E7" w:rsidRPr="00803E9E" w:rsidRDefault="004B58E7" w:rsidP="004B58E7">
      <w:pPr>
        <w:pStyle w:val="Hesber"/>
        <w:rPr>
          <w:rtl/>
        </w:rPr>
      </w:pPr>
      <w:r w:rsidRPr="00803E9E">
        <w:rPr>
          <w:rFonts w:hint="cs"/>
          <w:rtl/>
        </w:rPr>
        <w:t>נוכח תרומתה של אונר"א ושל עובדיה למעשי הרצח של השביעי באוקטובר ותמיכת מערכת החינוך של הסוכנות בטרור ושנאה, אין כל מקום לתן לסוכנות ולעובדיה את אותן זכויות-היתר והחסינויות להן זכאים לפי פקודה זו ארגון האומות המאוחדות ועובדיו.</w:t>
      </w:r>
    </w:p>
    <w:p w14:paraId="7EF8498E" w14:textId="77777777" w:rsidR="004B58E7" w:rsidRDefault="004B58E7" w:rsidP="004B58E7">
      <w:pPr>
        <w:pStyle w:val="Hesber"/>
        <w:rPr>
          <w:rtl/>
        </w:rPr>
      </w:pPr>
      <w:r w:rsidRPr="00803E9E">
        <w:rPr>
          <w:rFonts w:hint="cs"/>
          <w:rtl/>
        </w:rPr>
        <w:t>לפיכך, מוצע להחריג מתחולת פקודה זו את סוכנות אונר"א, את עובדיה, נכסיה וכל מי שפועל מטעמה, וכן להורות לשר החוץ לקבוע בצו מכוח פקודה זו שהוראות הפקודה לא יחולו על הסוכנות כאמור.</w:t>
      </w:r>
    </w:p>
    <w:p w14:paraId="162AD87B" w14:textId="6F5BEDA4" w:rsidR="004B58E7" w:rsidRDefault="004B58E7" w:rsidP="004B58E7">
      <w:pPr>
        <w:pStyle w:val="Hesber"/>
        <w:rPr>
          <w:rtl/>
        </w:rPr>
      </w:pPr>
      <w:r>
        <w:rPr>
          <w:rFonts w:hint="cs"/>
          <w:rtl/>
        </w:rPr>
        <w:t xml:space="preserve">הצעת חוק זהה הונחה על שולחן הכנסת העשרים וחמש על ידי חבר הכנסת רון כץ וקבוצת חברי הכנסת (פ/4323/25). </w:t>
      </w:r>
    </w:p>
    <w:p w14:paraId="34B89926" w14:textId="270757A6" w:rsidR="004B58E7" w:rsidRPr="00803E9E" w:rsidRDefault="004B58E7" w:rsidP="00B100F5">
      <w:pPr>
        <w:pStyle w:val="Hesber"/>
        <w:rPr>
          <w:rtl/>
        </w:rPr>
      </w:pPr>
      <w:r>
        <w:rPr>
          <w:rFonts w:hint="cs"/>
          <w:rtl/>
        </w:rPr>
        <w:t xml:space="preserve">הצעת החוק זהה לפ/4323/25 ולפיכך לא נבדקה מחדש על ידי הלשכה המשפטית של הכנסת. </w:t>
      </w:r>
    </w:p>
    <w:p w14:paraId="74BA92F8" w14:textId="286941F9" w:rsidR="005A095F" w:rsidRDefault="005A095F" w:rsidP="004B58E7">
      <w:pPr>
        <w:pStyle w:val="Hesber"/>
        <w:rPr>
          <w:rtl/>
        </w:rPr>
      </w:pPr>
    </w:p>
    <w:p w14:paraId="7C6038AC" w14:textId="77777777" w:rsidR="00E12262" w:rsidRDefault="00B100F5">
      <w:pPr>
        <w:jc w:val="left"/>
      </w:pPr>
      <w:bookmarkStart w:id="9" w:name="selectedDocDateB"/>
      <w:bookmarkEnd w:id="9"/>
      <w:r>
        <w:rPr>
          <w:rFonts w:eastAsia="David" w:hint="cs"/>
          <w:sz w:val="26"/>
          <w:szCs w:val="26"/>
          <w:rtl/>
        </w:rPr>
        <w:t>--------------------------------</w:t>
      </w:r>
    </w:p>
    <w:p w14:paraId="126B072A" w14:textId="77777777" w:rsidR="00E12262" w:rsidRDefault="00B100F5">
      <w:pPr>
        <w:jc w:val="left"/>
      </w:pPr>
      <w:r>
        <w:rPr>
          <w:rFonts w:eastAsia="David" w:hint="cs"/>
          <w:sz w:val="26"/>
          <w:szCs w:val="26"/>
          <w:rtl/>
        </w:rPr>
        <w:t>הוגשה ליו"ר הכנסת והסגנים</w:t>
      </w:r>
    </w:p>
    <w:p w14:paraId="2EFE804B" w14:textId="77777777" w:rsidR="00E12262" w:rsidRDefault="00B100F5">
      <w:pPr>
        <w:jc w:val="left"/>
      </w:pPr>
      <w:r>
        <w:rPr>
          <w:rFonts w:eastAsia="David" w:hint="cs"/>
          <w:sz w:val="26"/>
          <w:szCs w:val="26"/>
          <w:rtl/>
        </w:rPr>
        <w:t>והונחה על שולחן הכנסת ביום</w:t>
      </w:r>
    </w:p>
    <w:p w14:paraId="748C9343" w14:textId="77777777" w:rsidR="00E12262" w:rsidRDefault="00B100F5">
      <w:pPr>
        <w:jc w:val="left"/>
      </w:pPr>
      <w:r>
        <w:rPr>
          <w:rFonts w:eastAsia="David" w:hint="cs"/>
          <w:sz w:val="26"/>
          <w:szCs w:val="26"/>
          <w:rtl/>
        </w:rPr>
        <w:t xml:space="preserve">י' באדר א' התשפ"ד (19.02.2024) </w:t>
      </w:r>
    </w:p>
    <w:p w14:paraId="31289170" w14:textId="77777777" w:rsidR="00E12262" w:rsidRDefault="00E12262">
      <w:pPr>
        <w:spacing w:line="276" w:lineRule="auto"/>
        <w:jc w:val="left"/>
      </w:pPr>
    </w:p>
    <w:sectPr w:rsidR="00E12262" w:rsidSect="00B100F5">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9D4353E"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892DAC">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B100F5">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4CA7726" w14:textId="3D28C802" w:rsidR="00BF1287" w:rsidRDefault="00BF1287">
      <w:pPr>
        <w:pStyle w:val="a4"/>
      </w:pPr>
      <w:r>
        <w:rPr>
          <w:rStyle w:val="a5"/>
        </w:rPr>
        <w:footnoteRef/>
      </w:r>
      <w:r>
        <w:rPr>
          <w:rtl/>
        </w:rPr>
        <w:t xml:space="preserve"> </w:t>
      </w:r>
      <w:r>
        <w:rPr>
          <w:rFonts w:hint="cs"/>
          <w:rtl/>
        </w:rPr>
        <w:t>ע"ר 1947, עמ' (ע) 135, (א) 164.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376BD6"/>
    <w:multiLevelType w:val="hybridMultilevel"/>
    <w:tmpl w:val="06A0950A"/>
    <w:lvl w:ilvl="0" w:tplc="69741DC8">
      <w:start w:val="1"/>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1"/>
  </w:num>
  <w:num w:numId="14">
    <w:abstractNumId w:val="17"/>
  </w:num>
  <w:num w:numId="15">
    <w:abstractNumId w:val="13"/>
  </w:num>
  <w:num w:numId="16">
    <w:abstractNumId w:val="14"/>
  </w:num>
  <w:num w:numId="17">
    <w:abstractNumId w:val="14"/>
    <w:lvlOverride w:ilvl="0">
      <w:startOverride w:val="1"/>
    </w:lvlOverride>
  </w:num>
  <w:num w:numId="18">
    <w:abstractNumId w:val="1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A7C64"/>
    <w:rsid w:val="001C23B0"/>
    <w:rsid w:val="001C76F4"/>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58E7"/>
    <w:rsid w:val="004B6625"/>
    <w:rsid w:val="004D2D82"/>
    <w:rsid w:val="004D3876"/>
    <w:rsid w:val="004E4552"/>
    <w:rsid w:val="004E6CDF"/>
    <w:rsid w:val="00545EBB"/>
    <w:rsid w:val="00553C9D"/>
    <w:rsid w:val="00562A66"/>
    <w:rsid w:val="005A095F"/>
    <w:rsid w:val="005B064E"/>
    <w:rsid w:val="005D51AE"/>
    <w:rsid w:val="0062674B"/>
    <w:rsid w:val="006363B2"/>
    <w:rsid w:val="00644940"/>
    <w:rsid w:val="006818A9"/>
    <w:rsid w:val="006A2D81"/>
    <w:rsid w:val="006C1D0D"/>
    <w:rsid w:val="0070601E"/>
    <w:rsid w:val="00712C72"/>
    <w:rsid w:val="0073468B"/>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2DAC"/>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0F5"/>
    <w:rsid w:val="00B10265"/>
    <w:rsid w:val="00B16A99"/>
    <w:rsid w:val="00B21211"/>
    <w:rsid w:val="00B35784"/>
    <w:rsid w:val="00B733A7"/>
    <w:rsid w:val="00B75C91"/>
    <w:rsid w:val="00B975AD"/>
    <w:rsid w:val="00BC45FB"/>
    <w:rsid w:val="00BF1287"/>
    <w:rsid w:val="00BF148D"/>
    <w:rsid w:val="00C009BB"/>
    <w:rsid w:val="00C23B1A"/>
    <w:rsid w:val="00C310EB"/>
    <w:rsid w:val="00C9176A"/>
    <w:rsid w:val="00CF1AA2"/>
    <w:rsid w:val="00D142D3"/>
    <w:rsid w:val="00D17774"/>
    <w:rsid w:val="00D63620"/>
    <w:rsid w:val="00D8410D"/>
    <w:rsid w:val="00D867D7"/>
    <w:rsid w:val="00DB01A2"/>
    <w:rsid w:val="00DB7060"/>
    <w:rsid w:val="00DE3153"/>
    <w:rsid w:val="00E06736"/>
    <w:rsid w:val="00E12262"/>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86650ABC-D60A-459E-A440-E1A37FAF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0F5"/>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B100F5"/>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B100F5"/>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B100F5"/>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B100F5"/>
    <w:pPr>
      <w:numPr>
        <w:numId w:val="19"/>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B100F5"/>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100F5"/>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B100F5"/>
    <w:rPr>
      <w:sz w:val="36"/>
      <w:szCs w:val="52"/>
    </w:rPr>
  </w:style>
  <w:style w:type="paragraph" w:customStyle="1" w:styleId="Cover3-Haknesset">
    <w:name w:val="Cover 3-Haknesset"/>
    <w:basedOn w:val="Cover1-Reshumot"/>
    <w:rsid w:val="00B100F5"/>
    <w:rPr>
      <w:b/>
      <w:bCs/>
      <w:spacing w:val="60"/>
    </w:rPr>
  </w:style>
  <w:style w:type="paragraph" w:customStyle="1" w:styleId="Cover4-Date">
    <w:name w:val="Cover 4-Date"/>
    <w:basedOn w:val="a"/>
    <w:rsid w:val="00B100F5"/>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100F5"/>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B100F5"/>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B100F5"/>
    <w:pPr>
      <w:spacing w:before="120" w:after="120"/>
    </w:pPr>
    <w:rPr>
      <w:color w:val="FF0000"/>
      <w:w w:val="80"/>
    </w:rPr>
  </w:style>
  <w:style w:type="paragraph" w:styleId="a3">
    <w:name w:val="endnote text"/>
    <w:basedOn w:val="a"/>
    <w:semiHidden/>
    <w:rsid w:val="00B100F5"/>
    <w:pPr>
      <w:ind w:left="227" w:hanging="227"/>
    </w:pPr>
    <w:rPr>
      <w:sz w:val="14"/>
      <w:szCs w:val="22"/>
    </w:rPr>
  </w:style>
  <w:style w:type="paragraph" w:customStyle="1" w:styleId="TableText">
    <w:name w:val="Table Text"/>
    <w:basedOn w:val="a"/>
    <w:rsid w:val="00B100F5"/>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B100F5"/>
    <w:pPr>
      <w:outlineLvl w:val="2"/>
    </w:pPr>
  </w:style>
  <w:style w:type="paragraph" w:customStyle="1" w:styleId="TableBlock">
    <w:name w:val="Table Block"/>
    <w:basedOn w:val="TableText"/>
    <w:rsid w:val="00B100F5"/>
    <w:pPr>
      <w:jc w:val="both"/>
    </w:pPr>
  </w:style>
  <w:style w:type="paragraph" w:customStyle="1" w:styleId="TableHead">
    <w:name w:val="Table Head"/>
    <w:basedOn w:val="TableText"/>
    <w:rsid w:val="00B100F5"/>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100F5"/>
    <w:pPr>
      <w:outlineLvl w:val="9"/>
    </w:pPr>
  </w:style>
  <w:style w:type="paragraph" w:customStyle="1" w:styleId="Hesber">
    <w:name w:val="Hesber"/>
    <w:basedOn w:val="a"/>
    <w:rsid w:val="00B100F5"/>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B100F5"/>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B100F5"/>
    <w:rPr>
      <w:vertAlign w:val="superscript"/>
    </w:rPr>
  </w:style>
  <w:style w:type="paragraph" w:customStyle="1" w:styleId="HesberHeading">
    <w:name w:val="Hesber Heading"/>
    <w:basedOn w:val="Hesber"/>
    <w:rsid w:val="00B100F5"/>
    <w:pPr>
      <w:tabs>
        <w:tab w:val="left" w:pos="624"/>
        <w:tab w:val="left" w:pos="1247"/>
      </w:tabs>
    </w:pPr>
    <w:rPr>
      <w:b/>
      <w:bCs/>
    </w:rPr>
  </w:style>
  <w:style w:type="paragraph" w:customStyle="1" w:styleId="HesberWriters">
    <w:name w:val="Hesber Writers"/>
    <w:basedOn w:val="Hesber"/>
    <w:rsid w:val="00B100F5"/>
    <w:pPr>
      <w:spacing w:before="120" w:after="120"/>
      <w:ind w:left="1418"/>
      <w:jc w:val="right"/>
    </w:pPr>
    <w:rPr>
      <w:b/>
      <w:bCs/>
    </w:rPr>
  </w:style>
  <w:style w:type="paragraph" w:customStyle="1" w:styleId="Hesber1st">
    <w:name w:val="Hesber 1st"/>
    <w:basedOn w:val="Hesber"/>
    <w:rsid w:val="00B100F5"/>
    <w:pPr>
      <w:tabs>
        <w:tab w:val="left" w:pos="680"/>
        <w:tab w:val="left" w:pos="1020"/>
      </w:tabs>
      <w:ind w:firstLine="0"/>
    </w:pPr>
  </w:style>
  <w:style w:type="character" w:styleId="a6">
    <w:name w:val="endnote reference"/>
    <w:basedOn w:val="a0"/>
    <w:semiHidden/>
    <w:rsid w:val="00B100F5"/>
    <w:rPr>
      <w:vertAlign w:val="superscript"/>
    </w:rPr>
  </w:style>
  <w:style w:type="paragraph" w:customStyle="1" w:styleId="TableBlockOutdent">
    <w:name w:val="Table BlockOutdent"/>
    <w:basedOn w:val="TableBlock"/>
    <w:rsid w:val="00B100F5"/>
    <w:pPr>
      <w:ind w:left="624" w:hanging="624"/>
    </w:pPr>
  </w:style>
  <w:style w:type="paragraph" w:styleId="a7">
    <w:name w:val="header"/>
    <w:basedOn w:val="a"/>
    <w:rsid w:val="00B100F5"/>
    <w:pPr>
      <w:tabs>
        <w:tab w:val="center" w:pos="4153"/>
        <w:tab w:val="right" w:pos="8306"/>
      </w:tabs>
    </w:pPr>
  </w:style>
  <w:style w:type="paragraph" w:styleId="a8">
    <w:name w:val="footer"/>
    <w:basedOn w:val="a"/>
    <w:rsid w:val="00B100F5"/>
    <w:pPr>
      <w:tabs>
        <w:tab w:val="center" w:pos="4153"/>
        <w:tab w:val="right" w:pos="8306"/>
      </w:tabs>
    </w:pPr>
  </w:style>
  <w:style w:type="paragraph" w:customStyle="1" w:styleId="HeadDivreiHesber">
    <w:name w:val="Head DivreiHesber"/>
    <w:basedOn w:val="a"/>
    <w:rsid w:val="00B100F5"/>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B100F5"/>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B100F5"/>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B100F5"/>
    <w:rPr>
      <w:rFonts w:asciiTheme="majorHAnsi" w:eastAsiaTheme="majorEastAsia" w:hAnsiTheme="majorHAnsi" w:cs="David"/>
      <w:bCs/>
      <w:sz w:val="32"/>
      <w:szCs w:val="36"/>
    </w:rPr>
  </w:style>
  <w:style w:type="character" w:customStyle="1" w:styleId="20">
    <w:name w:val="כותרת 2 תו"/>
    <w:basedOn w:val="a0"/>
    <w:link w:val="2"/>
    <w:rsid w:val="00B100F5"/>
    <w:rPr>
      <w:rFonts w:asciiTheme="majorHAnsi" w:eastAsiaTheme="majorEastAsia" w:hAnsiTheme="majorHAnsi" w:cs="David"/>
      <w:bCs/>
      <w:sz w:val="26"/>
      <w:szCs w:val="36"/>
      <w:u w:val="single"/>
    </w:rPr>
  </w:style>
  <w:style w:type="character" w:customStyle="1" w:styleId="30">
    <w:name w:val="כותרת 3 תו"/>
    <w:basedOn w:val="a0"/>
    <w:link w:val="3"/>
    <w:rsid w:val="00B100F5"/>
    <w:rPr>
      <w:rFonts w:asciiTheme="majorHAnsi" w:eastAsiaTheme="majorEastAsia" w:hAnsiTheme="majorHAnsi" w:cs="David"/>
      <w:sz w:val="24"/>
      <w:szCs w:val="28"/>
      <w:u w:val="double"/>
    </w:rPr>
  </w:style>
  <w:style w:type="character" w:customStyle="1" w:styleId="40">
    <w:name w:val="כותרת 4 תו"/>
    <w:basedOn w:val="a0"/>
    <w:link w:val="4"/>
    <w:uiPriority w:val="9"/>
    <w:rsid w:val="00B100F5"/>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B100F5"/>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B100F5"/>
    <w:pPr>
      <w:widowControl/>
      <w:spacing w:before="120" w:after="120"/>
      <w:outlineLvl w:val="9"/>
    </w:pPr>
    <w:rPr>
      <w:rtl/>
      <w:cs/>
    </w:rPr>
  </w:style>
  <w:style w:type="paragraph" w:styleId="TOC1">
    <w:name w:val="toc 1"/>
    <w:basedOn w:val="a"/>
    <w:next w:val="a"/>
    <w:autoRedefine/>
    <w:uiPriority w:val="39"/>
    <w:unhideWhenUsed/>
    <w:rsid w:val="00B100F5"/>
    <w:pPr>
      <w:tabs>
        <w:tab w:val="right" w:leader="dot" w:pos="9629"/>
      </w:tabs>
      <w:spacing w:after="100"/>
    </w:pPr>
    <w:rPr>
      <w:bCs/>
      <w:szCs w:val="22"/>
    </w:rPr>
  </w:style>
  <w:style w:type="paragraph" w:styleId="TOC2">
    <w:name w:val="toc 2"/>
    <w:basedOn w:val="a"/>
    <w:next w:val="a"/>
    <w:uiPriority w:val="39"/>
    <w:unhideWhenUsed/>
    <w:rsid w:val="00B100F5"/>
    <w:pPr>
      <w:tabs>
        <w:tab w:val="right" w:leader="dot" w:pos="9628"/>
      </w:tabs>
      <w:spacing w:after="100"/>
    </w:pPr>
    <w:rPr>
      <w:szCs w:val="22"/>
    </w:rPr>
  </w:style>
  <w:style w:type="character" w:styleId="Hyperlink">
    <w:name w:val="Hyperlink"/>
    <w:basedOn w:val="a0"/>
    <w:uiPriority w:val="99"/>
    <w:unhideWhenUsed/>
    <w:rsid w:val="00B100F5"/>
    <w:rPr>
      <w:color w:val="0000FF" w:themeColor="hyperlink"/>
      <w:u w:val="single"/>
    </w:rPr>
  </w:style>
  <w:style w:type="paragraph" w:styleId="TOC3">
    <w:name w:val="toc 3"/>
    <w:basedOn w:val="a"/>
    <w:next w:val="a"/>
    <w:uiPriority w:val="39"/>
    <w:unhideWhenUsed/>
    <w:rsid w:val="00B100F5"/>
    <w:pPr>
      <w:numPr>
        <w:numId w:val="22"/>
      </w:numPr>
      <w:tabs>
        <w:tab w:val="right" w:leader="dot" w:pos="9629"/>
      </w:tabs>
      <w:spacing w:after="100"/>
      <w:ind w:left="811" w:hanging="357"/>
    </w:pPr>
    <w:rPr>
      <w:szCs w:val="22"/>
    </w:rPr>
  </w:style>
  <w:style w:type="paragraph" w:styleId="TOC4">
    <w:name w:val="toc 4"/>
    <w:basedOn w:val="a"/>
    <w:next w:val="a"/>
    <w:autoRedefine/>
    <w:unhideWhenUsed/>
    <w:qFormat/>
    <w:rsid w:val="00B100F5"/>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B100F5"/>
    <w:pPr>
      <w:tabs>
        <w:tab w:val="right" w:leader="dot" w:pos="9628"/>
      </w:tabs>
      <w:spacing w:after="100"/>
      <w:ind w:left="567"/>
    </w:pPr>
    <w:rPr>
      <w:szCs w:val="22"/>
    </w:rPr>
  </w:style>
  <w:style w:type="paragraph" w:styleId="TOC6">
    <w:name w:val="toc 6"/>
    <w:basedOn w:val="a"/>
    <w:next w:val="a"/>
    <w:autoRedefine/>
    <w:semiHidden/>
    <w:unhideWhenUsed/>
    <w:rsid w:val="00B100F5"/>
    <w:pPr>
      <w:spacing w:after="100"/>
      <w:ind w:left="850"/>
    </w:pPr>
  </w:style>
  <w:style w:type="paragraph" w:styleId="TOC7">
    <w:name w:val="toc 7"/>
    <w:basedOn w:val="a"/>
    <w:next w:val="a"/>
    <w:autoRedefine/>
    <w:semiHidden/>
    <w:unhideWhenUsed/>
    <w:rsid w:val="00B100F5"/>
    <w:pPr>
      <w:spacing w:after="100"/>
      <w:ind w:left="1020"/>
    </w:pPr>
  </w:style>
  <w:style w:type="paragraph" w:styleId="TOC8">
    <w:name w:val="toc 8"/>
    <w:basedOn w:val="a"/>
    <w:next w:val="a"/>
    <w:autoRedefine/>
    <w:semiHidden/>
    <w:unhideWhenUsed/>
    <w:rsid w:val="00B100F5"/>
    <w:pPr>
      <w:spacing w:after="100"/>
      <w:ind w:left="1190"/>
    </w:pPr>
  </w:style>
  <w:style w:type="paragraph" w:styleId="TOC9">
    <w:name w:val="toc 9"/>
    <w:basedOn w:val="a"/>
    <w:next w:val="a"/>
    <w:autoRedefine/>
    <w:semiHidden/>
    <w:unhideWhenUsed/>
    <w:rsid w:val="00B100F5"/>
    <w:pPr>
      <w:spacing w:after="100"/>
      <w:ind w:left="1360"/>
    </w:pPr>
  </w:style>
  <w:style w:type="paragraph" w:customStyle="1" w:styleId="TableHead2">
    <w:name w:val="Table Head2"/>
    <w:basedOn w:val="TableHead"/>
    <w:qFormat/>
    <w:rsid w:val="00B100F5"/>
    <w:pPr>
      <w:outlineLvl w:val="9"/>
    </w:pPr>
  </w:style>
  <w:style w:type="paragraph" w:customStyle="1" w:styleId="TableSideHeading2">
    <w:name w:val="Table SideHeading2"/>
    <w:basedOn w:val="TableSideHeading"/>
    <w:autoRedefine/>
    <w:qFormat/>
    <w:rsid w:val="00B100F5"/>
    <w:pPr>
      <w:keepLines w:val="0"/>
      <w:outlineLvl w:val="9"/>
    </w:pPr>
  </w:style>
  <w:style w:type="paragraph" w:customStyle="1" w:styleId="0">
    <w:name w:val="סגנון שורה ראשונה:  0  ס''מ"/>
    <w:basedOn w:val="2"/>
    <w:rsid w:val="00B100F5"/>
    <w:rPr>
      <w:rFonts w:eastAsia="Times New Roman"/>
    </w:rPr>
  </w:style>
  <w:style w:type="paragraph" w:styleId="ae">
    <w:name w:val="List Paragraph"/>
    <w:basedOn w:val="a"/>
    <w:uiPriority w:val="34"/>
    <w:qFormat/>
    <w:rsid w:val="00B100F5"/>
    <w:pPr>
      <w:widowControl/>
      <w:spacing w:line="259" w:lineRule="auto"/>
    </w:pPr>
    <w:rPr>
      <w:rFonts w:asciiTheme="minorHAnsi" w:hAnsiTheme="minorHAnsi"/>
      <w:sz w:val="22"/>
    </w:rPr>
  </w:style>
  <w:style w:type="table" w:styleId="af">
    <w:name w:val="Table Grid"/>
    <w:basedOn w:val="a1"/>
    <w:rsid w:val="00B10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B100F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B100F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B100F5"/>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B100F5"/>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6F6CDBF1-8AD6-46B8-A9C6-FC0BCB8DC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D5032F-C2F5-4EF3-A2F8-C7845DC6D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384</Words>
  <Characters>2192</Characters>
  <Application>Microsoft Office Word</Application>
  <DocSecurity>0</DocSecurity>
  <Lines>18</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12</cp:revision>
  <cp:lastPrinted>2024-02-18T09:26:00Z</cp:lastPrinted>
  <dcterms:created xsi:type="dcterms:W3CDTF">2015-04-20T09:58:00Z</dcterms:created>
  <dcterms:modified xsi:type="dcterms:W3CDTF">2024-02-18T11:19:00Z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2214518</vt:r8>
  </property>
</Properties>
</file>