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2213961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02DA663B" w:rsidR="00E13C27" w:rsidRPr="00CF1AA2" w:rsidRDefault="008F6665" w:rsidP="00034057">
      <w:pPr>
        <w:pStyle w:val="David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אופיר כץ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יוליה מלינובסקי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1E9AE974" w:rsidR="00E13C27" w:rsidRDefault="00904591" w:rsidP="00034057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פ/4281/25</w:t>
      </w:r>
      <w:bookmarkEnd w:id="6"/>
    </w:p>
    <w:p w14:paraId="7F6961AD" w14:textId="6871701C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הכניסה לישראל (תיקון – נסיבות מחמירות להסעה, להלנה ולהעסקה של תושב זר השוהה בישראל שלא כדין שביצע מעשה טרור או תמך בטרור), התשפ"ד–2024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5895"/>
      </w:tblGrid>
      <w:tr w:rsidR="00044462" w14:paraId="7F859C1D" w14:textId="77777777" w:rsidTr="00AF4874">
        <w:trPr>
          <w:cantSplit/>
        </w:trPr>
        <w:tc>
          <w:tcPr>
            <w:tcW w:w="1871" w:type="dxa"/>
          </w:tcPr>
          <w:p w14:paraId="6C0EA744" w14:textId="77777777" w:rsidR="00044462" w:rsidRDefault="00044462" w:rsidP="00ED7B1F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12ב3</w:t>
            </w:r>
          </w:p>
        </w:tc>
        <w:tc>
          <w:tcPr>
            <w:tcW w:w="624" w:type="dxa"/>
          </w:tcPr>
          <w:p w14:paraId="0933C043" w14:textId="77777777" w:rsidR="00044462" w:rsidRDefault="00044462" w:rsidP="00ED7B1F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3"/>
          </w:tcPr>
          <w:p w14:paraId="216374D4" w14:textId="1A670106" w:rsidR="00044462" w:rsidRPr="00130332" w:rsidRDefault="00AF4874" w:rsidP="00AF4874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בחוק הכניסה לישראל</w:t>
            </w:r>
            <w:r w:rsidR="00627F19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התשי"ב–1</w:t>
            </w:r>
            <w:bookmarkStart w:id="8" w:name="_GoBack"/>
            <w:bookmarkEnd w:id="8"/>
            <w:r>
              <w:rPr>
                <w:rFonts w:hint="cs"/>
                <w:rtl/>
              </w:rPr>
              <w:t>952</w:t>
            </w:r>
            <w:r w:rsidR="00044462" w:rsidRPr="00AF4874">
              <w:rPr>
                <w:rStyle w:val="a6"/>
                <w:rFonts w:ascii="David" w:hAnsi="David"/>
                <w:sz w:val="26"/>
                <w:rtl/>
              </w:rPr>
              <w:footnoteReference w:id="2"/>
            </w:r>
            <w:r w:rsidR="00044462">
              <w:rPr>
                <w:rFonts w:hint="cs"/>
                <w:rtl/>
              </w:rPr>
              <w:t xml:space="preserve"> (להלן – החוק העיקרי)</w:t>
            </w:r>
            <w:r>
              <w:rPr>
                <w:rFonts w:hint="cs"/>
                <w:rtl/>
              </w:rPr>
              <w:t>,</w:t>
            </w:r>
            <w:r w:rsidR="00044462">
              <w:rPr>
                <w:rFonts w:hint="cs"/>
                <w:rtl/>
              </w:rPr>
              <w:t xml:space="preserve"> בסעיף </w:t>
            </w:r>
            <w:r w:rsidR="00044462" w:rsidRPr="00627F19">
              <w:rPr>
                <w:rFonts w:hint="cs"/>
                <w:spacing w:val="-18"/>
                <w:rtl/>
              </w:rPr>
              <w:t xml:space="preserve">12ב3 – </w:t>
            </w:r>
          </w:p>
        </w:tc>
      </w:tr>
      <w:tr w:rsidR="00044462" w14:paraId="6A41F89C" w14:textId="77777777" w:rsidTr="00AF4874">
        <w:trPr>
          <w:cantSplit/>
        </w:trPr>
        <w:tc>
          <w:tcPr>
            <w:tcW w:w="1871" w:type="dxa"/>
          </w:tcPr>
          <w:p w14:paraId="43C30018" w14:textId="77777777" w:rsidR="00044462" w:rsidRDefault="00044462" w:rsidP="00ED7B1F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2AE7606D" w14:textId="77777777" w:rsidR="00044462" w:rsidRDefault="00044462" w:rsidP="00ED7B1F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3"/>
          </w:tcPr>
          <w:p w14:paraId="096B08EC" w14:textId="0BFFFFC2" w:rsidR="00044462" w:rsidRDefault="00044462" w:rsidP="00AF4874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בכותרת השוליים, במקום </w:t>
            </w:r>
            <w:r w:rsidR="00AF4874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>הלנה</w:t>
            </w:r>
            <w:r w:rsidR="00AF4874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יבוא "הסעה, הלנה";</w:t>
            </w:r>
          </w:p>
        </w:tc>
      </w:tr>
      <w:tr w:rsidR="00044462" w14:paraId="0831A2B5" w14:textId="77777777" w:rsidTr="00AF4874">
        <w:trPr>
          <w:cantSplit/>
        </w:trPr>
        <w:tc>
          <w:tcPr>
            <w:tcW w:w="1871" w:type="dxa"/>
          </w:tcPr>
          <w:p w14:paraId="7FEB5F52" w14:textId="77777777" w:rsidR="00044462" w:rsidRDefault="00044462" w:rsidP="00ED7B1F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03B4C727" w14:textId="77777777" w:rsidR="00044462" w:rsidRDefault="00044462" w:rsidP="00ED7B1F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3"/>
          </w:tcPr>
          <w:p w14:paraId="4948C81B" w14:textId="77777777" w:rsidR="00044462" w:rsidRDefault="00044462" w:rsidP="00AF4874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בסופו יבוא:</w:t>
            </w:r>
          </w:p>
        </w:tc>
      </w:tr>
      <w:tr w:rsidR="00044462" w14:paraId="18E2442E" w14:textId="77777777" w:rsidTr="00AF4874">
        <w:trPr>
          <w:cantSplit/>
        </w:trPr>
        <w:tc>
          <w:tcPr>
            <w:tcW w:w="1871" w:type="dxa"/>
          </w:tcPr>
          <w:p w14:paraId="733BA6A2" w14:textId="77777777" w:rsidR="00044462" w:rsidRDefault="00044462" w:rsidP="00ED7B1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52748D7C" w14:textId="77777777" w:rsidR="00044462" w:rsidRDefault="00044462" w:rsidP="00ED7B1F">
            <w:pPr>
              <w:pStyle w:val="TableText"/>
            </w:pPr>
          </w:p>
        </w:tc>
        <w:tc>
          <w:tcPr>
            <w:tcW w:w="624" w:type="dxa"/>
          </w:tcPr>
          <w:p w14:paraId="5C64B8F8" w14:textId="77777777" w:rsidR="00044462" w:rsidRDefault="00044462" w:rsidP="00ED7B1F">
            <w:pPr>
              <w:pStyle w:val="TableText"/>
            </w:pPr>
          </w:p>
        </w:tc>
        <w:tc>
          <w:tcPr>
            <w:tcW w:w="6519" w:type="dxa"/>
            <w:gridSpan w:val="2"/>
          </w:tcPr>
          <w:p w14:paraId="1F18E3A7" w14:textId="122259BB" w:rsidR="00044462" w:rsidRDefault="00044462" w:rsidP="00AF4874">
            <w:pPr>
              <w:pStyle w:val="TableBlock"/>
            </w:pPr>
            <w:r>
              <w:rPr>
                <w:rFonts w:hint="cs"/>
                <w:rtl/>
              </w:rPr>
              <w:t>"(ד)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נעברה עבירה לפי סעיף 12א(ג)(1) או לפי סעיף 12ב2(א)(2) והתושב הזר גילה </w:t>
            </w:r>
            <w:r w:rsidRPr="0056056B">
              <w:rPr>
                <w:rtl/>
              </w:rPr>
              <w:t xml:space="preserve">הזדהות עם ארגון טרור או </w:t>
            </w:r>
            <w:r>
              <w:rPr>
                <w:rFonts w:hint="cs"/>
                <w:rtl/>
              </w:rPr>
              <w:t>עם מעשה טרור</w:t>
            </w:r>
            <w:r w:rsidRPr="0056056B">
              <w:rPr>
                <w:rtl/>
              </w:rPr>
              <w:t xml:space="preserve">, לרבות בדרך של פרסום דברי שבח, תמיכה או אהדה </w:t>
            </w:r>
            <w:r>
              <w:rPr>
                <w:rFonts w:hint="cs"/>
                <w:rtl/>
              </w:rPr>
              <w:t xml:space="preserve">או הסית לטרור, דינו – 6 שנות מאסר או הקנס האמור בסעיף 61(א)(4) לחוק העונשין; </w:t>
            </w:r>
            <w:r w:rsidR="00AF4874">
              <w:rPr>
                <w:rFonts w:hint="cs"/>
                <w:rtl/>
              </w:rPr>
              <w:t>בסעיף זה</w:t>
            </w:r>
            <w:r>
              <w:rPr>
                <w:rFonts w:hint="cs"/>
                <w:rtl/>
              </w:rPr>
              <w:t>, "ארגון טרור" ו"מעשה טרור" כהגדרתם בחוק המאבק בטרור, התשע"ו–2016</w:t>
            </w:r>
            <w:r w:rsidRPr="00AF4874">
              <w:rPr>
                <w:rStyle w:val="a6"/>
                <w:rFonts w:ascii="David" w:hAnsi="David"/>
                <w:sz w:val="26"/>
                <w:rtl/>
              </w:rPr>
              <w:footnoteReference w:id="3"/>
            </w:r>
            <w:r w:rsidR="00B64085">
              <w:rPr>
                <w:rFonts w:hint="cs"/>
                <w:rtl/>
              </w:rPr>
              <w:t>.</w:t>
            </w:r>
          </w:p>
        </w:tc>
      </w:tr>
      <w:tr w:rsidR="00044462" w14:paraId="2477027F" w14:textId="77777777" w:rsidTr="00AF4874">
        <w:trPr>
          <w:cantSplit/>
        </w:trPr>
        <w:tc>
          <w:tcPr>
            <w:tcW w:w="1871" w:type="dxa"/>
          </w:tcPr>
          <w:p w14:paraId="3B5E4944" w14:textId="77777777" w:rsidR="00044462" w:rsidRDefault="00044462" w:rsidP="00ED7B1F">
            <w:pPr>
              <w:pStyle w:val="TableSideHeading"/>
            </w:pPr>
          </w:p>
        </w:tc>
        <w:tc>
          <w:tcPr>
            <w:tcW w:w="624" w:type="dxa"/>
          </w:tcPr>
          <w:p w14:paraId="2B2D8428" w14:textId="77777777" w:rsidR="00044462" w:rsidRDefault="00044462" w:rsidP="00ED7B1F">
            <w:pPr>
              <w:pStyle w:val="TableText"/>
            </w:pPr>
          </w:p>
        </w:tc>
        <w:tc>
          <w:tcPr>
            <w:tcW w:w="624" w:type="dxa"/>
          </w:tcPr>
          <w:p w14:paraId="0C33ACD4" w14:textId="77777777" w:rsidR="00044462" w:rsidRDefault="00044462" w:rsidP="00ED7B1F">
            <w:pPr>
              <w:pStyle w:val="TableText"/>
            </w:pPr>
          </w:p>
        </w:tc>
        <w:tc>
          <w:tcPr>
            <w:tcW w:w="6519" w:type="dxa"/>
            <w:gridSpan w:val="2"/>
          </w:tcPr>
          <w:p w14:paraId="357A00A1" w14:textId="77777777" w:rsidR="00044462" w:rsidRDefault="00044462" w:rsidP="00AF4874">
            <w:pPr>
              <w:pStyle w:val="TableBlock"/>
            </w:pPr>
            <w:r>
              <w:rPr>
                <w:rFonts w:hint="cs"/>
                <w:rtl/>
              </w:rPr>
              <w:t>(ה)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נעברה עבירה לפי סעיף 12א(ג)(1) או לפי סעיף 12ב2(א)(2), והתקיים בתושב הזר אחד מאלה, דינו – 8 שנות </w:t>
            </w:r>
            <w:r w:rsidRPr="00ED7B1F">
              <w:rPr>
                <w:rFonts w:hint="cs"/>
                <w:rtl/>
              </w:rPr>
              <w:t xml:space="preserve">מאסר או </w:t>
            </w:r>
            <w:r w:rsidRPr="0048587C">
              <w:rPr>
                <w:rFonts w:hint="cs"/>
                <w:rtl/>
              </w:rPr>
              <w:t>ארבע</w:t>
            </w:r>
            <w:r>
              <w:rPr>
                <w:rFonts w:hint="cs"/>
                <w:rtl/>
              </w:rPr>
              <w:t xml:space="preserve"> פעמים הקנס האמור בסעיף 61(א)(3) לחוק העונשין:</w:t>
            </w:r>
          </w:p>
        </w:tc>
      </w:tr>
      <w:tr w:rsidR="00044462" w14:paraId="4C4F8B5C" w14:textId="77777777" w:rsidTr="00AF4874">
        <w:trPr>
          <w:cantSplit/>
        </w:trPr>
        <w:tc>
          <w:tcPr>
            <w:tcW w:w="1871" w:type="dxa"/>
          </w:tcPr>
          <w:p w14:paraId="04A78C18" w14:textId="77777777" w:rsidR="00044462" w:rsidRDefault="00044462" w:rsidP="00ED7B1F">
            <w:pPr>
              <w:pStyle w:val="TableSideHeading"/>
            </w:pPr>
          </w:p>
        </w:tc>
        <w:tc>
          <w:tcPr>
            <w:tcW w:w="624" w:type="dxa"/>
          </w:tcPr>
          <w:p w14:paraId="2AB632E9" w14:textId="77777777" w:rsidR="00044462" w:rsidRDefault="00044462" w:rsidP="00ED7B1F">
            <w:pPr>
              <w:pStyle w:val="TableText"/>
            </w:pPr>
          </w:p>
        </w:tc>
        <w:tc>
          <w:tcPr>
            <w:tcW w:w="624" w:type="dxa"/>
          </w:tcPr>
          <w:p w14:paraId="2ACBE558" w14:textId="77777777" w:rsidR="00044462" w:rsidRDefault="00044462" w:rsidP="00ED7B1F">
            <w:pPr>
              <w:pStyle w:val="TableText"/>
            </w:pPr>
          </w:p>
        </w:tc>
        <w:tc>
          <w:tcPr>
            <w:tcW w:w="624" w:type="dxa"/>
          </w:tcPr>
          <w:p w14:paraId="6B2A2C7F" w14:textId="77777777" w:rsidR="00044462" w:rsidRDefault="00044462" w:rsidP="00ED7B1F">
            <w:pPr>
              <w:pStyle w:val="TableText"/>
            </w:pPr>
          </w:p>
        </w:tc>
        <w:tc>
          <w:tcPr>
            <w:tcW w:w="5895" w:type="dxa"/>
          </w:tcPr>
          <w:p w14:paraId="4BF9E192" w14:textId="15436122" w:rsidR="00044462" w:rsidRPr="00005F4E" w:rsidRDefault="00044462" w:rsidP="00AF4874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הוא חבר בארגון טרור; </w:t>
            </w:r>
          </w:p>
        </w:tc>
      </w:tr>
      <w:tr w:rsidR="00044462" w14:paraId="45F4B561" w14:textId="77777777" w:rsidTr="00AF4874">
        <w:trPr>
          <w:cantSplit/>
        </w:trPr>
        <w:tc>
          <w:tcPr>
            <w:tcW w:w="1871" w:type="dxa"/>
          </w:tcPr>
          <w:p w14:paraId="22A222CA" w14:textId="77777777" w:rsidR="00044462" w:rsidRDefault="00044462" w:rsidP="00ED7B1F">
            <w:pPr>
              <w:pStyle w:val="TableSideHeading"/>
            </w:pPr>
          </w:p>
        </w:tc>
        <w:tc>
          <w:tcPr>
            <w:tcW w:w="624" w:type="dxa"/>
          </w:tcPr>
          <w:p w14:paraId="411D551B" w14:textId="77777777" w:rsidR="00044462" w:rsidRDefault="00044462" w:rsidP="00ED7B1F">
            <w:pPr>
              <w:pStyle w:val="TableText"/>
            </w:pPr>
          </w:p>
        </w:tc>
        <w:tc>
          <w:tcPr>
            <w:tcW w:w="624" w:type="dxa"/>
          </w:tcPr>
          <w:p w14:paraId="1D56CFB7" w14:textId="77777777" w:rsidR="00044462" w:rsidRDefault="00044462" w:rsidP="00ED7B1F">
            <w:pPr>
              <w:pStyle w:val="TableText"/>
            </w:pPr>
          </w:p>
        </w:tc>
        <w:tc>
          <w:tcPr>
            <w:tcW w:w="624" w:type="dxa"/>
          </w:tcPr>
          <w:p w14:paraId="266B7054" w14:textId="77777777" w:rsidR="00044462" w:rsidRDefault="00044462" w:rsidP="00ED7B1F">
            <w:pPr>
              <w:pStyle w:val="TableText"/>
            </w:pPr>
          </w:p>
        </w:tc>
        <w:tc>
          <w:tcPr>
            <w:tcW w:w="5895" w:type="dxa"/>
          </w:tcPr>
          <w:p w14:paraId="02C11FFC" w14:textId="6E24A5AA" w:rsidR="00044462" w:rsidRDefault="00044462" w:rsidP="00AF4874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הוא עשה מעשה טרור, אלא אם הוכיח הנאשם כי אין כל קשר בין מעשה עבירה לבין עשיית מעשה הטרור על ידי העובד הזר ונסיבות עשייתו."</w:t>
            </w:r>
          </w:p>
        </w:tc>
      </w:tr>
      <w:tr w:rsidR="00044462" w14:paraId="2B356B27" w14:textId="77777777" w:rsidTr="00AF4874">
        <w:trPr>
          <w:cantSplit/>
        </w:trPr>
        <w:tc>
          <w:tcPr>
            <w:tcW w:w="1871" w:type="dxa"/>
          </w:tcPr>
          <w:p w14:paraId="57DF11DF" w14:textId="77777777" w:rsidR="00044462" w:rsidRDefault="00044462" w:rsidP="00ED7B1F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12ב10</w:t>
            </w:r>
          </w:p>
        </w:tc>
        <w:tc>
          <w:tcPr>
            <w:tcW w:w="624" w:type="dxa"/>
          </w:tcPr>
          <w:p w14:paraId="23BD7B5E" w14:textId="77777777" w:rsidR="00044462" w:rsidRDefault="00044462" w:rsidP="00ED7B1F">
            <w:pPr>
              <w:pStyle w:val="TableText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  <w:gridSpan w:val="3"/>
          </w:tcPr>
          <w:p w14:paraId="37329972" w14:textId="77777777" w:rsidR="00044462" w:rsidRPr="00C34DE2" w:rsidRDefault="00044462" w:rsidP="00AF4874">
            <w:pPr>
              <w:pStyle w:val="TableBlock"/>
            </w:pPr>
            <w:r>
              <w:rPr>
                <w:rFonts w:hint="cs"/>
                <w:rtl/>
              </w:rPr>
              <w:t xml:space="preserve">בסעיף 12ב10 לחוק העיקרי, בסופו יבוא "ואם הורשע לפי סעיפים 12א(ג)(1) או 12ב2(א)(2) בנסיבות מחמירות כאמור בסעיף 12ב3(ד) או (ה)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לתקופה שלא תעלה על שנה".</w:t>
            </w:r>
          </w:p>
        </w:tc>
      </w:tr>
    </w:tbl>
    <w:p w14:paraId="0CBE3EA9" w14:textId="77777777" w:rsidR="0003279B" w:rsidRDefault="0003279B" w:rsidP="0003279B">
      <w:pPr>
        <w:pStyle w:val="HeadDivreiHesber"/>
        <w:rPr>
          <w:rtl/>
        </w:rPr>
      </w:pPr>
      <w:r w:rsidRPr="0027450A">
        <w:rPr>
          <w:rFonts w:hint="cs"/>
          <w:rtl/>
        </w:rPr>
        <w:lastRenderedPageBreak/>
        <w:t>דברי הסבר</w:t>
      </w:r>
    </w:p>
    <w:p w14:paraId="797699E5" w14:textId="2FACB342" w:rsidR="0003279B" w:rsidRPr="003E5C8D" w:rsidRDefault="0003279B" w:rsidP="0003279B">
      <w:pPr>
        <w:pStyle w:val="Hesber"/>
        <w:rPr>
          <w:rtl/>
        </w:rPr>
      </w:pPr>
      <w:r w:rsidRPr="003E5C8D">
        <w:rPr>
          <w:rtl/>
        </w:rPr>
        <w:t>תופעת השוהים הבלתי חוקיים המגיעים מאזורי יהודה ו</w:t>
      </w:r>
      <w:r>
        <w:rPr>
          <w:rFonts w:hint="cs"/>
          <w:rtl/>
        </w:rPr>
        <w:t>ה</w:t>
      </w:r>
      <w:r>
        <w:rPr>
          <w:rtl/>
        </w:rPr>
        <w:t xml:space="preserve">שומרון </w:t>
      </w:r>
      <w:r>
        <w:rPr>
          <w:rFonts w:hint="cs"/>
          <w:rtl/>
        </w:rPr>
        <w:t>מהווים</w:t>
      </w:r>
      <w:r w:rsidRPr="003E5C8D">
        <w:rPr>
          <w:rtl/>
        </w:rPr>
        <w:t xml:space="preserve"> סכנה ב</w:t>
      </w:r>
      <w:r>
        <w:rPr>
          <w:rFonts w:hint="cs"/>
          <w:rtl/>
        </w:rPr>
        <w:t>י</w:t>
      </w:r>
      <w:r w:rsidRPr="003E5C8D">
        <w:rPr>
          <w:rtl/>
        </w:rPr>
        <w:t>טחו</w:t>
      </w:r>
      <w:r>
        <w:rPr>
          <w:rtl/>
        </w:rPr>
        <w:t>נית חמורה. רק בעת האחרונה אירע</w:t>
      </w:r>
      <w:r>
        <w:rPr>
          <w:rFonts w:hint="cs"/>
          <w:rtl/>
        </w:rPr>
        <w:t xml:space="preserve"> פיגוע קשה ברעננה בו נרצחה אישה בת 79 ונפצעו עוד כ-20 בני אדם</w:t>
      </w:r>
      <w:r w:rsidR="0004446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044462">
        <w:rPr>
          <w:rFonts w:hint="cs"/>
          <w:rtl/>
        </w:rPr>
        <w:t>כמו כן,</w:t>
      </w:r>
      <w:r>
        <w:rPr>
          <w:rFonts w:hint="cs"/>
          <w:rtl/>
        </w:rPr>
        <w:t xml:space="preserve"> גם ברחובות סוכל ניסיון פיגוע של קטין שהביע תמיכה בטרור ברשתות החברתיות. פיגועים אלה מצטרפים לשורת מעשי רצח ופיגועים לאורך השנים שנעשו על ידי שוהים בלתי חוקיים. </w:t>
      </w:r>
    </w:p>
    <w:p w14:paraId="55FAE632" w14:textId="77777777" w:rsidR="0003279B" w:rsidRDefault="0003279B" w:rsidP="0003279B">
      <w:pPr>
        <w:pStyle w:val="Hesber"/>
        <w:rPr>
          <w:rtl/>
        </w:rPr>
      </w:pPr>
      <w:r>
        <w:rPr>
          <w:rFonts w:hint="cs"/>
          <w:rtl/>
        </w:rPr>
        <w:t>המצב הקיים דורש יצירת</w:t>
      </w:r>
      <w:r w:rsidRPr="003E5C8D">
        <w:rPr>
          <w:rtl/>
        </w:rPr>
        <w:t xml:space="preserve"> כלים שירתיעו </w:t>
      </w:r>
      <w:r>
        <w:rPr>
          <w:rFonts w:hint="cs"/>
          <w:rtl/>
        </w:rPr>
        <w:t>את המעסיקים וא</w:t>
      </w:r>
      <w:r w:rsidRPr="003E5C8D">
        <w:rPr>
          <w:rtl/>
        </w:rPr>
        <w:t xml:space="preserve">ת המסייעים להם. </w:t>
      </w:r>
    </w:p>
    <w:p w14:paraId="155DF6CA" w14:textId="1C3B7DFB" w:rsidR="0003279B" w:rsidRPr="003E5C8D" w:rsidRDefault="00044462" w:rsidP="00044462">
      <w:pPr>
        <w:pStyle w:val="Hesber"/>
        <w:rPr>
          <w:rtl/>
        </w:rPr>
      </w:pPr>
      <w:r>
        <w:rPr>
          <w:rFonts w:hint="cs"/>
          <w:rtl/>
        </w:rPr>
        <w:t>מי שמלין, מסיע או מעסיק שוהה בלתי חוקי, מגדיל למעשה את החשיפה של אזרחי ישראל לפגיעה מאירוע טרור, ובכך נוטל על עצמו אחריות על התרחשותו.</w:t>
      </w:r>
    </w:p>
    <w:p w14:paraId="50D16911" w14:textId="2C6BB6D7" w:rsidR="0003279B" w:rsidRPr="003E5C8D" w:rsidRDefault="0003279B" w:rsidP="00B64085">
      <w:pPr>
        <w:pStyle w:val="Hesber"/>
        <w:rPr>
          <w:rtl/>
        </w:rPr>
      </w:pPr>
      <w:r w:rsidRPr="003E5C8D">
        <w:rPr>
          <w:rtl/>
        </w:rPr>
        <w:t xml:space="preserve">הצעת החוק מבקשת לתקן את חוק הכניסה לישראל </w:t>
      </w:r>
      <w:r>
        <w:rPr>
          <w:rFonts w:hint="cs"/>
          <w:rtl/>
        </w:rPr>
        <w:t xml:space="preserve">ולהוסיף </w:t>
      </w:r>
      <w:r w:rsidR="00044462">
        <w:rPr>
          <w:rFonts w:hint="cs"/>
          <w:rtl/>
        </w:rPr>
        <w:t>ל</w:t>
      </w:r>
      <w:r>
        <w:rPr>
          <w:rFonts w:hint="cs"/>
          <w:rtl/>
        </w:rPr>
        <w:t>עבירות</w:t>
      </w:r>
      <w:r w:rsidR="00044462">
        <w:rPr>
          <w:rFonts w:hint="cs"/>
          <w:rtl/>
        </w:rPr>
        <w:t xml:space="preserve"> הקיימות</w:t>
      </w:r>
      <w:r>
        <w:rPr>
          <w:rFonts w:hint="cs"/>
          <w:rtl/>
        </w:rPr>
        <w:t xml:space="preserve"> נסיבות מחמירות. ההצעה קובעת כי אדם המעסיק, מלין או מסיע שוהה בלתי חוקי שהביע תמיכה בטרור, יוטל עליו עונש של עד 6 שנות מאסר וקנס של עד 226,000 </w:t>
      </w:r>
      <w:r w:rsidR="00B64085">
        <w:rPr>
          <w:rFonts w:hint="cs"/>
          <w:rtl/>
        </w:rPr>
        <w:t>שקלים חדשים</w:t>
      </w:r>
      <w:r>
        <w:rPr>
          <w:rFonts w:hint="cs"/>
          <w:rtl/>
        </w:rPr>
        <w:t xml:space="preserve">. אם </w:t>
      </w:r>
      <w:r w:rsidR="00044462">
        <w:rPr>
          <w:rFonts w:hint="cs"/>
          <w:rtl/>
        </w:rPr>
        <w:t>ה</w:t>
      </w:r>
      <w:r>
        <w:rPr>
          <w:rFonts w:hint="cs"/>
          <w:rtl/>
        </w:rPr>
        <w:t xml:space="preserve">שוהה </w:t>
      </w:r>
      <w:r w:rsidR="00044462">
        <w:rPr>
          <w:rFonts w:hint="cs"/>
          <w:rtl/>
        </w:rPr>
        <w:t>ה</w:t>
      </w:r>
      <w:r>
        <w:rPr>
          <w:rFonts w:hint="cs"/>
          <w:rtl/>
        </w:rPr>
        <w:t xml:space="preserve">בלתי חוקי ביצע מעשה טרור, יוטל על המעסיק, המלין, או המסיע עונש של עד 8 שנות מאסר וקנס של </w:t>
      </w:r>
      <w:r w:rsidR="00044462">
        <w:rPr>
          <w:rFonts w:hint="cs"/>
          <w:rtl/>
        </w:rPr>
        <w:t>300,000</w:t>
      </w:r>
      <w:r>
        <w:rPr>
          <w:rFonts w:hint="cs"/>
          <w:rtl/>
        </w:rPr>
        <w:t xml:space="preserve"> </w:t>
      </w:r>
      <w:r w:rsidR="00B64085">
        <w:rPr>
          <w:rFonts w:hint="cs"/>
          <w:rtl/>
        </w:rPr>
        <w:t>שקלים חדשים</w:t>
      </w:r>
      <w:r>
        <w:rPr>
          <w:rFonts w:hint="cs"/>
          <w:rtl/>
        </w:rPr>
        <w:t xml:space="preserve">. בנוסף, </w:t>
      </w:r>
      <w:r w:rsidR="008A285D">
        <w:rPr>
          <w:rFonts w:hint="cs"/>
          <w:rtl/>
        </w:rPr>
        <w:t xml:space="preserve">מוצע להכפיל את התקופה לה מוסמך בית המשפט לפסוק עונש של התליית רישיון או היתר עיסוק למי שהורשע בעבירות כאמור במסגרת </w:t>
      </w:r>
      <w:r w:rsidR="00DD24C9">
        <w:rPr>
          <w:rFonts w:hint="cs"/>
          <w:rtl/>
        </w:rPr>
        <w:t>ה</w:t>
      </w:r>
      <w:r w:rsidR="008A285D">
        <w:rPr>
          <w:rFonts w:hint="cs"/>
          <w:rtl/>
        </w:rPr>
        <w:t xml:space="preserve">נסיבות </w:t>
      </w:r>
      <w:r w:rsidR="00DD24C9">
        <w:rPr>
          <w:rFonts w:hint="cs"/>
          <w:rtl/>
        </w:rPr>
        <w:t>ה</w:t>
      </w:r>
      <w:r w:rsidR="008A285D">
        <w:rPr>
          <w:rFonts w:hint="cs"/>
          <w:rtl/>
        </w:rPr>
        <w:t xml:space="preserve">מחמירות, כך שהתקופה תעמוד על שנה. </w:t>
      </w:r>
    </w:p>
    <w:p w14:paraId="0CB8882C" w14:textId="4295E5D4" w:rsidR="0003279B" w:rsidRDefault="0003279B" w:rsidP="0003279B">
      <w:pPr>
        <w:pStyle w:val="Hesber"/>
        <w:rPr>
          <w:rtl/>
        </w:rPr>
      </w:pPr>
      <w:r>
        <w:rPr>
          <w:rtl/>
        </w:rPr>
        <w:t xml:space="preserve">התייחסות ממוקדת וענישה קשה </w:t>
      </w:r>
      <w:r w:rsidRPr="003E5C8D">
        <w:rPr>
          <w:rtl/>
        </w:rPr>
        <w:t xml:space="preserve">נגד אנשים המעודדים את כניסת השוהים הבלתי חוקיים לישראל ובכללם המעסיקים, המסיעים והמלינים, עשויות לסייע במאמץ לצמצום תופעת השוהים הבלתי חוקיים </w:t>
      </w:r>
      <w:r>
        <w:rPr>
          <w:rFonts w:hint="cs"/>
          <w:rtl/>
        </w:rPr>
        <w:t>בישראל</w:t>
      </w:r>
      <w:r w:rsidRPr="003E5C8D">
        <w:rPr>
          <w:rtl/>
        </w:rPr>
        <w:t>, לצמצו</w:t>
      </w:r>
      <w:r>
        <w:rPr>
          <w:rtl/>
        </w:rPr>
        <w:t>ם</w:t>
      </w:r>
      <w:r w:rsidRPr="003E5C8D">
        <w:rPr>
          <w:rtl/>
        </w:rPr>
        <w:t xml:space="preserve"> הפיגועים ולהצלת חיים.</w:t>
      </w:r>
    </w:p>
    <w:p w14:paraId="1E4CAF0B" w14:textId="77777777" w:rsidR="0003279B" w:rsidRDefault="0003279B" w:rsidP="0003279B">
      <w:pPr>
        <w:pStyle w:val="Hesber"/>
        <w:rPr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p w14:paraId="7C5E0B45" w14:textId="77777777" w:rsidR="00A52426" w:rsidRDefault="00B64085">
      <w:pPr>
        <w:spacing w:line="276" w:lineRule="auto"/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3EE35A17" w14:textId="77777777" w:rsidR="00A52426" w:rsidRDefault="00B64085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3304004B" w14:textId="77777777" w:rsidR="00A52426" w:rsidRDefault="00B64085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3B8C1237" w14:textId="77777777" w:rsidR="00A52426" w:rsidRDefault="00B64085">
      <w:pPr>
        <w:jc w:val="left"/>
      </w:pPr>
      <w:r>
        <w:rPr>
          <w:rFonts w:eastAsia="David" w:hint="cs"/>
          <w:sz w:val="26"/>
          <w:szCs w:val="26"/>
          <w:rtl/>
        </w:rPr>
        <w:t xml:space="preserve">כ"ו בשבט התשפ"ד (05.02.2024) </w:t>
      </w:r>
    </w:p>
    <w:p w14:paraId="07A3A113" w14:textId="77777777" w:rsidR="00A52426" w:rsidRDefault="00A52426"/>
    <w:sectPr w:rsidR="00A52426" w:rsidSect="00AF4874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0DCBC130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627F19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AF4874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3B5C8E9C" w14:textId="77777777" w:rsidR="00044462" w:rsidRDefault="00044462" w:rsidP="00044462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התשי"ב, עמ' 354.</w:t>
      </w:r>
    </w:p>
  </w:footnote>
  <w:footnote w:id="3">
    <w:p w14:paraId="68D7CF89" w14:textId="77777777" w:rsidR="00044462" w:rsidRDefault="00044462" w:rsidP="00044462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התשע"ו, עמ' 898.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3279B"/>
    <w:rsid w:val="00034057"/>
    <w:rsid w:val="00044462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0431"/>
    <w:rsid w:val="00553C9D"/>
    <w:rsid w:val="00562A66"/>
    <w:rsid w:val="0057603E"/>
    <w:rsid w:val="005B064E"/>
    <w:rsid w:val="005D51AE"/>
    <w:rsid w:val="0062674B"/>
    <w:rsid w:val="00627F19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285D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52426"/>
    <w:rsid w:val="00A6611D"/>
    <w:rsid w:val="00A82CB7"/>
    <w:rsid w:val="00A942C1"/>
    <w:rsid w:val="00AA2F03"/>
    <w:rsid w:val="00AC36F7"/>
    <w:rsid w:val="00AC63A4"/>
    <w:rsid w:val="00AD239E"/>
    <w:rsid w:val="00AF4874"/>
    <w:rsid w:val="00B10265"/>
    <w:rsid w:val="00B16A99"/>
    <w:rsid w:val="00B21211"/>
    <w:rsid w:val="00B35784"/>
    <w:rsid w:val="00B64085"/>
    <w:rsid w:val="00B733A7"/>
    <w:rsid w:val="00B75C91"/>
    <w:rsid w:val="00B975AD"/>
    <w:rsid w:val="00BC45FB"/>
    <w:rsid w:val="00BF148D"/>
    <w:rsid w:val="00C23B1A"/>
    <w:rsid w:val="00C310EB"/>
    <w:rsid w:val="00C9176A"/>
    <w:rsid w:val="00CE4A23"/>
    <w:rsid w:val="00CF1AA2"/>
    <w:rsid w:val="00D142D3"/>
    <w:rsid w:val="00D17774"/>
    <w:rsid w:val="00D63620"/>
    <w:rsid w:val="00D8410D"/>
    <w:rsid w:val="00D867D7"/>
    <w:rsid w:val="00DB7060"/>
    <w:rsid w:val="00DD24C9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D7E73775-DC60-4D07-90FF-232D0E9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874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4874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AF4874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AF4874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AF4874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F4874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AF4874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AF4874"/>
    <w:rPr>
      <w:sz w:val="36"/>
      <w:szCs w:val="52"/>
    </w:rPr>
  </w:style>
  <w:style w:type="paragraph" w:customStyle="1" w:styleId="Cover3-Haknesset">
    <w:name w:val="Cover 3-Haknesset"/>
    <w:basedOn w:val="Cover1-Reshumot"/>
    <w:rsid w:val="00AF4874"/>
    <w:rPr>
      <w:b/>
      <w:bCs/>
      <w:spacing w:val="60"/>
    </w:rPr>
  </w:style>
  <w:style w:type="paragraph" w:customStyle="1" w:styleId="Cover4-Date">
    <w:name w:val="Cover 4-Date"/>
    <w:basedOn w:val="a"/>
    <w:rsid w:val="00AF4874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AF4874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AF4874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AF4874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AF4874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AF4874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AF4874"/>
    <w:pPr>
      <w:outlineLvl w:val="2"/>
    </w:pPr>
  </w:style>
  <w:style w:type="paragraph" w:customStyle="1" w:styleId="TableBlock">
    <w:name w:val="Table Block"/>
    <w:basedOn w:val="TableText"/>
    <w:rsid w:val="00AF4874"/>
    <w:pPr>
      <w:jc w:val="both"/>
    </w:pPr>
  </w:style>
  <w:style w:type="paragraph" w:customStyle="1" w:styleId="TableHead">
    <w:name w:val="Table Head"/>
    <w:basedOn w:val="TableText"/>
    <w:rsid w:val="00AF4874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AF4874"/>
    <w:pPr>
      <w:outlineLvl w:val="9"/>
    </w:pPr>
  </w:style>
  <w:style w:type="paragraph" w:customStyle="1" w:styleId="Hesber">
    <w:name w:val="Hesber"/>
    <w:basedOn w:val="a"/>
    <w:rsid w:val="00AF4874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AF4874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AF4874"/>
    <w:rPr>
      <w:vertAlign w:val="superscript"/>
    </w:rPr>
  </w:style>
  <w:style w:type="paragraph" w:customStyle="1" w:styleId="HesberHeading">
    <w:name w:val="Hesber Heading"/>
    <w:basedOn w:val="Hesber"/>
    <w:rsid w:val="00AF4874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AF4874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AF4874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AF4874"/>
    <w:rPr>
      <w:vertAlign w:val="superscript"/>
    </w:rPr>
  </w:style>
  <w:style w:type="paragraph" w:customStyle="1" w:styleId="TableBlockOutdent">
    <w:name w:val="Table BlockOutdent"/>
    <w:basedOn w:val="TableBlock"/>
    <w:rsid w:val="00AF4874"/>
    <w:pPr>
      <w:ind w:left="624" w:hanging="624"/>
    </w:pPr>
  </w:style>
  <w:style w:type="paragraph" w:styleId="a8">
    <w:name w:val="header"/>
    <w:basedOn w:val="a"/>
    <w:rsid w:val="00AF4874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F4874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AF4874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AF4874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AF4874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044462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AF4874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AF4874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AF4874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AF4874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AF4874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AF4874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AF4874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AF4874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AF4874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AF4874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AF4874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AF4874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AF4874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AF4874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AF4874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AF4874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AF4874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AF4874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AF4874"/>
    <w:rPr>
      <w:rFonts w:eastAsia="Times New Roman"/>
    </w:rPr>
  </w:style>
  <w:style w:type="paragraph" w:styleId="af">
    <w:name w:val="List Paragraph"/>
    <w:basedOn w:val="a"/>
    <w:uiPriority w:val="34"/>
    <w:qFormat/>
    <w:rsid w:val="00AF4874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AF4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AF487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AF48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AF4874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AF4874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2697-FE29-42B8-AC21-337E68B46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290d5b49-c690-4c6f-bbb9-1e50dab33ee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54DF87-C7E8-43BD-A81A-F22AA736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ווייס עמר</cp:lastModifiedBy>
  <cp:revision>18</cp:revision>
  <cp:lastPrinted>2013-07-04T08:25:00Z</cp:lastPrinted>
  <dcterms:created xsi:type="dcterms:W3CDTF">2015-04-20T09:58:00Z</dcterms:created>
  <dcterms:modified xsi:type="dcterms:W3CDTF">2024-02-04T11:39:00Z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2213961</vt:r8>
  </property>
</Properties>
</file>