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2213440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2FF5B72C" w:rsidR="00E13C27" w:rsidRPr="00CF1AA2" w:rsidRDefault="008F6665" w:rsidP="00D65221">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יוראי להב הרצנו</w:t>
      </w:r>
      <w:r>
        <w:br/>
      </w:r>
      <w:r>
        <w:rPr>
          <w:rFonts w:hint="cs"/>
          <w:b/>
          <w:bCs/>
          <w:rtl/>
        </w:rPr>
        <w:t xml:space="preserve"> </w:t>
      </w:r>
      <w:r>
        <w:tab/>
      </w:r>
      <w:r>
        <w:tab/>
      </w:r>
      <w:r>
        <w:tab/>
      </w:r>
      <w:r>
        <w:tab/>
      </w:r>
      <w:r>
        <w:rPr>
          <w:rFonts w:hint="cs"/>
          <w:b/>
          <w:bCs/>
          <w:rtl/>
        </w:rPr>
        <w:t>יסמין פרידמן</w:t>
      </w:r>
      <w:r>
        <w:br/>
      </w:r>
      <w:r>
        <w:rPr>
          <w:rFonts w:hint="cs"/>
          <w:b/>
          <w:bCs/>
          <w:rtl/>
        </w:rPr>
        <w:t xml:space="preserve"> </w:t>
      </w:r>
      <w:r>
        <w:tab/>
      </w:r>
      <w:r>
        <w:tab/>
      </w:r>
      <w:r>
        <w:tab/>
      </w:r>
      <w:r>
        <w:tab/>
      </w:r>
      <w:r>
        <w:rPr>
          <w:rFonts w:hint="cs"/>
          <w:b/>
          <w:bCs/>
          <w:rtl/>
        </w:rPr>
        <w:t>סימון דוידסון</w:t>
      </w:r>
      <w:r>
        <w:br/>
      </w:r>
      <w:r>
        <w:rPr>
          <w:rFonts w:hint="cs"/>
          <w:b/>
          <w:bCs/>
          <w:rtl/>
        </w:rPr>
        <w:t xml:space="preserve"> </w:t>
      </w:r>
      <w:r>
        <w:tab/>
      </w:r>
      <w:r>
        <w:tab/>
      </w:r>
      <w:r>
        <w:tab/>
      </w:r>
      <w:r>
        <w:tab/>
      </w:r>
      <w:r>
        <w:rPr>
          <w:rFonts w:hint="cs"/>
          <w:b/>
          <w:bCs/>
          <w:rtl/>
        </w:rPr>
        <w:t>מטי צרפתי הרכבי</w:t>
      </w:r>
      <w:r>
        <w:br/>
      </w:r>
      <w:r>
        <w:rPr>
          <w:rFonts w:hint="cs"/>
          <w:b/>
          <w:bCs/>
          <w:rtl/>
        </w:rPr>
        <w:t xml:space="preserve"> </w:t>
      </w:r>
      <w:r>
        <w:tab/>
      </w:r>
      <w:r>
        <w:tab/>
      </w:r>
      <w:r>
        <w:tab/>
      </w:r>
      <w:r>
        <w:tab/>
      </w:r>
      <w:r>
        <w:rPr>
          <w:rFonts w:hint="cs"/>
          <w:b/>
          <w:bCs/>
          <w:rtl/>
        </w:rPr>
        <w:t>דבי ביטון</w:t>
      </w:r>
      <w:r>
        <w:br/>
      </w:r>
      <w:r>
        <w:rPr>
          <w:rFonts w:hint="cs"/>
          <w:b/>
          <w:bCs/>
          <w:rtl/>
        </w:rPr>
        <w:t xml:space="preserve"> </w:t>
      </w:r>
      <w:r>
        <w:tab/>
      </w:r>
      <w:r>
        <w:tab/>
      </w:r>
      <w:r>
        <w:tab/>
      </w:r>
      <w:r>
        <w:tab/>
      </w:r>
      <w:r>
        <w:rPr>
          <w:rFonts w:hint="cs"/>
          <w:b/>
          <w:bCs/>
          <w:rtl/>
        </w:rPr>
        <w:t>רון כץ</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נאור שירי</w:t>
      </w:r>
      <w:r>
        <w:br/>
      </w:r>
      <w:r>
        <w:rPr>
          <w:rFonts w:hint="cs"/>
          <w:b/>
          <w:bCs/>
          <w:rtl/>
        </w:rPr>
        <w:t xml:space="preserve"> </w:t>
      </w:r>
      <w:r>
        <w:tab/>
      </w:r>
      <w:r>
        <w:tab/>
      </w:r>
      <w:r>
        <w:tab/>
      </w:r>
      <w:r>
        <w:tab/>
      </w:r>
      <w:r>
        <w:rPr>
          <w:rFonts w:hint="cs"/>
          <w:b/>
          <w:bCs/>
          <w:rtl/>
        </w:rPr>
        <w:t>יואב סגלוביץ'</w:t>
      </w:r>
      <w:r>
        <w:br/>
      </w:r>
      <w:r>
        <w:rPr>
          <w:rFonts w:hint="cs"/>
          <w:b/>
          <w:bCs/>
          <w:rtl/>
        </w:rPr>
        <w:t xml:space="preserve"> </w:t>
      </w:r>
      <w:r>
        <w:tab/>
      </w:r>
      <w:r>
        <w:tab/>
      </w:r>
      <w:r>
        <w:tab/>
      </w:r>
      <w:r>
        <w:tab/>
      </w:r>
      <w:r>
        <w:rPr>
          <w:rFonts w:hint="cs"/>
          <w:b/>
          <w:bCs/>
          <w:rtl/>
        </w:rPr>
        <w:t>שלי טל מירון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84BEE79"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D65221">
        <w:rPr>
          <w:rtl/>
        </w:rPr>
        <w:tab/>
      </w:r>
      <w:r>
        <w:rPr>
          <w:rFonts w:hint="cs"/>
          <w:rtl/>
        </w:rPr>
        <w:t>פ/4225/25</w:t>
      </w:r>
      <w:bookmarkEnd w:id="6"/>
    </w:p>
    <w:p w14:paraId="7F6961AC" w14:textId="77777777" w:rsidR="00E13C27" w:rsidRDefault="00E13C27" w:rsidP="00E13C27">
      <w:pPr>
        <w:ind w:left="2880" w:firstLine="720"/>
        <w:rPr>
          <w:sz w:val="26"/>
          <w:szCs w:val="26"/>
          <w:rtl/>
        </w:rPr>
      </w:pPr>
    </w:p>
    <w:p w14:paraId="7F6961AE" w14:textId="4A3F916F" w:rsidR="00E13C27" w:rsidRDefault="00A443CF" w:rsidP="00CF27D8">
      <w:pPr>
        <w:pStyle w:val="HeadHatzaotHok"/>
        <w:rPr>
          <w:rtl/>
        </w:rPr>
      </w:pPr>
      <w:bookmarkStart w:id="7" w:name="LGS_Subject"/>
      <w:r>
        <w:rPr>
          <w:rFonts w:hint="cs"/>
          <w:rtl/>
        </w:rPr>
        <w:t xml:space="preserve">הצעת חוק הסכמים לנשיאת עוברים (אישור הסכם ומעמד היילוד) (תיקון </w:t>
      </w:r>
      <w:r w:rsidR="00CF27D8">
        <w:rPr>
          <w:rFonts w:hint="eastAsia"/>
          <w:rtl/>
        </w:rPr>
        <w:t>–</w:t>
      </w:r>
      <w:r>
        <w:rPr>
          <w:rFonts w:hint="cs"/>
          <w:rtl/>
        </w:rPr>
        <w:t xml:space="preserve"> הבאת ביציות מופרות מחוץ לישראל), התשפ"ד</w:t>
      </w:r>
      <w:r w:rsidR="00CF27D8">
        <w:rPr>
          <w:rFonts w:hint="eastAsia"/>
          <w:rtl/>
        </w:rPr>
        <w:t>–</w:t>
      </w:r>
      <w:r>
        <w:rPr>
          <w:rFonts w:hint="cs"/>
          <w:rtl/>
        </w:rPr>
        <w:t>2024</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D8574B" w14:paraId="0FD549AF" w14:textId="77777777" w:rsidTr="00D65221">
        <w:trPr>
          <w:cantSplit/>
        </w:trPr>
        <w:tc>
          <w:tcPr>
            <w:tcW w:w="1871" w:type="dxa"/>
            <w:hideMark/>
          </w:tcPr>
          <w:p w14:paraId="254B667A" w14:textId="77777777" w:rsidR="00D8574B" w:rsidRDefault="00D8574B" w:rsidP="00E34595">
            <w:pPr>
              <w:pStyle w:val="TableSideHeading"/>
              <w:keepLines w:val="0"/>
            </w:pPr>
            <w:r>
              <w:rPr>
                <w:rFonts w:hint="cs"/>
                <w:rtl/>
              </w:rPr>
              <w:t>תיקון סעיף 5</w:t>
            </w:r>
          </w:p>
        </w:tc>
        <w:tc>
          <w:tcPr>
            <w:tcW w:w="624" w:type="dxa"/>
            <w:hideMark/>
          </w:tcPr>
          <w:p w14:paraId="58A71FF9" w14:textId="77777777" w:rsidR="00D8574B" w:rsidRDefault="00D8574B" w:rsidP="00E34595">
            <w:pPr>
              <w:pStyle w:val="TableText"/>
              <w:keepLines w:val="0"/>
            </w:pPr>
            <w:r>
              <w:rPr>
                <w:rFonts w:hint="cs"/>
                <w:rtl/>
              </w:rPr>
              <w:t>1.</w:t>
            </w:r>
          </w:p>
        </w:tc>
        <w:tc>
          <w:tcPr>
            <w:tcW w:w="7143" w:type="dxa"/>
            <w:hideMark/>
          </w:tcPr>
          <w:p w14:paraId="1E828281" w14:textId="50E77B6C" w:rsidR="00D8574B" w:rsidRPr="00377BD2" w:rsidRDefault="00D8574B" w:rsidP="00D65221">
            <w:pPr>
              <w:pStyle w:val="TableBlock"/>
              <w:rPr>
                <w:sz w:val="26"/>
              </w:rPr>
            </w:pPr>
            <w:r w:rsidRPr="00377BD2">
              <w:rPr>
                <w:rFonts w:ascii="David" w:eastAsia="Times New Roman" w:hAnsi="David"/>
                <w:sz w:val="26"/>
                <w:rtl/>
              </w:rPr>
              <w:t xml:space="preserve">בחוק הסכמים לנשיאת עוברים (אישור הסכם ומעמד היילוד), </w:t>
            </w:r>
            <w:r w:rsidR="00437C0A">
              <w:rPr>
                <w:rFonts w:ascii="David" w:eastAsia="Times New Roman" w:hAnsi="David" w:hint="cs"/>
                <w:sz w:val="26"/>
                <w:rtl/>
              </w:rPr>
              <w:t>ה</w:t>
            </w:r>
            <w:r w:rsidRPr="00377BD2">
              <w:rPr>
                <w:rFonts w:ascii="David" w:eastAsia="Times New Roman" w:hAnsi="David"/>
                <w:sz w:val="26"/>
                <w:rtl/>
              </w:rPr>
              <w:t>תשנ"ו</w:t>
            </w:r>
            <w:r w:rsidR="00437C0A">
              <w:rPr>
                <w:rFonts w:ascii="David" w:eastAsia="Times New Roman" w:hAnsi="David" w:hint="cs"/>
                <w:sz w:val="26"/>
                <w:rtl/>
              </w:rPr>
              <w:t>–</w:t>
            </w:r>
            <w:r w:rsidRPr="00377BD2">
              <w:rPr>
                <w:rFonts w:ascii="David" w:eastAsia="Times New Roman" w:hAnsi="David"/>
                <w:sz w:val="26"/>
                <w:rtl/>
              </w:rPr>
              <w:t>1996</w:t>
            </w:r>
            <w:r w:rsidR="00437C0A" w:rsidRPr="00D65221">
              <w:rPr>
                <w:rStyle w:val="a5"/>
                <w:rFonts w:ascii="David" w:eastAsia="Times New Roman" w:hAnsi="David"/>
                <w:sz w:val="26"/>
                <w:rtl/>
              </w:rPr>
              <w:footnoteReference w:id="2"/>
            </w:r>
            <w:r w:rsidRPr="00377BD2">
              <w:rPr>
                <w:rFonts w:ascii="David" w:eastAsia="Times New Roman" w:hAnsi="David"/>
                <w:sz w:val="26"/>
                <w:rtl/>
              </w:rPr>
              <w:t>, בסעיף 5(א)(1ו)</w:t>
            </w:r>
            <w:r w:rsidR="00CB3BB4">
              <w:rPr>
                <w:rFonts w:ascii="David" w:eastAsia="Times New Roman" w:hAnsi="David" w:hint="cs"/>
                <w:sz w:val="26"/>
                <w:rtl/>
              </w:rPr>
              <w:t>,</w:t>
            </w:r>
            <w:r w:rsidRPr="00377BD2">
              <w:rPr>
                <w:rFonts w:ascii="David" w:eastAsia="Times New Roman" w:hAnsi="David"/>
                <w:sz w:val="26"/>
                <w:rtl/>
              </w:rPr>
              <w:t xml:space="preserve"> המילים "ההפריה החוץ-גופית לשם השתלת ביציות מופרות באם הנושאת"</w:t>
            </w:r>
            <w:r w:rsidR="00A825F9">
              <w:rPr>
                <w:rFonts w:ascii="David" w:eastAsia="Times New Roman" w:hAnsi="David" w:hint="cs"/>
                <w:sz w:val="26"/>
                <w:rtl/>
              </w:rPr>
              <w:t xml:space="preserve"> </w:t>
            </w:r>
            <w:r w:rsidR="00A825F9">
              <w:rPr>
                <w:rFonts w:ascii="David" w:eastAsia="Times New Roman" w:hAnsi="David"/>
                <w:sz w:val="26"/>
                <w:rtl/>
              </w:rPr>
              <w:t>–</w:t>
            </w:r>
            <w:r w:rsidR="00A825F9">
              <w:rPr>
                <w:rFonts w:ascii="David" w:eastAsia="Times New Roman" w:hAnsi="David" w:hint="cs"/>
                <w:sz w:val="26"/>
                <w:rtl/>
              </w:rPr>
              <w:t xml:space="preserve"> </w:t>
            </w:r>
            <w:r w:rsidR="00437C0A">
              <w:rPr>
                <w:rFonts w:ascii="David" w:eastAsia="Times New Roman" w:hAnsi="David" w:hint="cs"/>
                <w:sz w:val="26"/>
                <w:rtl/>
              </w:rPr>
              <w:t>יימחקו</w:t>
            </w:r>
            <w:r w:rsidRPr="00377BD2">
              <w:rPr>
                <w:rFonts w:ascii="David" w:eastAsia="Times New Roman" w:hAnsi="David"/>
                <w:sz w:val="26"/>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5B70395C" w14:textId="0C2B4755" w:rsidR="00D8574B" w:rsidRPr="00D65221" w:rsidRDefault="00D8574B" w:rsidP="00D65221">
      <w:pPr>
        <w:pStyle w:val="Hesber"/>
      </w:pPr>
      <w:r w:rsidRPr="00D65221">
        <w:rPr>
          <w:rtl/>
        </w:rPr>
        <w:t>הליך הפונדקאות נועד לסייע בידי אלו שאינם יכולים או מתקשים רפואית להביא ילדים לעולם. בשל מחסור בתרומות ביציות בישראל, זוגות רבים נאלצים לרכוש ביצי</w:t>
      </w:r>
      <w:r w:rsidR="005A19B3" w:rsidRPr="00D65221">
        <w:rPr>
          <w:rFonts w:hint="cs"/>
          <w:rtl/>
        </w:rPr>
        <w:t>ו</w:t>
      </w:r>
      <w:r w:rsidRPr="00D65221">
        <w:rPr>
          <w:rtl/>
        </w:rPr>
        <w:t>ת בחו"ל. טרם הקפאת</w:t>
      </w:r>
      <w:r w:rsidR="00437C0A" w:rsidRPr="00D65221">
        <w:rPr>
          <w:rFonts w:hint="cs"/>
          <w:rtl/>
        </w:rPr>
        <w:t xml:space="preserve"> הביציות</w:t>
      </w:r>
      <w:r w:rsidRPr="00D65221">
        <w:rPr>
          <w:rtl/>
        </w:rPr>
        <w:t xml:space="preserve"> ושינוע</w:t>
      </w:r>
      <w:r w:rsidR="00437C0A" w:rsidRPr="00D65221">
        <w:rPr>
          <w:rFonts w:hint="cs"/>
          <w:rtl/>
        </w:rPr>
        <w:t>ן,</w:t>
      </w:r>
      <w:r w:rsidRPr="00D65221">
        <w:rPr>
          <w:rtl/>
        </w:rPr>
        <w:t xml:space="preserve"> ניתן לבצע הפריה שלהן במדינת המקור, </w:t>
      </w:r>
      <w:r w:rsidR="005A19B3" w:rsidRPr="00D65221">
        <w:rPr>
          <w:rFonts w:hint="cs"/>
          <w:rtl/>
        </w:rPr>
        <w:t>פעולה</w:t>
      </w:r>
      <w:r w:rsidR="005A19B3" w:rsidRPr="00D65221">
        <w:rPr>
          <w:rtl/>
        </w:rPr>
        <w:t xml:space="preserve"> שמגדיל</w:t>
      </w:r>
      <w:r w:rsidR="005A19B3" w:rsidRPr="00D65221">
        <w:rPr>
          <w:rFonts w:hint="cs"/>
          <w:rtl/>
        </w:rPr>
        <w:t>ה</w:t>
      </w:r>
      <w:r w:rsidR="005A19B3" w:rsidRPr="00D65221">
        <w:rPr>
          <w:rtl/>
        </w:rPr>
        <w:t xml:space="preserve"> את סיכויי היקלטות הביצית ברחמה של הפונדקאית</w:t>
      </w:r>
      <w:r w:rsidR="005A19B3" w:rsidRPr="00D65221">
        <w:rPr>
          <w:rFonts w:hint="cs"/>
          <w:rtl/>
        </w:rPr>
        <w:t xml:space="preserve"> לפי </w:t>
      </w:r>
      <w:r w:rsidRPr="00D65221">
        <w:rPr>
          <w:rtl/>
        </w:rPr>
        <w:t>מחקרים רפואיים רבים. </w:t>
      </w:r>
    </w:p>
    <w:p w14:paraId="7B5572EF" w14:textId="57AE083E" w:rsidR="00D8574B" w:rsidRPr="00D65221" w:rsidRDefault="00D8574B" w:rsidP="00D65221">
      <w:pPr>
        <w:pStyle w:val="Hesber"/>
      </w:pPr>
      <w:r w:rsidRPr="00D65221">
        <w:rPr>
          <w:rtl/>
        </w:rPr>
        <w:t>לאורך השנים ובניגוד לכ</w:t>
      </w:r>
      <w:bookmarkStart w:id="8" w:name="_GoBack"/>
      <w:bookmarkEnd w:id="8"/>
      <w:r w:rsidRPr="00D65221">
        <w:rPr>
          <w:rtl/>
        </w:rPr>
        <w:t xml:space="preserve">תוב בחוק, אישר משרד הבריאות ייבוא של ביציות מופרות. על רקע הכרעת </w:t>
      </w:r>
      <w:r w:rsidR="00096B45" w:rsidRPr="00D65221">
        <w:rPr>
          <w:rFonts w:hint="cs"/>
          <w:rtl/>
        </w:rPr>
        <w:t>בית המשפט ב</w:t>
      </w:r>
      <w:r w:rsidRPr="00D65221">
        <w:rPr>
          <w:rtl/>
        </w:rPr>
        <w:t xml:space="preserve">בג"ץ </w:t>
      </w:r>
      <w:r w:rsidR="00437C0A" w:rsidRPr="00D65221">
        <w:rPr>
          <w:rFonts w:hint="cs"/>
          <w:rtl/>
        </w:rPr>
        <w:t xml:space="preserve">781/15 </w:t>
      </w:r>
      <w:r w:rsidR="00437C0A" w:rsidRPr="00CB3BB4">
        <w:rPr>
          <w:rFonts w:hint="eastAsia"/>
          <w:b/>
          <w:bCs/>
          <w:rtl/>
        </w:rPr>
        <w:t>איתי</w:t>
      </w:r>
      <w:r w:rsidR="00437C0A" w:rsidRPr="00CB3BB4">
        <w:rPr>
          <w:b/>
          <w:bCs/>
          <w:rtl/>
        </w:rPr>
        <w:t xml:space="preserve"> </w:t>
      </w:r>
      <w:r w:rsidR="00437C0A" w:rsidRPr="00CB3BB4">
        <w:rPr>
          <w:rFonts w:hint="eastAsia"/>
          <w:b/>
          <w:bCs/>
          <w:rtl/>
        </w:rPr>
        <w:t>ארד</w:t>
      </w:r>
      <w:r w:rsidR="00437C0A" w:rsidRPr="00CB3BB4">
        <w:rPr>
          <w:b/>
          <w:bCs/>
          <w:rtl/>
        </w:rPr>
        <w:t xml:space="preserve">-פנקס </w:t>
      </w:r>
      <w:r w:rsidR="00437C0A" w:rsidRPr="00CB3BB4">
        <w:rPr>
          <w:rFonts w:hint="eastAsia"/>
          <w:b/>
          <w:bCs/>
          <w:rtl/>
        </w:rPr>
        <w:t>נ</w:t>
      </w:r>
      <w:r w:rsidR="00437C0A" w:rsidRPr="00CB3BB4">
        <w:rPr>
          <w:b/>
          <w:bCs/>
          <w:rtl/>
        </w:rPr>
        <w:t xml:space="preserve">' </w:t>
      </w:r>
      <w:r w:rsidR="00437C0A" w:rsidRPr="00CB3BB4">
        <w:rPr>
          <w:rFonts w:hint="eastAsia"/>
          <w:b/>
          <w:bCs/>
          <w:rtl/>
        </w:rPr>
        <w:t>הוועדה</w:t>
      </w:r>
      <w:r w:rsidR="00437C0A" w:rsidRPr="00CB3BB4">
        <w:rPr>
          <w:b/>
          <w:bCs/>
          <w:rtl/>
        </w:rPr>
        <w:t xml:space="preserve"> </w:t>
      </w:r>
      <w:r w:rsidR="00437C0A" w:rsidRPr="00CB3BB4">
        <w:rPr>
          <w:rFonts w:hint="eastAsia"/>
          <w:b/>
          <w:bCs/>
          <w:rtl/>
        </w:rPr>
        <w:t>לאישור</w:t>
      </w:r>
      <w:r w:rsidR="00437C0A" w:rsidRPr="00CB3BB4">
        <w:rPr>
          <w:b/>
          <w:bCs/>
          <w:rtl/>
        </w:rPr>
        <w:t xml:space="preserve"> </w:t>
      </w:r>
      <w:r w:rsidR="00437C0A" w:rsidRPr="00CB3BB4">
        <w:rPr>
          <w:rFonts w:hint="eastAsia"/>
          <w:b/>
          <w:bCs/>
          <w:rtl/>
        </w:rPr>
        <w:t>הסכמים</w:t>
      </w:r>
      <w:r w:rsidR="00437C0A" w:rsidRPr="00CB3BB4">
        <w:rPr>
          <w:b/>
          <w:bCs/>
          <w:rtl/>
        </w:rPr>
        <w:t xml:space="preserve"> </w:t>
      </w:r>
      <w:r w:rsidR="00437C0A" w:rsidRPr="00CB3BB4">
        <w:rPr>
          <w:rFonts w:hint="eastAsia"/>
          <w:b/>
          <w:bCs/>
          <w:rtl/>
        </w:rPr>
        <w:t>לנשיאת</w:t>
      </w:r>
      <w:r w:rsidR="00437C0A" w:rsidRPr="00CB3BB4">
        <w:rPr>
          <w:b/>
          <w:bCs/>
          <w:rtl/>
        </w:rPr>
        <w:t xml:space="preserve"> </w:t>
      </w:r>
      <w:r w:rsidR="00437C0A" w:rsidRPr="00CB3BB4">
        <w:rPr>
          <w:rFonts w:hint="eastAsia"/>
          <w:b/>
          <w:bCs/>
          <w:rtl/>
        </w:rPr>
        <w:t>עוברים</w:t>
      </w:r>
      <w:r w:rsidR="00437C0A" w:rsidRPr="00D65221">
        <w:rPr>
          <w:rFonts w:hint="cs"/>
          <w:rtl/>
        </w:rPr>
        <w:t xml:space="preserve"> </w:t>
      </w:r>
      <w:r w:rsidR="003064AF" w:rsidRPr="00D65221">
        <w:rPr>
          <w:rtl/>
        </w:rPr>
        <w:t>ו</w:t>
      </w:r>
      <w:r w:rsidR="003064AF" w:rsidRPr="00D65221">
        <w:rPr>
          <w:rFonts w:hint="cs"/>
          <w:rtl/>
        </w:rPr>
        <w:t xml:space="preserve">חוזר מנכ"ל </w:t>
      </w:r>
      <w:r w:rsidRPr="00D65221">
        <w:rPr>
          <w:rtl/>
        </w:rPr>
        <w:t>משרד הבריאות</w:t>
      </w:r>
      <w:r w:rsidR="003064AF" w:rsidRPr="00D65221">
        <w:rPr>
          <w:rFonts w:hint="cs"/>
          <w:rtl/>
        </w:rPr>
        <w:t xml:space="preserve"> מספר 7/2021 שפורסם בעקבות פסק הדין,</w:t>
      </w:r>
      <w:r w:rsidRPr="00D65221">
        <w:rPr>
          <w:rtl/>
        </w:rPr>
        <w:t xml:space="preserve"> המאפשר</w:t>
      </w:r>
      <w:r w:rsidR="003064AF" w:rsidRPr="00D65221">
        <w:rPr>
          <w:rFonts w:hint="cs"/>
          <w:rtl/>
        </w:rPr>
        <w:t xml:space="preserve"> </w:t>
      </w:r>
      <w:r w:rsidRPr="00D65221">
        <w:rPr>
          <w:rtl/>
        </w:rPr>
        <w:t xml:space="preserve">לזוג גברים להביא ילדים בפונדקאות, בדומה לשאר האוכלוסייה, החל המשרד בבחינה מחודשת של ייבוא הביציות מופרות </w:t>
      </w:r>
      <w:r w:rsidRPr="00D65221">
        <w:rPr>
          <w:rtl/>
        </w:rPr>
        <w:lastRenderedPageBreak/>
        <w:t xml:space="preserve">מחו"ל. </w:t>
      </w:r>
    </w:p>
    <w:p w14:paraId="182725F9" w14:textId="444D334C" w:rsidR="00D8574B" w:rsidRPr="00D65221" w:rsidRDefault="00D8574B" w:rsidP="00D65221">
      <w:pPr>
        <w:pStyle w:val="Hesber"/>
        <w:rPr>
          <w:rtl/>
        </w:rPr>
      </w:pPr>
      <w:r w:rsidRPr="00D65221">
        <w:rPr>
          <w:rtl/>
        </w:rPr>
        <w:t xml:space="preserve">תחילה הוחלט לאפשר המשך ייבוא ביציות מופרות מחו"ל בכל פעם לתקופות קצובות של מספר חודשים. </w:t>
      </w:r>
      <w:r w:rsidR="005A19B3" w:rsidRPr="00D65221">
        <w:rPr>
          <w:rFonts w:hint="cs"/>
          <w:rtl/>
        </w:rPr>
        <w:t xml:space="preserve">תוקף </w:t>
      </w:r>
      <w:r w:rsidRPr="00D65221">
        <w:rPr>
          <w:rtl/>
        </w:rPr>
        <w:t xml:space="preserve">ההארכה האחרונה מצד משרד הבריאות עתיד </w:t>
      </w:r>
      <w:r w:rsidR="005A19B3" w:rsidRPr="00D65221">
        <w:rPr>
          <w:rtl/>
        </w:rPr>
        <w:t>לפ</w:t>
      </w:r>
      <w:r w:rsidR="005A19B3" w:rsidRPr="00D65221">
        <w:rPr>
          <w:rFonts w:hint="cs"/>
          <w:rtl/>
        </w:rPr>
        <w:t>קוע</w:t>
      </w:r>
      <w:r w:rsidR="005A19B3" w:rsidRPr="00D65221">
        <w:rPr>
          <w:rtl/>
        </w:rPr>
        <w:t xml:space="preserve"> </w:t>
      </w:r>
      <w:r w:rsidRPr="00D65221">
        <w:rPr>
          <w:rtl/>
        </w:rPr>
        <w:t>באוגוסט 2024. ראוי לציין כי הבאת הביציות ארצה מבוצעת דרך מרפאות אשר אושרו מראש בידי משרד הבריאות, כך שזהות הגורם שהפרה את הביצית ידועה, ואין לה השפעה כלשהי על ההתקשרות בין הפונדקאית ובין הזוג.</w:t>
      </w:r>
    </w:p>
    <w:p w14:paraId="30E891B5" w14:textId="7A887352" w:rsidR="00D8574B" w:rsidRPr="00D65221" w:rsidRDefault="002F0E2E" w:rsidP="00D65221">
      <w:pPr>
        <w:pStyle w:val="Hesber"/>
      </w:pPr>
      <w:r w:rsidRPr="00D65221">
        <w:rPr>
          <w:rFonts w:hint="cs"/>
          <w:rtl/>
        </w:rPr>
        <w:t xml:space="preserve">לפיכך מוצע </w:t>
      </w:r>
      <w:r w:rsidR="00D8574B" w:rsidRPr="00D65221">
        <w:rPr>
          <w:rtl/>
        </w:rPr>
        <w:t xml:space="preserve">לאפשר באופן קבוע הבאת ביציות מופרות מחו"ל, ובכך להוריד חסם נוסף </w:t>
      </w:r>
      <w:r w:rsidR="00437C0A" w:rsidRPr="00D65221">
        <w:rPr>
          <w:rtl/>
        </w:rPr>
        <w:t xml:space="preserve">ולחזק את </w:t>
      </w:r>
      <w:r w:rsidR="00437C0A" w:rsidRPr="00D65221">
        <w:rPr>
          <w:rFonts w:hint="cs"/>
          <w:rtl/>
        </w:rPr>
        <w:t>ה</w:t>
      </w:r>
      <w:r w:rsidR="00437C0A" w:rsidRPr="00D65221">
        <w:rPr>
          <w:rtl/>
        </w:rPr>
        <w:t xml:space="preserve">וודאות </w:t>
      </w:r>
      <w:r w:rsidR="00D8574B" w:rsidRPr="00D65221">
        <w:rPr>
          <w:rtl/>
        </w:rPr>
        <w:t>בהליך הפונדקאות, שהינו יקר וסבוך מאוד. מתן פתרון זה יפחית עומס עבור זוגות צעירים המעוניינים להקים משפחה בישראל.  </w:t>
      </w:r>
    </w:p>
    <w:p w14:paraId="7F6961CB" w14:textId="77777777" w:rsidR="00E13C27" w:rsidRPr="00D8574B" w:rsidRDefault="00E13C27" w:rsidP="00E13C27">
      <w:pPr>
        <w:pStyle w:val="Hesber"/>
        <w:rPr>
          <w:rtl/>
        </w:rPr>
      </w:pPr>
    </w:p>
    <w:p w14:paraId="275CF306" w14:textId="77777777" w:rsidR="00E600B8" w:rsidRDefault="00D65221">
      <w:pPr>
        <w:jc w:val="left"/>
      </w:pPr>
      <w:bookmarkStart w:id="9" w:name="selectedDocDateB"/>
      <w:bookmarkEnd w:id="9"/>
      <w:r>
        <w:rPr>
          <w:rFonts w:eastAsia="David" w:hint="cs"/>
          <w:sz w:val="26"/>
          <w:szCs w:val="26"/>
          <w:rtl/>
        </w:rPr>
        <w:t>--------------------------------</w:t>
      </w:r>
    </w:p>
    <w:p w14:paraId="33E406B8" w14:textId="77777777" w:rsidR="00E600B8" w:rsidRDefault="00D65221">
      <w:pPr>
        <w:jc w:val="left"/>
      </w:pPr>
      <w:r>
        <w:rPr>
          <w:rFonts w:eastAsia="David" w:hint="cs"/>
          <w:sz w:val="26"/>
          <w:szCs w:val="26"/>
          <w:rtl/>
        </w:rPr>
        <w:t>הוגשה ליו"ר הכנסת והסגנים</w:t>
      </w:r>
    </w:p>
    <w:p w14:paraId="4DE29D01" w14:textId="77777777" w:rsidR="00E600B8" w:rsidRDefault="00D65221">
      <w:pPr>
        <w:jc w:val="left"/>
      </w:pPr>
      <w:r>
        <w:rPr>
          <w:rFonts w:eastAsia="David" w:hint="cs"/>
          <w:sz w:val="26"/>
          <w:szCs w:val="26"/>
          <w:rtl/>
        </w:rPr>
        <w:t>והונחה על שולחן הכנסת ביום</w:t>
      </w:r>
    </w:p>
    <w:p w14:paraId="09AE193E" w14:textId="77777777" w:rsidR="00E600B8" w:rsidRDefault="00D65221">
      <w:pPr>
        <w:jc w:val="left"/>
      </w:pPr>
      <w:r>
        <w:rPr>
          <w:rFonts w:eastAsia="David" w:hint="cs"/>
          <w:sz w:val="26"/>
          <w:szCs w:val="26"/>
          <w:rtl/>
        </w:rPr>
        <w:t xml:space="preserve">י"ב בשבט התשפ"ד (22.01.2024) </w:t>
      </w:r>
    </w:p>
    <w:p w14:paraId="35D7802C" w14:textId="77777777" w:rsidR="00E600B8" w:rsidRDefault="00E600B8">
      <w:pPr>
        <w:spacing w:line="276" w:lineRule="auto"/>
        <w:jc w:val="left"/>
      </w:pPr>
    </w:p>
    <w:sectPr w:rsidR="00E600B8" w:rsidSect="00D6522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001EFEE3"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B3BB4">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6522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EB75433" w14:textId="71EC2AA2" w:rsidR="00437C0A" w:rsidRDefault="00437C0A">
      <w:pPr>
        <w:pStyle w:val="a4"/>
      </w:pPr>
      <w:r>
        <w:rPr>
          <w:rStyle w:val="a5"/>
        </w:rPr>
        <w:footnoteRef/>
      </w:r>
      <w:r>
        <w:rPr>
          <w:rtl/>
        </w:rPr>
        <w:t xml:space="preserve"> </w:t>
      </w:r>
      <w:r>
        <w:rPr>
          <w:rFonts w:hint="cs"/>
          <w:rtl/>
        </w:rPr>
        <w:t>ס"ח התשנ"ו, עמ'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96B45"/>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0E2E"/>
    <w:rsid w:val="002F1D80"/>
    <w:rsid w:val="003064AF"/>
    <w:rsid w:val="003232A2"/>
    <w:rsid w:val="00325C14"/>
    <w:rsid w:val="0036422C"/>
    <w:rsid w:val="003710F6"/>
    <w:rsid w:val="00386E88"/>
    <w:rsid w:val="00396585"/>
    <w:rsid w:val="003D6E38"/>
    <w:rsid w:val="003D74A0"/>
    <w:rsid w:val="004033D8"/>
    <w:rsid w:val="004073F0"/>
    <w:rsid w:val="00412A7D"/>
    <w:rsid w:val="00416B4D"/>
    <w:rsid w:val="00417CFC"/>
    <w:rsid w:val="00437C0A"/>
    <w:rsid w:val="004A06DC"/>
    <w:rsid w:val="004B24ED"/>
    <w:rsid w:val="004B6625"/>
    <w:rsid w:val="004D2D82"/>
    <w:rsid w:val="004D3876"/>
    <w:rsid w:val="004E4552"/>
    <w:rsid w:val="004E6CDF"/>
    <w:rsid w:val="00553C9D"/>
    <w:rsid w:val="00562A66"/>
    <w:rsid w:val="005A19B3"/>
    <w:rsid w:val="005B064E"/>
    <w:rsid w:val="005D51AE"/>
    <w:rsid w:val="0062674B"/>
    <w:rsid w:val="006363B2"/>
    <w:rsid w:val="00644940"/>
    <w:rsid w:val="006818A9"/>
    <w:rsid w:val="006A2D81"/>
    <w:rsid w:val="006C117E"/>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5F9"/>
    <w:rsid w:val="00A82CB7"/>
    <w:rsid w:val="00A942C1"/>
    <w:rsid w:val="00AA2F03"/>
    <w:rsid w:val="00AC36F7"/>
    <w:rsid w:val="00AC63A4"/>
    <w:rsid w:val="00AC771F"/>
    <w:rsid w:val="00AD239E"/>
    <w:rsid w:val="00B10265"/>
    <w:rsid w:val="00B16A99"/>
    <w:rsid w:val="00B21211"/>
    <w:rsid w:val="00B35784"/>
    <w:rsid w:val="00B733A7"/>
    <w:rsid w:val="00B75C91"/>
    <w:rsid w:val="00B975AD"/>
    <w:rsid w:val="00BC45FB"/>
    <w:rsid w:val="00BF148D"/>
    <w:rsid w:val="00C23B1A"/>
    <w:rsid w:val="00C310EB"/>
    <w:rsid w:val="00C9176A"/>
    <w:rsid w:val="00CB3BB4"/>
    <w:rsid w:val="00CF1AA2"/>
    <w:rsid w:val="00CF27D8"/>
    <w:rsid w:val="00D142D3"/>
    <w:rsid w:val="00D17774"/>
    <w:rsid w:val="00D63620"/>
    <w:rsid w:val="00D65221"/>
    <w:rsid w:val="00D8410D"/>
    <w:rsid w:val="00D8574B"/>
    <w:rsid w:val="00D867D7"/>
    <w:rsid w:val="00DB7060"/>
    <w:rsid w:val="00DE3153"/>
    <w:rsid w:val="00E06736"/>
    <w:rsid w:val="00E13C27"/>
    <w:rsid w:val="00E33BBD"/>
    <w:rsid w:val="00E374F2"/>
    <w:rsid w:val="00E45103"/>
    <w:rsid w:val="00E55A60"/>
    <w:rsid w:val="00E600B8"/>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AC3F965-2F14-4B30-B888-519CEBA8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2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6522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6522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6522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6522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6522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6522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65221"/>
    <w:rPr>
      <w:sz w:val="36"/>
      <w:szCs w:val="52"/>
    </w:rPr>
  </w:style>
  <w:style w:type="paragraph" w:customStyle="1" w:styleId="Cover3-Haknesset">
    <w:name w:val="Cover 3-Haknesset"/>
    <w:basedOn w:val="Cover1-Reshumot"/>
    <w:rsid w:val="00D65221"/>
    <w:rPr>
      <w:b/>
      <w:bCs/>
      <w:spacing w:val="60"/>
    </w:rPr>
  </w:style>
  <w:style w:type="paragraph" w:customStyle="1" w:styleId="Cover4-Date">
    <w:name w:val="Cover 4-Date"/>
    <w:basedOn w:val="a"/>
    <w:rsid w:val="00D6522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6522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6522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65221"/>
    <w:pPr>
      <w:spacing w:before="120" w:after="120"/>
    </w:pPr>
    <w:rPr>
      <w:color w:val="FF0000"/>
      <w:w w:val="80"/>
    </w:rPr>
  </w:style>
  <w:style w:type="paragraph" w:styleId="a3">
    <w:name w:val="endnote text"/>
    <w:basedOn w:val="a"/>
    <w:semiHidden/>
    <w:rsid w:val="00D65221"/>
    <w:pPr>
      <w:ind w:left="227" w:hanging="227"/>
    </w:pPr>
    <w:rPr>
      <w:sz w:val="14"/>
      <w:szCs w:val="22"/>
    </w:rPr>
  </w:style>
  <w:style w:type="paragraph" w:customStyle="1" w:styleId="TableText">
    <w:name w:val="Table Text"/>
    <w:basedOn w:val="a"/>
    <w:rsid w:val="00D6522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65221"/>
    <w:pPr>
      <w:outlineLvl w:val="2"/>
    </w:pPr>
  </w:style>
  <w:style w:type="paragraph" w:customStyle="1" w:styleId="TableBlock">
    <w:name w:val="Table Block"/>
    <w:basedOn w:val="TableText"/>
    <w:rsid w:val="00D65221"/>
    <w:pPr>
      <w:jc w:val="both"/>
    </w:pPr>
  </w:style>
  <w:style w:type="paragraph" w:customStyle="1" w:styleId="TableHead">
    <w:name w:val="Table Head"/>
    <w:basedOn w:val="TableText"/>
    <w:rsid w:val="00D6522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65221"/>
    <w:pPr>
      <w:outlineLvl w:val="9"/>
    </w:pPr>
  </w:style>
  <w:style w:type="paragraph" w:customStyle="1" w:styleId="Hesber">
    <w:name w:val="Hesber"/>
    <w:basedOn w:val="a"/>
    <w:rsid w:val="00D65221"/>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D65221"/>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D65221"/>
    <w:rPr>
      <w:vertAlign w:val="superscript"/>
    </w:rPr>
  </w:style>
  <w:style w:type="paragraph" w:customStyle="1" w:styleId="HesberHeading">
    <w:name w:val="Hesber Heading"/>
    <w:basedOn w:val="Hesber"/>
    <w:rsid w:val="00D65221"/>
    <w:pPr>
      <w:tabs>
        <w:tab w:val="left" w:pos="624"/>
        <w:tab w:val="left" w:pos="1247"/>
      </w:tabs>
    </w:pPr>
    <w:rPr>
      <w:b/>
      <w:bCs/>
    </w:rPr>
  </w:style>
  <w:style w:type="paragraph" w:customStyle="1" w:styleId="HesberWriters">
    <w:name w:val="Hesber Writers"/>
    <w:basedOn w:val="Hesber"/>
    <w:rsid w:val="00D65221"/>
    <w:pPr>
      <w:spacing w:before="120" w:after="120"/>
      <w:ind w:left="1418"/>
      <w:jc w:val="right"/>
    </w:pPr>
    <w:rPr>
      <w:b/>
      <w:bCs/>
    </w:rPr>
  </w:style>
  <w:style w:type="paragraph" w:customStyle="1" w:styleId="Hesber1st">
    <w:name w:val="Hesber 1st"/>
    <w:basedOn w:val="Hesber"/>
    <w:rsid w:val="00D65221"/>
    <w:pPr>
      <w:tabs>
        <w:tab w:val="left" w:pos="680"/>
        <w:tab w:val="left" w:pos="1020"/>
      </w:tabs>
      <w:ind w:firstLine="0"/>
    </w:pPr>
  </w:style>
  <w:style w:type="character" w:styleId="a6">
    <w:name w:val="endnote reference"/>
    <w:basedOn w:val="a0"/>
    <w:semiHidden/>
    <w:rsid w:val="00D65221"/>
    <w:rPr>
      <w:vertAlign w:val="superscript"/>
    </w:rPr>
  </w:style>
  <w:style w:type="paragraph" w:customStyle="1" w:styleId="TableBlockOutdent">
    <w:name w:val="Table BlockOutdent"/>
    <w:basedOn w:val="TableBlock"/>
    <w:rsid w:val="00D65221"/>
    <w:pPr>
      <w:ind w:left="624" w:hanging="624"/>
    </w:pPr>
  </w:style>
  <w:style w:type="paragraph" w:styleId="a7">
    <w:name w:val="header"/>
    <w:basedOn w:val="a"/>
    <w:rsid w:val="00D65221"/>
    <w:pPr>
      <w:tabs>
        <w:tab w:val="center" w:pos="4153"/>
        <w:tab w:val="right" w:pos="8306"/>
      </w:tabs>
    </w:pPr>
  </w:style>
  <w:style w:type="paragraph" w:styleId="a8">
    <w:name w:val="footer"/>
    <w:basedOn w:val="a"/>
    <w:rsid w:val="00D65221"/>
    <w:pPr>
      <w:tabs>
        <w:tab w:val="center" w:pos="4153"/>
        <w:tab w:val="right" w:pos="8306"/>
      </w:tabs>
    </w:pPr>
  </w:style>
  <w:style w:type="paragraph" w:customStyle="1" w:styleId="HeadDivreiHesber">
    <w:name w:val="Head DivreiHesber"/>
    <w:basedOn w:val="a"/>
    <w:rsid w:val="00D6522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65221"/>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D6522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D65221"/>
    <w:rPr>
      <w:rFonts w:asciiTheme="majorHAnsi" w:eastAsiaTheme="majorEastAsia" w:hAnsiTheme="majorHAnsi" w:cs="David"/>
      <w:bCs/>
      <w:sz w:val="32"/>
      <w:szCs w:val="36"/>
    </w:rPr>
  </w:style>
  <w:style w:type="character" w:customStyle="1" w:styleId="20">
    <w:name w:val="כותרת 2 תו"/>
    <w:basedOn w:val="a0"/>
    <w:link w:val="2"/>
    <w:rsid w:val="00D65221"/>
    <w:rPr>
      <w:rFonts w:asciiTheme="majorHAnsi" w:eastAsiaTheme="majorEastAsia" w:hAnsiTheme="majorHAnsi" w:cs="David"/>
      <w:bCs/>
      <w:sz w:val="26"/>
      <w:szCs w:val="36"/>
      <w:u w:val="single"/>
    </w:rPr>
  </w:style>
  <w:style w:type="character" w:customStyle="1" w:styleId="30">
    <w:name w:val="כותרת 3 תו"/>
    <w:basedOn w:val="a0"/>
    <w:link w:val="3"/>
    <w:rsid w:val="00D65221"/>
    <w:rPr>
      <w:rFonts w:asciiTheme="majorHAnsi" w:eastAsiaTheme="majorEastAsia" w:hAnsiTheme="majorHAnsi" w:cs="David"/>
      <w:sz w:val="24"/>
      <w:szCs w:val="28"/>
      <w:u w:val="double"/>
    </w:rPr>
  </w:style>
  <w:style w:type="character" w:customStyle="1" w:styleId="40">
    <w:name w:val="כותרת 4 תו"/>
    <w:basedOn w:val="a0"/>
    <w:link w:val="4"/>
    <w:uiPriority w:val="9"/>
    <w:rsid w:val="00D6522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65221"/>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D65221"/>
    <w:pPr>
      <w:widowControl/>
      <w:spacing w:before="120" w:after="120"/>
      <w:outlineLvl w:val="9"/>
    </w:pPr>
    <w:rPr>
      <w:rtl/>
      <w:cs/>
    </w:rPr>
  </w:style>
  <w:style w:type="paragraph" w:styleId="TOC1">
    <w:name w:val="toc 1"/>
    <w:basedOn w:val="a"/>
    <w:next w:val="a"/>
    <w:autoRedefine/>
    <w:uiPriority w:val="39"/>
    <w:unhideWhenUsed/>
    <w:rsid w:val="00D65221"/>
    <w:pPr>
      <w:tabs>
        <w:tab w:val="right" w:leader="dot" w:pos="9629"/>
      </w:tabs>
      <w:spacing w:after="100"/>
    </w:pPr>
    <w:rPr>
      <w:bCs/>
      <w:szCs w:val="22"/>
    </w:rPr>
  </w:style>
  <w:style w:type="paragraph" w:styleId="TOC2">
    <w:name w:val="toc 2"/>
    <w:basedOn w:val="a"/>
    <w:next w:val="a"/>
    <w:uiPriority w:val="39"/>
    <w:unhideWhenUsed/>
    <w:rsid w:val="00D65221"/>
    <w:pPr>
      <w:tabs>
        <w:tab w:val="right" w:leader="dot" w:pos="9628"/>
      </w:tabs>
      <w:spacing w:after="100"/>
    </w:pPr>
    <w:rPr>
      <w:szCs w:val="22"/>
    </w:rPr>
  </w:style>
  <w:style w:type="character" w:styleId="Hyperlink">
    <w:name w:val="Hyperlink"/>
    <w:basedOn w:val="a0"/>
    <w:uiPriority w:val="99"/>
    <w:unhideWhenUsed/>
    <w:rsid w:val="00D65221"/>
    <w:rPr>
      <w:color w:val="0000FF" w:themeColor="hyperlink"/>
      <w:u w:val="single"/>
    </w:rPr>
  </w:style>
  <w:style w:type="paragraph" w:styleId="TOC3">
    <w:name w:val="toc 3"/>
    <w:basedOn w:val="a"/>
    <w:next w:val="a"/>
    <w:uiPriority w:val="39"/>
    <w:unhideWhenUsed/>
    <w:rsid w:val="00D6522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6522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65221"/>
    <w:pPr>
      <w:tabs>
        <w:tab w:val="right" w:leader="dot" w:pos="9628"/>
      </w:tabs>
      <w:spacing w:after="100"/>
      <w:ind w:left="567"/>
    </w:pPr>
    <w:rPr>
      <w:szCs w:val="22"/>
    </w:rPr>
  </w:style>
  <w:style w:type="paragraph" w:styleId="TOC6">
    <w:name w:val="toc 6"/>
    <w:basedOn w:val="a"/>
    <w:next w:val="a"/>
    <w:autoRedefine/>
    <w:semiHidden/>
    <w:unhideWhenUsed/>
    <w:rsid w:val="00D65221"/>
    <w:pPr>
      <w:spacing w:after="100"/>
      <w:ind w:left="850"/>
    </w:pPr>
  </w:style>
  <w:style w:type="paragraph" w:styleId="TOC7">
    <w:name w:val="toc 7"/>
    <w:basedOn w:val="a"/>
    <w:next w:val="a"/>
    <w:autoRedefine/>
    <w:semiHidden/>
    <w:unhideWhenUsed/>
    <w:rsid w:val="00D65221"/>
    <w:pPr>
      <w:spacing w:after="100"/>
      <w:ind w:left="1020"/>
    </w:pPr>
  </w:style>
  <w:style w:type="paragraph" w:styleId="TOC8">
    <w:name w:val="toc 8"/>
    <w:basedOn w:val="a"/>
    <w:next w:val="a"/>
    <w:autoRedefine/>
    <w:semiHidden/>
    <w:unhideWhenUsed/>
    <w:rsid w:val="00D65221"/>
    <w:pPr>
      <w:spacing w:after="100"/>
      <w:ind w:left="1190"/>
    </w:pPr>
  </w:style>
  <w:style w:type="paragraph" w:styleId="TOC9">
    <w:name w:val="toc 9"/>
    <w:basedOn w:val="a"/>
    <w:next w:val="a"/>
    <w:autoRedefine/>
    <w:semiHidden/>
    <w:unhideWhenUsed/>
    <w:rsid w:val="00D65221"/>
    <w:pPr>
      <w:spacing w:after="100"/>
      <w:ind w:left="1360"/>
    </w:pPr>
  </w:style>
  <w:style w:type="paragraph" w:customStyle="1" w:styleId="TableHead2">
    <w:name w:val="Table Head2"/>
    <w:basedOn w:val="TableHead"/>
    <w:qFormat/>
    <w:rsid w:val="00D65221"/>
    <w:pPr>
      <w:outlineLvl w:val="9"/>
    </w:pPr>
  </w:style>
  <w:style w:type="paragraph" w:customStyle="1" w:styleId="TableSideHeading2">
    <w:name w:val="Table SideHeading2"/>
    <w:basedOn w:val="TableSideHeading"/>
    <w:autoRedefine/>
    <w:qFormat/>
    <w:rsid w:val="00D65221"/>
    <w:pPr>
      <w:keepLines w:val="0"/>
      <w:outlineLvl w:val="9"/>
    </w:pPr>
  </w:style>
  <w:style w:type="paragraph" w:customStyle="1" w:styleId="0">
    <w:name w:val="סגנון שורה ראשונה:  0  ס''מ"/>
    <w:basedOn w:val="2"/>
    <w:rsid w:val="00D65221"/>
    <w:rPr>
      <w:rFonts w:eastAsia="Times New Roman"/>
    </w:rPr>
  </w:style>
  <w:style w:type="paragraph" w:styleId="ae">
    <w:name w:val="List Paragraph"/>
    <w:basedOn w:val="a"/>
    <w:uiPriority w:val="34"/>
    <w:qFormat/>
    <w:rsid w:val="00D65221"/>
    <w:pPr>
      <w:widowControl/>
      <w:spacing w:line="259" w:lineRule="auto"/>
    </w:pPr>
    <w:rPr>
      <w:rFonts w:asciiTheme="minorHAnsi" w:hAnsiTheme="minorHAnsi"/>
      <w:sz w:val="22"/>
    </w:rPr>
  </w:style>
  <w:style w:type="table" w:styleId="af">
    <w:name w:val="Table Grid"/>
    <w:basedOn w:val="a1"/>
    <w:rsid w:val="00D6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65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652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D6522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6522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290d5b49-c690-4c6f-bbb9-1e50dab33eee"/>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A0A64D31-D16C-4B8E-BC6D-FAA08FBDE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4C6B6-C429-4327-B2BB-ED662A33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292</Words>
  <Characters>1667</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11</cp:revision>
  <cp:lastPrinted>2024-01-21T10:03:00Z</cp:lastPrinted>
  <dcterms:created xsi:type="dcterms:W3CDTF">2015-04-20T09:58:00Z</dcterms:created>
  <dcterms:modified xsi:type="dcterms:W3CDTF">2024-01-21T10:03:00Z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2213440</vt:r8>
  </property>
</Properties>
</file>