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2212656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632EEFE3" w:rsidR="00E13C27" w:rsidRPr="00CF1AA2" w:rsidRDefault="008F6665" w:rsidP="00CD3C3D">
      <w:pPr>
        <w:pStyle w:val="David"/>
        <w:spacing w:before="102"/>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עודד פורר</w:t>
      </w:r>
      <w:r>
        <w:br/>
      </w:r>
      <w:r>
        <w:rPr>
          <w:rFonts w:hint="cs"/>
          <w:b/>
          <w:bCs/>
          <w:rtl/>
        </w:rPr>
        <w:t xml:space="preserve"> </w:t>
      </w:r>
      <w:r>
        <w:tab/>
      </w:r>
      <w:r>
        <w:tab/>
      </w:r>
      <w:r>
        <w:tab/>
      </w:r>
      <w:r>
        <w:tab/>
      </w:r>
      <w:r>
        <w:rPr>
          <w:rFonts w:hint="cs"/>
          <w:b/>
          <w:bCs/>
          <w:rtl/>
        </w:rPr>
        <w:t>יבגני סובה</w:t>
      </w:r>
      <w:r>
        <w:br/>
      </w:r>
      <w:r>
        <w:rPr>
          <w:rFonts w:hint="cs"/>
          <w:b/>
          <w:bCs/>
          <w:rtl/>
        </w:rPr>
        <w:t xml:space="preserve"> </w:t>
      </w:r>
      <w:r>
        <w:tab/>
      </w:r>
      <w:r>
        <w:tab/>
      </w:r>
      <w:r>
        <w:tab/>
      </w:r>
      <w:r>
        <w:tab/>
      </w:r>
      <w:r>
        <w:rPr>
          <w:rFonts w:hint="cs"/>
          <w:b/>
          <w:bCs/>
          <w:rtl/>
        </w:rPr>
        <w:t>שרון ניר</w:t>
      </w:r>
      <w:r>
        <w:br/>
      </w:r>
      <w:r>
        <w:rPr>
          <w:rFonts w:hint="cs"/>
          <w:b/>
          <w:bCs/>
          <w:rtl/>
        </w:rPr>
        <w:t xml:space="preserve"> </w:t>
      </w:r>
      <w:r>
        <w:tab/>
      </w:r>
      <w:r>
        <w:tab/>
      </w:r>
      <w:r>
        <w:tab/>
      </w:r>
      <w:r>
        <w:tab/>
      </w:r>
      <w:r>
        <w:rPr>
          <w:rFonts w:hint="cs"/>
          <w:b/>
          <w:bCs/>
          <w:rtl/>
        </w:rPr>
        <w:t>יוליה מלינובסקי</w:t>
      </w:r>
      <w:r>
        <w:br/>
      </w:r>
      <w:r>
        <w:rPr>
          <w:rFonts w:hint="cs"/>
          <w:b/>
          <w:bCs/>
          <w:rtl/>
        </w:rPr>
        <w:t xml:space="preserve"> </w:t>
      </w:r>
      <w:r>
        <w:tab/>
      </w:r>
      <w:r>
        <w:tab/>
      </w:r>
      <w:r>
        <w:tab/>
      </w:r>
      <w:r>
        <w:tab/>
      </w:r>
      <w:r>
        <w:rPr>
          <w:rFonts w:hint="cs"/>
          <w:b/>
          <w:bCs/>
          <w:rtl/>
        </w:rPr>
        <w:t>חמד עמאר</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2CFCA71D" w:rsidR="00E13C27" w:rsidRDefault="00904591" w:rsidP="00CD3C3D">
      <w:pPr>
        <w:pStyle w:val="David"/>
        <w:spacing w:line="240" w:lineRule="auto"/>
        <w:ind w:left="6424" w:firstLine="56"/>
        <w:rPr>
          <w:rtl/>
        </w:rPr>
      </w:pPr>
      <w:bookmarkStart w:id="6" w:name="Private_Number"/>
      <w:r>
        <w:rPr>
          <w:rFonts w:hint="cs"/>
          <w:rtl/>
        </w:rPr>
        <w:t>פ/4171/25</w:t>
      </w:r>
      <w:bookmarkEnd w:id="6"/>
    </w:p>
    <w:p w14:paraId="7F6961AD" w14:textId="77777777" w:rsidR="00E13C27" w:rsidRPr="00F67051" w:rsidRDefault="00A443CF" w:rsidP="0021633A">
      <w:pPr>
        <w:pStyle w:val="HeadHatzaotHok"/>
        <w:rPr>
          <w:rtl/>
        </w:rPr>
      </w:pPr>
      <w:bookmarkStart w:id="7" w:name="LGS_Subject"/>
      <w:r>
        <w:rPr>
          <w:rFonts w:hint="cs"/>
          <w:rtl/>
        </w:rPr>
        <w:t>הצעת חוק מגבלות על חזרתו של עבריין טרור לסביבת נפגע עבירה, התשפ"ד–2024</w:t>
      </w:r>
      <w:bookmarkEnd w:id="7"/>
    </w:p>
    <w:tbl>
      <w:tblPr>
        <w:bidiVisual/>
        <w:tblW w:w="9637"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19"/>
      </w:tblGrid>
      <w:tr w:rsidR="0045175B" w:rsidRPr="00CD3C3D" w14:paraId="605F6B92" w14:textId="77777777" w:rsidTr="00A8054F">
        <w:tc>
          <w:tcPr>
            <w:tcW w:w="1870" w:type="dxa"/>
          </w:tcPr>
          <w:p w14:paraId="1FEC7471" w14:textId="77777777" w:rsidR="0045175B" w:rsidRPr="00CD3C3D" w:rsidRDefault="0045175B" w:rsidP="00BE5C29">
            <w:pPr>
              <w:pStyle w:val="TableSideHeading"/>
              <w:keepLines w:val="0"/>
              <w:rPr>
                <w:rFonts w:ascii="David" w:hAnsi="David"/>
                <w:sz w:val="26"/>
                <w:rtl/>
              </w:rPr>
            </w:pPr>
            <w:r w:rsidRPr="00CD3C3D">
              <w:rPr>
                <w:rFonts w:ascii="David" w:hAnsi="David"/>
                <w:sz w:val="26"/>
                <w:rtl/>
              </w:rPr>
              <w:t>הגדרות</w:t>
            </w:r>
          </w:p>
        </w:tc>
        <w:tc>
          <w:tcPr>
            <w:tcW w:w="624" w:type="dxa"/>
          </w:tcPr>
          <w:p w14:paraId="4D3BDF67" w14:textId="77777777" w:rsidR="0045175B" w:rsidRPr="00CD3C3D" w:rsidRDefault="0045175B" w:rsidP="00CD3C3D">
            <w:pPr>
              <w:pStyle w:val="TableText"/>
              <w:jc w:val="both"/>
              <w:rPr>
                <w:rFonts w:ascii="David" w:hAnsi="David"/>
                <w:sz w:val="26"/>
                <w:rtl/>
              </w:rPr>
            </w:pPr>
            <w:r w:rsidRPr="00CD3C3D">
              <w:rPr>
                <w:rFonts w:ascii="David" w:hAnsi="David"/>
                <w:sz w:val="26"/>
                <w:rtl/>
              </w:rPr>
              <w:t>1.</w:t>
            </w:r>
          </w:p>
        </w:tc>
        <w:tc>
          <w:tcPr>
            <w:tcW w:w="7143" w:type="dxa"/>
            <w:gridSpan w:val="2"/>
          </w:tcPr>
          <w:p w14:paraId="0CF64FC8" w14:textId="77777777" w:rsidR="0045175B" w:rsidRPr="00CD3C3D" w:rsidRDefault="0045175B" w:rsidP="00CD3C3D">
            <w:pPr>
              <w:pStyle w:val="TableBlockOutdent"/>
              <w:rPr>
                <w:rFonts w:ascii="David" w:hAnsi="David"/>
                <w:sz w:val="26"/>
                <w:rtl/>
              </w:rPr>
            </w:pPr>
            <w:r w:rsidRPr="00CD3C3D">
              <w:rPr>
                <w:rFonts w:ascii="David" w:hAnsi="David"/>
                <w:sz w:val="26"/>
                <w:rtl/>
              </w:rPr>
              <w:t>בחוק זה –</w:t>
            </w:r>
          </w:p>
        </w:tc>
      </w:tr>
      <w:tr w:rsidR="0045175B" w:rsidRPr="00CD3C3D" w14:paraId="1F034EB6" w14:textId="77777777" w:rsidTr="00A8054F">
        <w:tc>
          <w:tcPr>
            <w:tcW w:w="1870" w:type="dxa"/>
          </w:tcPr>
          <w:p w14:paraId="47AE978E" w14:textId="77777777" w:rsidR="0045175B" w:rsidRPr="00CD3C3D" w:rsidRDefault="0045175B" w:rsidP="00BE5C29">
            <w:pPr>
              <w:pStyle w:val="TableSideHeading"/>
              <w:keepLines w:val="0"/>
              <w:rPr>
                <w:rFonts w:ascii="David" w:hAnsi="David"/>
                <w:sz w:val="26"/>
                <w:rtl/>
              </w:rPr>
            </w:pPr>
          </w:p>
        </w:tc>
        <w:tc>
          <w:tcPr>
            <w:tcW w:w="624" w:type="dxa"/>
          </w:tcPr>
          <w:p w14:paraId="0FF9026C" w14:textId="77777777" w:rsidR="0045175B" w:rsidRPr="00CD3C3D" w:rsidRDefault="0045175B" w:rsidP="00CD3C3D">
            <w:pPr>
              <w:pStyle w:val="TableText"/>
              <w:jc w:val="both"/>
              <w:rPr>
                <w:rFonts w:ascii="David" w:hAnsi="David"/>
                <w:sz w:val="26"/>
                <w:rtl/>
              </w:rPr>
            </w:pPr>
          </w:p>
        </w:tc>
        <w:tc>
          <w:tcPr>
            <w:tcW w:w="7143" w:type="dxa"/>
            <w:gridSpan w:val="2"/>
          </w:tcPr>
          <w:p w14:paraId="5EDEA8EC" w14:textId="4DB059CB" w:rsidR="0045175B" w:rsidRPr="00CD3C3D" w:rsidRDefault="0045175B" w:rsidP="00CD3C3D">
            <w:pPr>
              <w:pStyle w:val="TableBlockOutdent"/>
              <w:rPr>
                <w:rFonts w:ascii="David" w:hAnsi="David"/>
                <w:sz w:val="26"/>
                <w:rtl/>
              </w:rPr>
            </w:pPr>
            <w:r w:rsidRPr="00CD3C3D">
              <w:rPr>
                <w:rFonts w:ascii="David" w:hAnsi="David"/>
                <w:sz w:val="26"/>
                <w:rtl/>
              </w:rPr>
              <w:t>"הורשע" – לרבות נאשם שבית המשפט קבע כי ביצע את העבירה, או שבית המשפט מצא כי עשה את מעשה העבירה לפי סעיף 15(ב) לחוק טיפול בחולי נפש, התשנ"א–1991</w:t>
            </w:r>
            <w:r w:rsidRPr="00CD3C3D">
              <w:rPr>
                <w:rStyle w:val="a5"/>
                <w:rFonts w:ascii="David" w:hAnsi="David"/>
                <w:sz w:val="26"/>
                <w:rtl/>
              </w:rPr>
              <w:footnoteReference w:id="2"/>
            </w:r>
            <w:r w:rsidR="00CB55CC" w:rsidRPr="00CD3C3D">
              <w:rPr>
                <w:rFonts w:ascii="David" w:hAnsi="David"/>
                <w:sz w:val="26"/>
                <w:rtl/>
              </w:rPr>
              <w:t>;</w:t>
            </w:r>
          </w:p>
        </w:tc>
      </w:tr>
      <w:tr w:rsidR="0045175B" w:rsidRPr="00CD3C3D" w14:paraId="7F594B3E" w14:textId="77777777" w:rsidTr="00A8054F">
        <w:tc>
          <w:tcPr>
            <w:tcW w:w="1870" w:type="dxa"/>
          </w:tcPr>
          <w:p w14:paraId="5CEF61F3" w14:textId="77777777" w:rsidR="0045175B" w:rsidRPr="00CD3C3D" w:rsidRDefault="0045175B" w:rsidP="00BE5C29">
            <w:pPr>
              <w:pStyle w:val="TableSideHeading"/>
              <w:keepLines w:val="0"/>
              <w:rPr>
                <w:rFonts w:ascii="David" w:hAnsi="David"/>
                <w:sz w:val="26"/>
                <w:rtl/>
              </w:rPr>
            </w:pPr>
          </w:p>
        </w:tc>
        <w:tc>
          <w:tcPr>
            <w:tcW w:w="624" w:type="dxa"/>
          </w:tcPr>
          <w:p w14:paraId="668D8C34" w14:textId="77777777" w:rsidR="0045175B" w:rsidRPr="00CD3C3D" w:rsidRDefault="0045175B" w:rsidP="00BE5C29">
            <w:pPr>
              <w:pStyle w:val="TableText"/>
              <w:rPr>
                <w:rFonts w:ascii="David" w:hAnsi="David"/>
                <w:sz w:val="26"/>
                <w:rtl/>
              </w:rPr>
            </w:pPr>
          </w:p>
        </w:tc>
        <w:tc>
          <w:tcPr>
            <w:tcW w:w="7143" w:type="dxa"/>
            <w:gridSpan w:val="2"/>
          </w:tcPr>
          <w:p w14:paraId="5F489A6E" w14:textId="77777777" w:rsidR="0045175B" w:rsidRPr="00CD3C3D" w:rsidRDefault="0045175B" w:rsidP="00CD3C3D">
            <w:pPr>
              <w:pStyle w:val="TableBlockOutdent"/>
              <w:rPr>
                <w:rFonts w:ascii="David" w:hAnsi="David"/>
                <w:sz w:val="26"/>
                <w:rtl/>
              </w:rPr>
            </w:pPr>
            <w:r w:rsidRPr="00CD3C3D">
              <w:rPr>
                <w:rFonts w:ascii="David" w:hAnsi="David"/>
                <w:sz w:val="26"/>
                <w:rtl/>
              </w:rPr>
              <w:t>"מוסד לימודים" – לרבות מוסד להכשרה מקצועית ומוסד להשכלה גבוהה כהגדרתו בחוק המועצה להשכלה גבוהה, התשי"ח–1958</w:t>
            </w:r>
            <w:r w:rsidRPr="00CD3C3D">
              <w:rPr>
                <w:rStyle w:val="a5"/>
                <w:rFonts w:ascii="David" w:hAnsi="David"/>
                <w:sz w:val="26"/>
                <w:rtl/>
              </w:rPr>
              <w:footnoteReference w:id="3"/>
            </w:r>
            <w:r w:rsidRPr="00CD3C3D">
              <w:rPr>
                <w:rFonts w:ascii="David" w:hAnsi="David"/>
                <w:sz w:val="26"/>
                <w:rtl/>
              </w:rPr>
              <w:t>;</w:t>
            </w:r>
          </w:p>
        </w:tc>
      </w:tr>
      <w:tr w:rsidR="0045175B" w:rsidRPr="00CD3C3D" w14:paraId="4D221B09" w14:textId="77777777" w:rsidTr="00A8054F">
        <w:tc>
          <w:tcPr>
            <w:tcW w:w="1870" w:type="dxa"/>
          </w:tcPr>
          <w:p w14:paraId="1FA88F33" w14:textId="77777777" w:rsidR="0045175B" w:rsidRPr="00CD3C3D" w:rsidRDefault="0045175B" w:rsidP="00BE5C29">
            <w:pPr>
              <w:pStyle w:val="TableSideHeading"/>
              <w:keepLines w:val="0"/>
              <w:rPr>
                <w:rFonts w:ascii="David" w:hAnsi="David"/>
                <w:sz w:val="26"/>
                <w:rtl/>
              </w:rPr>
            </w:pPr>
          </w:p>
        </w:tc>
        <w:tc>
          <w:tcPr>
            <w:tcW w:w="624" w:type="dxa"/>
          </w:tcPr>
          <w:p w14:paraId="208A4CCE" w14:textId="77777777" w:rsidR="0045175B" w:rsidRPr="00CD3C3D" w:rsidRDefault="0045175B" w:rsidP="00BE5C29">
            <w:pPr>
              <w:pStyle w:val="TableText"/>
              <w:rPr>
                <w:rFonts w:ascii="David" w:hAnsi="David"/>
                <w:sz w:val="26"/>
                <w:rtl/>
              </w:rPr>
            </w:pPr>
          </w:p>
        </w:tc>
        <w:tc>
          <w:tcPr>
            <w:tcW w:w="7143" w:type="dxa"/>
            <w:gridSpan w:val="2"/>
          </w:tcPr>
          <w:p w14:paraId="74B133EE" w14:textId="77777777" w:rsidR="0045175B" w:rsidRPr="00CD3C3D" w:rsidRDefault="0045175B" w:rsidP="00CD3C3D">
            <w:pPr>
              <w:pStyle w:val="TableBlockOutdent"/>
              <w:rPr>
                <w:rFonts w:ascii="David" w:hAnsi="David"/>
                <w:sz w:val="26"/>
                <w:rtl/>
              </w:rPr>
            </w:pPr>
            <w:r w:rsidRPr="00CD3C3D">
              <w:rPr>
                <w:rFonts w:ascii="David" w:hAnsi="David"/>
                <w:sz w:val="26"/>
                <w:rtl/>
              </w:rPr>
              <w:t>"נפגע" – אדם אשר נפגע מפעיל טרור שביצע עבירת טרור או פעולת איבה;</w:t>
            </w:r>
          </w:p>
        </w:tc>
      </w:tr>
      <w:tr w:rsidR="0045175B" w:rsidRPr="00CD3C3D" w14:paraId="07087F55" w14:textId="77777777" w:rsidTr="00A8054F">
        <w:tc>
          <w:tcPr>
            <w:tcW w:w="1870" w:type="dxa"/>
          </w:tcPr>
          <w:p w14:paraId="3073FF90" w14:textId="77777777" w:rsidR="0045175B" w:rsidRPr="00CD3C3D" w:rsidRDefault="0045175B" w:rsidP="00BE5C29">
            <w:pPr>
              <w:pStyle w:val="TableSideHeading"/>
              <w:keepLines w:val="0"/>
              <w:rPr>
                <w:rFonts w:ascii="David" w:hAnsi="David"/>
                <w:sz w:val="26"/>
                <w:rtl/>
              </w:rPr>
            </w:pPr>
          </w:p>
        </w:tc>
        <w:tc>
          <w:tcPr>
            <w:tcW w:w="624" w:type="dxa"/>
          </w:tcPr>
          <w:p w14:paraId="6D20023D" w14:textId="77777777" w:rsidR="0045175B" w:rsidRPr="00CD3C3D" w:rsidRDefault="0045175B" w:rsidP="00BE5C29">
            <w:pPr>
              <w:pStyle w:val="TableText"/>
              <w:rPr>
                <w:rFonts w:ascii="David" w:hAnsi="David"/>
                <w:sz w:val="26"/>
                <w:rtl/>
              </w:rPr>
            </w:pPr>
          </w:p>
        </w:tc>
        <w:tc>
          <w:tcPr>
            <w:tcW w:w="7143" w:type="dxa"/>
            <w:gridSpan w:val="2"/>
          </w:tcPr>
          <w:p w14:paraId="0002D094" w14:textId="77777777" w:rsidR="0045175B" w:rsidRPr="00CD3C3D" w:rsidRDefault="0045175B" w:rsidP="00CD3C3D">
            <w:pPr>
              <w:pStyle w:val="TableBlockOutdent"/>
              <w:rPr>
                <w:rFonts w:ascii="David" w:hAnsi="David"/>
                <w:sz w:val="26"/>
                <w:rtl/>
              </w:rPr>
            </w:pPr>
            <w:r w:rsidRPr="00CD3C3D">
              <w:rPr>
                <w:rFonts w:ascii="David" w:hAnsi="David"/>
                <w:sz w:val="26"/>
                <w:rtl/>
              </w:rPr>
              <w:t>"עבודה" – בין בתמורה ובין בהתנדבות;</w:t>
            </w:r>
          </w:p>
        </w:tc>
      </w:tr>
      <w:tr w:rsidR="0045175B" w:rsidRPr="00CD3C3D" w14:paraId="40317FA3" w14:textId="77777777" w:rsidTr="00A8054F">
        <w:tc>
          <w:tcPr>
            <w:tcW w:w="1870" w:type="dxa"/>
          </w:tcPr>
          <w:p w14:paraId="6C0990E2" w14:textId="77777777" w:rsidR="0045175B" w:rsidRPr="00CD3C3D" w:rsidRDefault="0045175B" w:rsidP="00BE5C29">
            <w:pPr>
              <w:pStyle w:val="TableSideHeading"/>
              <w:keepLines w:val="0"/>
              <w:rPr>
                <w:rFonts w:ascii="David" w:hAnsi="David"/>
                <w:sz w:val="26"/>
                <w:rtl/>
              </w:rPr>
            </w:pPr>
          </w:p>
        </w:tc>
        <w:tc>
          <w:tcPr>
            <w:tcW w:w="624" w:type="dxa"/>
          </w:tcPr>
          <w:p w14:paraId="46080DD5" w14:textId="77777777" w:rsidR="0045175B" w:rsidRPr="00CD3C3D" w:rsidRDefault="0045175B" w:rsidP="00BE5C29">
            <w:pPr>
              <w:pStyle w:val="TableText"/>
              <w:rPr>
                <w:rFonts w:ascii="David" w:hAnsi="David"/>
                <w:sz w:val="26"/>
                <w:rtl/>
              </w:rPr>
            </w:pPr>
          </w:p>
        </w:tc>
        <w:tc>
          <w:tcPr>
            <w:tcW w:w="7143" w:type="dxa"/>
            <w:gridSpan w:val="2"/>
          </w:tcPr>
          <w:p w14:paraId="3E077C1F" w14:textId="77777777" w:rsidR="0045175B" w:rsidRPr="00CD3C3D" w:rsidRDefault="0045175B" w:rsidP="00CD3C3D">
            <w:pPr>
              <w:pStyle w:val="TableBlockOutdent"/>
              <w:rPr>
                <w:rFonts w:ascii="David" w:hAnsi="David"/>
                <w:sz w:val="26"/>
                <w:rtl/>
              </w:rPr>
            </w:pPr>
            <w:r w:rsidRPr="00CD3C3D">
              <w:rPr>
                <w:rFonts w:ascii="David" w:hAnsi="David"/>
                <w:sz w:val="26"/>
                <w:rtl/>
              </w:rPr>
              <w:t>"עבירת טרור" – כהגדרתה בחוק המאבק בטרור, התשע"ו–2016</w:t>
            </w:r>
            <w:r w:rsidRPr="00CD3C3D">
              <w:rPr>
                <w:rStyle w:val="a5"/>
                <w:rFonts w:ascii="David" w:hAnsi="David"/>
                <w:sz w:val="26"/>
                <w:rtl/>
              </w:rPr>
              <w:footnoteReference w:id="4"/>
            </w:r>
            <w:r w:rsidRPr="00CD3C3D">
              <w:rPr>
                <w:rFonts w:ascii="David" w:hAnsi="David"/>
                <w:sz w:val="26"/>
                <w:rtl/>
              </w:rPr>
              <w:t>.</w:t>
            </w:r>
          </w:p>
        </w:tc>
      </w:tr>
      <w:tr w:rsidR="0045175B" w:rsidRPr="00CD3C3D" w14:paraId="0DEED765" w14:textId="77777777" w:rsidTr="00A8054F">
        <w:tc>
          <w:tcPr>
            <w:tcW w:w="1870" w:type="dxa"/>
          </w:tcPr>
          <w:p w14:paraId="32BDAD04" w14:textId="6EDB2FC7" w:rsidR="0045175B" w:rsidRPr="00CD3C3D" w:rsidRDefault="0045175B" w:rsidP="00CD3C3D">
            <w:pPr>
              <w:pStyle w:val="TableSideHeading"/>
              <w:outlineLvl w:val="9"/>
              <w:rPr>
                <w:rFonts w:ascii="David" w:hAnsi="David"/>
                <w:sz w:val="26"/>
              </w:rPr>
            </w:pPr>
            <w:r w:rsidRPr="00CD3C3D">
              <w:rPr>
                <w:rFonts w:ascii="David" w:hAnsi="David"/>
                <w:sz w:val="26"/>
                <w:rtl/>
              </w:rPr>
              <w:t>חובת קיום דיון בעניין הטלת מגבלות על עבריין טרור</w:t>
            </w:r>
            <w:r w:rsidR="00CD3C3D" w:rsidRPr="00CD3C3D">
              <w:rPr>
                <w:rFonts w:ascii="David" w:hAnsi="David"/>
                <w:sz w:val="26"/>
                <w:rtl/>
              </w:rPr>
              <w:t xml:space="preserve"> </w:t>
            </w:r>
          </w:p>
        </w:tc>
        <w:tc>
          <w:tcPr>
            <w:tcW w:w="624" w:type="dxa"/>
          </w:tcPr>
          <w:p w14:paraId="31A35416" w14:textId="77777777" w:rsidR="0045175B" w:rsidRPr="00CD3C3D" w:rsidRDefault="0045175B" w:rsidP="00CD3C3D">
            <w:pPr>
              <w:pStyle w:val="TableText"/>
              <w:jc w:val="both"/>
              <w:rPr>
                <w:rFonts w:ascii="David" w:hAnsi="David"/>
                <w:sz w:val="26"/>
              </w:rPr>
            </w:pPr>
            <w:r w:rsidRPr="00CD3C3D">
              <w:rPr>
                <w:rFonts w:ascii="David" w:hAnsi="David"/>
                <w:sz w:val="26"/>
                <w:rtl/>
              </w:rPr>
              <w:t>2.</w:t>
            </w:r>
          </w:p>
        </w:tc>
        <w:tc>
          <w:tcPr>
            <w:tcW w:w="7143" w:type="dxa"/>
            <w:gridSpan w:val="2"/>
          </w:tcPr>
          <w:p w14:paraId="61DD9D77" w14:textId="77777777" w:rsidR="0045175B" w:rsidRPr="00CD3C3D" w:rsidRDefault="0045175B" w:rsidP="00CD3C3D">
            <w:pPr>
              <w:pStyle w:val="TableBlock"/>
              <w:rPr>
                <w:rFonts w:ascii="David" w:hAnsi="David"/>
                <w:sz w:val="26"/>
              </w:rPr>
            </w:pPr>
            <w:r w:rsidRPr="00CD3C3D">
              <w:rPr>
                <w:rFonts w:ascii="David" w:hAnsi="David"/>
                <w:sz w:val="26"/>
                <w:rtl/>
              </w:rPr>
              <w:t>(א)</w:t>
            </w:r>
            <w:r w:rsidRPr="00CD3C3D">
              <w:rPr>
                <w:rFonts w:ascii="David" w:hAnsi="David"/>
                <w:sz w:val="26"/>
                <w:rtl/>
              </w:rPr>
              <w:tab/>
              <w:t xml:space="preserve">הורשע אדם בעבירת טרור בהיותו בגיר (להלן – עבריין טרור), בית המשפט יקיים דיון במעמד גזר הדין, ואם נידון לעונש מאסר בפועל – לפני שחרורו מן המאסר, בעניין הצורך להטיל עליו צו הקובע מגבלות על מגורים, עבודה או לימודים במוסד לימודים בקרבת מקום המגורים, מקום העבודה או מוסד הלימודים של נפגע הטרור. </w:t>
            </w:r>
          </w:p>
        </w:tc>
      </w:tr>
      <w:tr w:rsidR="0045175B" w:rsidRPr="00CD3C3D" w14:paraId="1A277BA3" w14:textId="77777777" w:rsidTr="00A8054F">
        <w:tc>
          <w:tcPr>
            <w:tcW w:w="1870" w:type="dxa"/>
          </w:tcPr>
          <w:p w14:paraId="1EC9E628" w14:textId="77777777" w:rsidR="0045175B" w:rsidRPr="00CD3C3D" w:rsidRDefault="0045175B" w:rsidP="00CD3C3D">
            <w:pPr>
              <w:pStyle w:val="TableSideHeading"/>
              <w:outlineLvl w:val="9"/>
              <w:rPr>
                <w:rFonts w:ascii="David" w:hAnsi="David"/>
                <w:sz w:val="26"/>
              </w:rPr>
            </w:pPr>
          </w:p>
        </w:tc>
        <w:tc>
          <w:tcPr>
            <w:tcW w:w="624" w:type="dxa"/>
          </w:tcPr>
          <w:p w14:paraId="428F434E" w14:textId="77777777" w:rsidR="0045175B" w:rsidRPr="00CD3C3D" w:rsidRDefault="0045175B" w:rsidP="00CD3C3D">
            <w:pPr>
              <w:pStyle w:val="TableText"/>
              <w:jc w:val="both"/>
              <w:rPr>
                <w:rFonts w:ascii="David" w:hAnsi="David"/>
                <w:sz w:val="26"/>
                <w:rtl/>
              </w:rPr>
            </w:pPr>
          </w:p>
        </w:tc>
        <w:tc>
          <w:tcPr>
            <w:tcW w:w="7143" w:type="dxa"/>
            <w:gridSpan w:val="2"/>
          </w:tcPr>
          <w:p w14:paraId="0D15D8B6" w14:textId="77777777" w:rsidR="0045175B" w:rsidRPr="00CD3C3D" w:rsidRDefault="0045175B" w:rsidP="00CD3C3D">
            <w:pPr>
              <w:pStyle w:val="TableBlock"/>
              <w:rPr>
                <w:rFonts w:ascii="David" w:hAnsi="David"/>
                <w:sz w:val="26"/>
                <w:rtl/>
              </w:rPr>
            </w:pPr>
            <w:r w:rsidRPr="00CD3C3D">
              <w:rPr>
                <w:rFonts w:ascii="David" w:hAnsi="David"/>
                <w:sz w:val="26"/>
                <w:rtl/>
              </w:rPr>
              <w:t>(ב)</w:t>
            </w:r>
            <w:r w:rsidRPr="00CD3C3D">
              <w:rPr>
                <w:rFonts w:ascii="David" w:hAnsi="David"/>
                <w:sz w:val="26"/>
                <w:rtl/>
              </w:rPr>
              <w:tab/>
              <w:t xml:space="preserve">שוכנע בית המשפט, לאחר שקיים דיון בעניין כאמור בסעיף קטן (א), שלנפגע עבירת הטרור עלול להיגרם נזק נפשי אם ייתקל תדיר בנפגע הטרור, רשאי הוא  להטיל צו הקובע מגבלות על מגורים, עבודה או לימודים במוסד </w:t>
            </w:r>
            <w:r w:rsidRPr="00CD3C3D">
              <w:rPr>
                <w:rFonts w:ascii="David" w:hAnsi="David"/>
                <w:sz w:val="26"/>
                <w:rtl/>
              </w:rPr>
              <w:lastRenderedPageBreak/>
              <w:t xml:space="preserve">לימודים בקרבת מקום המגורים, מקום העבודה או מוסד הלימודים של נפגע הטרור. </w:t>
            </w:r>
          </w:p>
        </w:tc>
      </w:tr>
      <w:tr w:rsidR="0045175B" w:rsidRPr="00CD3C3D" w14:paraId="106FCF30" w14:textId="77777777" w:rsidTr="00A8054F">
        <w:tc>
          <w:tcPr>
            <w:tcW w:w="1870" w:type="dxa"/>
          </w:tcPr>
          <w:p w14:paraId="77BED48F" w14:textId="77777777" w:rsidR="0045175B" w:rsidRPr="00CD3C3D" w:rsidRDefault="0045175B" w:rsidP="00CD3C3D">
            <w:pPr>
              <w:pStyle w:val="TableSideHeading"/>
              <w:outlineLvl w:val="9"/>
              <w:rPr>
                <w:rFonts w:ascii="David" w:hAnsi="David"/>
                <w:sz w:val="26"/>
              </w:rPr>
            </w:pPr>
          </w:p>
        </w:tc>
        <w:tc>
          <w:tcPr>
            <w:tcW w:w="624" w:type="dxa"/>
          </w:tcPr>
          <w:p w14:paraId="6EED6290" w14:textId="77777777" w:rsidR="0045175B" w:rsidRPr="00CD3C3D" w:rsidRDefault="0045175B" w:rsidP="00CD3C3D">
            <w:pPr>
              <w:pStyle w:val="TableText"/>
              <w:jc w:val="both"/>
              <w:rPr>
                <w:rFonts w:ascii="David" w:hAnsi="David"/>
                <w:sz w:val="26"/>
                <w:rtl/>
              </w:rPr>
            </w:pPr>
          </w:p>
        </w:tc>
        <w:tc>
          <w:tcPr>
            <w:tcW w:w="7143" w:type="dxa"/>
            <w:gridSpan w:val="2"/>
          </w:tcPr>
          <w:p w14:paraId="23EB2ED1" w14:textId="77777777" w:rsidR="0045175B" w:rsidRPr="00CD3C3D" w:rsidRDefault="0045175B" w:rsidP="00CD3C3D">
            <w:pPr>
              <w:pStyle w:val="TableBlock"/>
              <w:rPr>
                <w:rFonts w:ascii="David" w:hAnsi="David"/>
                <w:sz w:val="26"/>
                <w:rtl/>
              </w:rPr>
            </w:pPr>
            <w:r w:rsidRPr="00CD3C3D">
              <w:rPr>
                <w:rFonts w:ascii="David" w:hAnsi="David"/>
                <w:sz w:val="26"/>
                <w:rtl/>
              </w:rPr>
              <w:t xml:space="preserve">(ג) </w:t>
            </w:r>
            <w:r w:rsidRPr="00CD3C3D">
              <w:rPr>
                <w:rFonts w:ascii="David" w:hAnsi="David"/>
                <w:sz w:val="26"/>
                <w:rtl/>
              </w:rPr>
              <w:tab/>
              <w:t xml:space="preserve">הורה בית המשפט כאמור בסעיף קטן (ב) – </w:t>
            </w:r>
          </w:p>
        </w:tc>
      </w:tr>
      <w:tr w:rsidR="0045175B" w:rsidRPr="00CD3C3D" w14:paraId="52E316A9" w14:textId="77777777" w:rsidTr="00A8054F">
        <w:tc>
          <w:tcPr>
            <w:tcW w:w="1870" w:type="dxa"/>
          </w:tcPr>
          <w:p w14:paraId="2C6C0DF3" w14:textId="77777777" w:rsidR="0045175B" w:rsidRPr="00CD3C3D" w:rsidRDefault="0045175B" w:rsidP="00CD3C3D">
            <w:pPr>
              <w:pStyle w:val="TableSideHeading"/>
              <w:outlineLvl w:val="9"/>
              <w:rPr>
                <w:rFonts w:ascii="David" w:hAnsi="David"/>
                <w:sz w:val="26"/>
              </w:rPr>
            </w:pPr>
          </w:p>
        </w:tc>
        <w:tc>
          <w:tcPr>
            <w:tcW w:w="624" w:type="dxa"/>
          </w:tcPr>
          <w:p w14:paraId="485FEEE1" w14:textId="77777777" w:rsidR="0045175B" w:rsidRPr="00CD3C3D" w:rsidRDefault="0045175B" w:rsidP="00CD3C3D">
            <w:pPr>
              <w:pStyle w:val="TableText"/>
              <w:jc w:val="both"/>
              <w:rPr>
                <w:rFonts w:ascii="David" w:hAnsi="David"/>
                <w:sz w:val="26"/>
              </w:rPr>
            </w:pPr>
          </w:p>
        </w:tc>
        <w:tc>
          <w:tcPr>
            <w:tcW w:w="624" w:type="dxa"/>
          </w:tcPr>
          <w:p w14:paraId="235C1225" w14:textId="77777777" w:rsidR="0045175B" w:rsidRPr="00CD3C3D" w:rsidRDefault="0045175B" w:rsidP="00CD3C3D">
            <w:pPr>
              <w:pStyle w:val="TableText"/>
              <w:jc w:val="both"/>
              <w:rPr>
                <w:rFonts w:ascii="David" w:hAnsi="David"/>
                <w:sz w:val="26"/>
              </w:rPr>
            </w:pPr>
          </w:p>
        </w:tc>
        <w:tc>
          <w:tcPr>
            <w:tcW w:w="6519" w:type="dxa"/>
          </w:tcPr>
          <w:p w14:paraId="1E30D834" w14:textId="77777777" w:rsidR="0045175B" w:rsidRPr="00CD3C3D" w:rsidRDefault="0045175B" w:rsidP="00CD3C3D">
            <w:pPr>
              <w:pStyle w:val="TableBlock"/>
              <w:rPr>
                <w:rFonts w:ascii="David" w:hAnsi="David"/>
                <w:sz w:val="26"/>
              </w:rPr>
            </w:pPr>
            <w:r w:rsidRPr="00CD3C3D">
              <w:rPr>
                <w:rFonts w:ascii="David" w:hAnsi="David"/>
                <w:sz w:val="26"/>
                <w:rtl/>
              </w:rPr>
              <w:t>(1)</w:t>
            </w:r>
            <w:r w:rsidRPr="00CD3C3D">
              <w:rPr>
                <w:rFonts w:ascii="David" w:hAnsi="David"/>
                <w:sz w:val="26"/>
                <w:rtl/>
              </w:rPr>
              <w:tab/>
              <w:t>יקבע את תקופת הזמן שבה יחולו המגבלות, ורשאי הוא להאריך את התקופה מעת לעת;</w:t>
            </w:r>
          </w:p>
        </w:tc>
      </w:tr>
      <w:tr w:rsidR="0045175B" w:rsidRPr="00CD3C3D" w14:paraId="7C75B6B3" w14:textId="77777777" w:rsidTr="00A8054F">
        <w:tc>
          <w:tcPr>
            <w:tcW w:w="1870" w:type="dxa"/>
          </w:tcPr>
          <w:p w14:paraId="6CE92E14" w14:textId="77777777" w:rsidR="0045175B" w:rsidRPr="00CD3C3D" w:rsidRDefault="0045175B" w:rsidP="00CD3C3D">
            <w:pPr>
              <w:pStyle w:val="TableSideHeading"/>
              <w:outlineLvl w:val="9"/>
              <w:rPr>
                <w:rFonts w:ascii="David" w:hAnsi="David"/>
                <w:sz w:val="26"/>
              </w:rPr>
            </w:pPr>
          </w:p>
        </w:tc>
        <w:tc>
          <w:tcPr>
            <w:tcW w:w="624" w:type="dxa"/>
          </w:tcPr>
          <w:p w14:paraId="4899A98E" w14:textId="77777777" w:rsidR="0045175B" w:rsidRPr="00CD3C3D" w:rsidRDefault="0045175B" w:rsidP="00CD3C3D">
            <w:pPr>
              <w:pStyle w:val="TableText"/>
              <w:jc w:val="both"/>
              <w:rPr>
                <w:rFonts w:ascii="David" w:hAnsi="David"/>
                <w:sz w:val="26"/>
              </w:rPr>
            </w:pPr>
          </w:p>
        </w:tc>
        <w:tc>
          <w:tcPr>
            <w:tcW w:w="624" w:type="dxa"/>
          </w:tcPr>
          <w:p w14:paraId="4A0A82D4" w14:textId="77777777" w:rsidR="0045175B" w:rsidRPr="00CD3C3D" w:rsidRDefault="0045175B" w:rsidP="00CD3C3D">
            <w:pPr>
              <w:pStyle w:val="TableText"/>
              <w:jc w:val="both"/>
              <w:rPr>
                <w:rFonts w:ascii="David" w:hAnsi="David"/>
                <w:sz w:val="26"/>
              </w:rPr>
            </w:pPr>
          </w:p>
        </w:tc>
        <w:tc>
          <w:tcPr>
            <w:tcW w:w="6519" w:type="dxa"/>
          </w:tcPr>
          <w:p w14:paraId="1049DB7B" w14:textId="77777777" w:rsidR="0045175B" w:rsidRPr="00CD3C3D" w:rsidRDefault="0045175B" w:rsidP="00CD3C3D">
            <w:pPr>
              <w:pStyle w:val="TableBlock"/>
              <w:rPr>
                <w:rFonts w:ascii="David" w:hAnsi="David"/>
                <w:sz w:val="26"/>
              </w:rPr>
            </w:pPr>
            <w:r w:rsidRPr="00CD3C3D">
              <w:rPr>
                <w:rFonts w:ascii="David" w:hAnsi="David"/>
                <w:sz w:val="26"/>
                <w:rtl/>
              </w:rPr>
              <w:t>(2)</w:t>
            </w:r>
            <w:r w:rsidRPr="00CD3C3D">
              <w:rPr>
                <w:rFonts w:ascii="David" w:hAnsi="David"/>
                <w:sz w:val="26"/>
                <w:rtl/>
              </w:rPr>
              <w:tab/>
              <w:t>יקבע את האזור שבו יחולו המגבלות, לפי נסיבות העניין; קביעת האזור תיעשה, ככל הניתן, תוך שמירה על סודיות המען של מקום המגורים או מקום העבודה של נפגע עבירת הטרור או מוסד הלימודים שנפגע עבירת הטרור לומד בו.</w:t>
            </w:r>
          </w:p>
        </w:tc>
      </w:tr>
      <w:tr w:rsidR="0045175B" w:rsidRPr="00CD3C3D" w:rsidDel="00D4346A" w14:paraId="44D86B0A" w14:textId="77777777" w:rsidTr="00A8054F">
        <w:tc>
          <w:tcPr>
            <w:tcW w:w="1870" w:type="dxa"/>
          </w:tcPr>
          <w:p w14:paraId="4CF986F9" w14:textId="426E41D5" w:rsidR="0045175B" w:rsidRPr="00CD3C3D" w:rsidDel="00D4346A" w:rsidRDefault="0045175B" w:rsidP="00CD3C3D">
            <w:pPr>
              <w:pStyle w:val="TableSideHeading"/>
              <w:outlineLvl w:val="9"/>
              <w:rPr>
                <w:rFonts w:ascii="David" w:hAnsi="David"/>
                <w:sz w:val="26"/>
              </w:rPr>
            </w:pPr>
            <w:r w:rsidRPr="00CD3C3D">
              <w:rPr>
                <w:rFonts w:ascii="David" w:hAnsi="David"/>
                <w:sz w:val="26"/>
                <w:rtl/>
              </w:rPr>
              <w:t>עיון חוזר</w:t>
            </w:r>
            <w:r w:rsidR="00CD3C3D" w:rsidRPr="00CD3C3D">
              <w:rPr>
                <w:rFonts w:ascii="David" w:hAnsi="David"/>
                <w:sz w:val="26"/>
                <w:rtl/>
              </w:rPr>
              <w:t xml:space="preserve"> </w:t>
            </w:r>
          </w:p>
        </w:tc>
        <w:tc>
          <w:tcPr>
            <w:tcW w:w="624" w:type="dxa"/>
          </w:tcPr>
          <w:p w14:paraId="1BBBE868" w14:textId="77777777" w:rsidR="0045175B" w:rsidRPr="00CD3C3D" w:rsidDel="00D4346A" w:rsidRDefault="0045175B" w:rsidP="00BE5C29">
            <w:pPr>
              <w:pStyle w:val="TableText"/>
              <w:rPr>
                <w:rFonts w:ascii="David" w:hAnsi="David"/>
                <w:sz w:val="26"/>
              </w:rPr>
            </w:pPr>
            <w:r w:rsidRPr="00CD3C3D">
              <w:rPr>
                <w:rFonts w:ascii="David" w:hAnsi="David"/>
                <w:sz w:val="26"/>
                <w:rtl/>
              </w:rPr>
              <w:t>3.</w:t>
            </w:r>
          </w:p>
        </w:tc>
        <w:tc>
          <w:tcPr>
            <w:tcW w:w="7143" w:type="dxa"/>
            <w:gridSpan w:val="2"/>
          </w:tcPr>
          <w:p w14:paraId="12CFB17B" w14:textId="77777777" w:rsidR="0045175B" w:rsidRPr="00CD3C3D" w:rsidDel="00D4346A" w:rsidRDefault="0045175B" w:rsidP="00CD3C3D">
            <w:pPr>
              <w:pStyle w:val="TableBlock"/>
              <w:rPr>
                <w:rFonts w:ascii="David" w:hAnsi="David"/>
                <w:sz w:val="26"/>
                <w:rtl/>
              </w:rPr>
            </w:pPr>
            <w:r w:rsidRPr="00CD3C3D">
              <w:rPr>
                <w:rFonts w:ascii="David" w:hAnsi="David"/>
                <w:sz w:val="26"/>
                <w:rtl/>
              </w:rPr>
              <w:t>(א)</w:t>
            </w:r>
            <w:r w:rsidRPr="00CD3C3D">
              <w:rPr>
                <w:rFonts w:ascii="David" w:hAnsi="David"/>
                <w:sz w:val="26"/>
                <w:rtl/>
              </w:rPr>
              <w:tab/>
              <w:t>פעיל טרור שהוטלו עליו מגבלות לפי חוק זה רשאי לפנות לבית המשפט שנתן את הצו בבקשה לעיון חוזר בהחלטתו, אם נתגלו עובדות חדשות או נשתנו הנסיבות ממועד מתן הצו.</w:t>
            </w:r>
          </w:p>
        </w:tc>
      </w:tr>
      <w:tr w:rsidR="0045175B" w:rsidRPr="00CD3C3D" w:rsidDel="00D4346A" w14:paraId="4ED248E0" w14:textId="77777777" w:rsidTr="00A8054F">
        <w:tc>
          <w:tcPr>
            <w:tcW w:w="1870" w:type="dxa"/>
          </w:tcPr>
          <w:p w14:paraId="3D8F30AE" w14:textId="77777777" w:rsidR="0045175B" w:rsidRPr="00CD3C3D" w:rsidRDefault="0045175B" w:rsidP="00CD3C3D">
            <w:pPr>
              <w:pStyle w:val="TableSideHeading"/>
              <w:outlineLvl w:val="9"/>
              <w:rPr>
                <w:rFonts w:ascii="David" w:hAnsi="David"/>
                <w:sz w:val="26"/>
                <w:rtl/>
              </w:rPr>
            </w:pPr>
          </w:p>
        </w:tc>
        <w:tc>
          <w:tcPr>
            <w:tcW w:w="624" w:type="dxa"/>
          </w:tcPr>
          <w:p w14:paraId="394B5914" w14:textId="77777777" w:rsidR="0045175B" w:rsidRPr="00CD3C3D" w:rsidRDefault="0045175B" w:rsidP="00BE5C29">
            <w:pPr>
              <w:pStyle w:val="TableText"/>
              <w:rPr>
                <w:rFonts w:ascii="David" w:hAnsi="David"/>
                <w:sz w:val="26"/>
                <w:rtl/>
              </w:rPr>
            </w:pPr>
          </w:p>
        </w:tc>
        <w:tc>
          <w:tcPr>
            <w:tcW w:w="7143" w:type="dxa"/>
            <w:gridSpan w:val="2"/>
          </w:tcPr>
          <w:p w14:paraId="1AA53440" w14:textId="77777777" w:rsidR="0045175B" w:rsidRPr="00CD3C3D" w:rsidRDefault="0045175B" w:rsidP="00CD3C3D">
            <w:pPr>
              <w:pStyle w:val="TableBlock"/>
              <w:rPr>
                <w:rFonts w:ascii="David" w:hAnsi="David"/>
                <w:sz w:val="26"/>
                <w:rtl/>
              </w:rPr>
            </w:pPr>
            <w:r w:rsidRPr="00CD3C3D">
              <w:rPr>
                <w:rFonts w:ascii="David" w:hAnsi="David"/>
                <w:sz w:val="26"/>
                <w:rtl/>
              </w:rPr>
              <w:t>(ב)</w:t>
            </w:r>
            <w:r w:rsidRPr="00CD3C3D">
              <w:rPr>
                <w:rFonts w:ascii="David" w:hAnsi="David"/>
                <w:sz w:val="26"/>
                <w:rtl/>
              </w:rPr>
              <w:tab/>
              <w:t xml:space="preserve">נפגע עבירת טרור או אדם מטעמו רשאי לפנות לבית המשפט בבקשה לעיון חוזר בהחלטתו שלא להטיל מגבלות או לבטל מגבלות שהוטלו, אם נתגלו עובדות חדשות או נשתנו הנסיבות ממתן ההחלטה. </w:t>
            </w:r>
          </w:p>
        </w:tc>
      </w:tr>
    </w:tbl>
    <w:p w14:paraId="7F6961AE" w14:textId="77777777" w:rsidR="00E13C27" w:rsidRPr="0045175B" w:rsidRDefault="00E13C27" w:rsidP="0021633A">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t>דברי הסבר</w:t>
      </w:r>
    </w:p>
    <w:p w14:paraId="75B21B33" w14:textId="77777777" w:rsidR="0045175B" w:rsidRPr="00AB2A89" w:rsidRDefault="0045175B" w:rsidP="00A8054F">
      <w:pPr>
        <w:pStyle w:val="Hesber"/>
        <w:spacing w:line="240" w:lineRule="auto"/>
        <w:rPr>
          <w:rtl/>
        </w:rPr>
      </w:pPr>
      <w:r w:rsidRPr="00AB2A89">
        <w:rPr>
          <w:rtl/>
        </w:rPr>
        <w:t xml:space="preserve">הצעת החוק נועדה </w:t>
      </w:r>
      <w:r w:rsidRPr="00A8054F">
        <w:rPr>
          <w:rtl/>
        </w:rPr>
        <w:t>להגן</w:t>
      </w:r>
      <w:r w:rsidRPr="00AB2A89">
        <w:rPr>
          <w:rtl/>
        </w:rPr>
        <w:t xml:space="preserve"> על נפגעי עבירות טרור מפני פגיעה נוספת</w:t>
      </w:r>
      <w:r w:rsidRPr="00AB2A89">
        <w:rPr>
          <w:rFonts w:hint="cs"/>
          <w:rtl/>
        </w:rPr>
        <w:t>,</w:t>
      </w:r>
      <w:r w:rsidRPr="00AB2A89">
        <w:rPr>
          <w:rtl/>
        </w:rPr>
        <w:t xml:space="preserve"> על ידי מניעת חזרת העבריין להתגורר</w:t>
      </w:r>
      <w:r w:rsidRPr="00AB2A89">
        <w:rPr>
          <w:rFonts w:hint="cs"/>
          <w:rtl/>
        </w:rPr>
        <w:t>,</w:t>
      </w:r>
      <w:r w:rsidRPr="00AB2A89">
        <w:rPr>
          <w:rtl/>
        </w:rPr>
        <w:t xml:space="preserve"> לעבוד </w:t>
      </w:r>
      <w:r w:rsidRPr="00AB2A89">
        <w:rPr>
          <w:rFonts w:hint="cs"/>
          <w:rtl/>
        </w:rPr>
        <w:t xml:space="preserve">או ללמוד במוסד לימודים </w:t>
      </w:r>
      <w:r w:rsidRPr="00AB2A89">
        <w:rPr>
          <w:rtl/>
        </w:rPr>
        <w:t>בקרבתם. נפגעי עבירות טרור סובלים מנזק ופגיעה משמעותיים מהפשיעה עצמה, והיתקלות בתדירות של העבריין בחיי היום-יום עלולה לגרום לפגיעה נוספת</w:t>
      </w:r>
      <w:r w:rsidRPr="00AB2A89">
        <w:rPr>
          <w:rFonts w:hint="cs"/>
          <w:rtl/>
        </w:rPr>
        <w:t xml:space="preserve"> וחריפה אף יותר</w:t>
      </w:r>
      <w:r w:rsidRPr="00AB2A89">
        <w:rPr>
          <w:rtl/>
        </w:rPr>
        <w:t xml:space="preserve">. במקרים מסוימים, קורבנות ובני משפחותיהם עשויים אף להיאלץ לעזוב את </w:t>
      </w:r>
      <w:r w:rsidRPr="00AB2A89">
        <w:rPr>
          <w:rFonts w:hint="cs"/>
          <w:rtl/>
        </w:rPr>
        <w:t>מגוריהם</w:t>
      </w:r>
      <w:r w:rsidRPr="00AB2A89">
        <w:rPr>
          <w:rtl/>
        </w:rPr>
        <w:t xml:space="preserve"> כדי להימנע ממגע עם העבריין. הצעת חוק זו מבקשת לקבוע מנגנון שי</w:t>
      </w:r>
      <w:r w:rsidRPr="00AB2A89">
        <w:rPr>
          <w:rFonts w:hint="cs"/>
          <w:rtl/>
        </w:rPr>
        <w:t>מנע</w:t>
      </w:r>
      <w:r w:rsidRPr="00AB2A89">
        <w:rPr>
          <w:rtl/>
        </w:rPr>
        <w:t xml:space="preserve"> את הצורך בעקירה כזו ויצמצם את הנזק הנגרם לקורבנות.</w:t>
      </w:r>
    </w:p>
    <w:p w14:paraId="4CCA595B" w14:textId="77777777" w:rsidR="0045175B" w:rsidRPr="00AB2A89" w:rsidRDefault="0045175B" w:rsidP="00A8054F">
      <w:pPr>
        <w:pStyle w:val="Hesber"/>
        <w:spacing w:line="240" w:lineRule="auto"/>
        <w:rPr>
          <w:rtl/>
        </w:rPr>
      </w:pPr>
      <w:r w:rsidRPr="00AB2A89">
        <w:rPr>
          <w:rtl/>
        </w:rPr>
        <w:t>המנגנון המוצע</w:t>
      </w:r>
      <w:r w:rsidRPr="00AB2A89">
        <w:rPr>
          <w:rFonts w:hint="cs"/>
          <w:rtl/>
        </w:rPr>
        <w:t xml:space="preserve"> יחייב את בית המשפט לדון באפשרות הטלת מגבלות על עבריין הטרור, וכן יסמיך אותו להטיל צו הקובע מגבלות על אזור המגורים, מקום העבודה או מוסד הלימודים של עבריין הטרור. </w:t>
      </w:r>
      <w:r w:rsidRPr="00AB2A89">
        <w:rPr>
          <w:rtl/>
        </w:rPr>
        <w:t xml:space="preserve"> הרציונל להצעה זו הוא לספק לקורבנות תחושת ביטחון ולמנוע פגיעה נפשית נוספת שנגרמה מנוכחות העבריין.</w:t>
      </w:r>
    </w:p>
    <w:p w14:paraId="09D2CC35" w14:textId="7457B784" w:rsidR="0045175B" w:rsidRPr="00AB2A89" w:rsidRDefault="0045175B" w:rsidP="00A8054F">
      <w:pPr>
        <w:pStyle w:val="Hesber"/>
        <w:spacing w:line="240" w:lineRule="auto"/>
        <w:rPr>
          <w:rtl/>
        </w:rPr>
      </w:pPr>
      <w:r w:rsidRPr="00AB2A89">
        <w:rPr>
          <w:rFonts w:hint="cs"/>
          <w:rtl/>
        </w:rPr>
        <w:t>ה</w:t>
      </w:r>
      <w:r w:rsidRPr="00AB2A89">
        <w:rPr>
          <w:rtl/>
        </w:rPr>
        <w:t xml:space="preserve">הצעה </w:t>
      </w:r>
      <w:r w:rsidRPr="00AB2A89">
        <w:rPr>
          <w:rFonts w:hint="cs"/>
          <w:rtl/>
        </w:rPr>
        <w:t>לא</w:t>
      </w:r>
      <w:r w:rsidRPr="00AB2A89">
        <w:rPr>
          <w:rtl/>
        </w:rPr>
        <w:t xml:space="preserve"> נועדה להחליף או לערער את מערכת המשפט הפלילי הקיימת. במקום זאת, היא שואפת </w:t>
      </w:r>
      <w:r w:rsidRPr="00AB2A89">
        <w:rPr>
          <w:rFonts w:hint="cs"/>
          <w:rtl/>
        </w:rPr>
        <w:t>להעניק כלים נוספים למנגנונים הקיימים</w:t>
      </w:r>
      <w:r w:rsidRPr="00AB2A89">
        <w:rPr>
          <w:rtl/>
        </w:rPr>
        <w:t xml:space="preserve"> ולתת תמיכה נוספת לנפגעי עבירות טרור. </w:t>
      </w:r>
      <w:r w:rsidRPr="00AB2A89">
        <w:rPr>
          <w:rFonts w:hint="cs"/>
          <w:rtl/>
        </w:rPr>
        <w:t>בעזרת</w:t>
      </w:r>
      <w:r w:rsidRPr="00AB2A89">
        <w:rPr>
          <w:rtl/>
        </w:rPr>
        <w:t xml:space="preserve"> צמצום הצורך ב</w:t>
      </w:r>
      <w:r w:rsidRPr="00AB2A89">
        <w:rPr>
          <w:rFonts w:hint="cs"/>
          <w:rtl/>
        </w:rPr>
        <w:t xml:space="preserve">הגבלת תנועתו של נפגעי עבירת טרור, שמא ייפגשו עם מבצע מעשה טרור הפגע בהם, </w:t>
      </w:r>
      <w:bookmarkStart w:id="8" w:name="_GoBack"/>
      <w:bookmarkEnd w:id="8"/>
      <w:r w:rsidRPr="00AB2A89">
        <w:rPr>
          <w:rtl/>
        </w:rPr>
        <w:t>הקורבנות יוכלו לחדש את חייהם הרגילים ללא חשש להיתקל בעבריין. הדבר יתרום לתהליך הריפוי ויקדם את רווחתם הכוללת של הקורבנות ובני משפחותיהם.</w:t>
      </w:r>
    </w:p>
    <w:p w14:paraId="7A260CB0" w14:textId="6C2F0336" w:rsidR="00AB2A89" w:rsidRDefault="0045175B" w:rsidP="00A8054F">
      <w:pPr>
        <w:pStyle w:val="Hesber"/>
        <w:spacing w:line="240" w:lineRule="auto"/>
        <w:rPr>
          <w:rtl/>
        </w:rPr>
      </w:pPr>
      <w:r w:rsidRPr="00AB2A89">
        <w:rPr>
          <w:rFonts w:hint="cs"/>
          <w:rtl/>
        </w:rPr>
        <w:t>הצע</w:t>
      </w:r>
      <w:r w:rsidR="001F5F6E">
        <w:rPr>
          <w:rFonts w:hint="cs"/>
          <w:rtl/>
        </w:rPr>
        <w:t>ות חוק דומות בעיקרן הונחו</w:t>
      </w:r>
      <w:r w:rsidRPr="00AB2A89">
        <w:rPr>
          <w:rFonts w:hint="cs"/>
          <w:rtl/>
        </w:rPr>
        <w:t xml:space="preserve"> על שולחן הכנסת העשרים וחמש על ידי חברת הכנסת לימור סון הר מלך (פ/2852/25)</w:t>
      </w:r>
      <w:r w:rsidR="00AB2A89">
        <w:rPr>
          <w:rFonts w:hint="cs"/>
          <w:rtl/>
        </w:rPr>
        <w:t xml:space="preserve">, </w:t>
      </w:r>
      <w:r w:rsidR="00A8054F">
        <w:rPr>
          <w:rFonts w:hint="cs"/>
          <w:rtl/>
        </w:rPr>
        <w:t xml:space="preserve">על ידי </w:t>
      </w:r>
      <w:r w:rsidR="00AB2A89">
        <w:rPr>
          <w:rFonts w:hint="cs"/>
          <w:rtl/>
        </w:rPr>
        <w:t>חברת הכנסת חוה אתי עטייה (פ/3024/25) ועל ידי חבר הכנסת אריאל קלנר וקבוצת חברי הכנסת (פ/4136</w:t>
      </w:r>
      <w:r w:rsidR="00CB55CC">
        <w:rPr>
          <w:rFonts w:hint="cs"/>
          <w:rtl/>
        </w:rPr>
        <w:t>/</w:t>
      </w:r>
      <w:r w:rsidR="00AB2A89">
        <w:rPr>
          <w:rFonts w:hint="cs"/>
          <w:rtl/>
        </w:rPr>
        <w:t>25)</w:t>
      </w:r>
      <w:r w:rsidRPr="00AB2A89">
        <w:rPr>
          <w:rFonts w:hint="cs"/>
          <w:rtl/>
        </w:rPr>
        <w:t xml:space="preserve">. </w:t>
      </w:r>
    </w:p>
    <w:p w14:paraId="76F0C00D" w14:textId="0A630714" w:rsidR="0045175B" w:rsidRPr="00AB2A89" w:rsidRDefault="0045175B" w:rsidP="00A8054F">
      <w:pPr>
        <w:pStyle w:val="Hesber"/>
        <w:spacing w:line="240" w:lineRule="auto"/>
        <w:rPr>
          <w:rtl/>
        </w:rPr>
      </w:pPr>
      <w:r w:rsidRPr="00AB2A89">
        <w:rPr>
          <w:rFonts w:hint="cs"/>
          <w:rtl/>
        </w:rPr>
        <w:t xml:space="preserve">הצעת חוק </w:t>
      </w:r>
      <w:r w:rsidR="00AB2A89">
        <w:rPr>
          <w:rFonts w:hint="cs"/>
          <w:rtl/>
        </w:rPr>
        <w:t>זהה</w:t>
      </w:r>
      <w:r w:rsidRPr="00AB2A89">
        <w:rPr>
          <w:rFonts w:hint="cs"/>
          <w:rtl/>
        </w:rPr>
        <w:t xml:space="preserve"> הונחה על שולחן הכנסת העשרים וחמש על ידי חבר הכנסת עודד פורר</w:t>
      </w:r>
      <w:r w:rsidR="00AB2A89">
        <w:rPr>
          <w:rFonts w:hint="cs"/>
          <w:rtl/>
        </w:rPr>
        <w:t xml:space="preserve"> </w:t>
      </w:r>
      <w:r w:rsidRPr="00AB2A89">
        <w:rPr>
          <w:rFonts w:hint="cs"/>
          <w:rtl/>
        </w:rPr>
        <w:t>(פ/3048/25</w:t>
      </w:r>
      <w:r w:rsidR="00CB55CC">
        <w:rPr>
          <w:rFonts w:hint="cs"/>
          <w:rtl/>
        </w:rPr>
        <w:t xml:space="preserve">; </w:t>
      </w:r>
      <w:r w:rsidR="00AB2A89">
        <w:rPr>
          <w:rFonts w:hint="cs"/>
          <w:rtl/>
        </w:rPr>
        <w:t>הוסרה מסדר היום ביום ח' בטבת התשפ"ד (20 בדצמבר 2023)</w:t>
      </w:r>
      <w:r w:rsidR="00A8054F">
        <w:rPr>
          <w:rFonts w:hint="cs"/>
          <w:rtl/>
        </w:rPr>
        <w:t>)</w:t>
      </w:r>
      <w:r w:rsidRPr="00AB2A89">
        <w:rPr>
          <w:rFonts w:hint="cs"/>
          <w:rtl/>
        </w:rPr>
        <w:t>.</w:t>
      </w:r>
    </w:p>
    <w:p w14:paraId="65D22FE2" w14:textId="77777777" w:rsidR="00F93320" w:rsidRDefault="00A8054F" w:rsidP="00A8054F">
      <w:pPr>
        <w:spacing w:line="240" w:lineRule="auto"/>
        <w:jc w:val="left"/>
      </w:pPr>
      <w:bookmarkStart w:id="9" w:name="selectedDocDateB"/>
      <w:bookmarkEnd w:id="9"/>
      <w:r>
        <w:rPr>
          <w:rFonts w:eastAsia="David" w:hint="cs"/>
          <w:sz w:val="26"/>
          <w:szCs w:val="26"/>
          <w:rtl/>
        </w:rPr>
        <w:t>--------------------------------</w:t>
      </w:r>
    </w:p>
    <w:p w14:paraId="4B83EEAE" w14:textId="77777777" w:rsidR="00F93320" w:rsidRDefault="00A8054F" w:rsidP="00A8054F">
      <w:pPr>
        <w:spacing w:line="240" w:lineRule="auto"/>
        <w:jc w:val="left"/>
      </w:pPr>
      <w:r>
        <w:rPr>
          <w:rFonts w:eastAsia="David" w:hint="cs"/>
          <w:sz w:val="26"/>
          <w:szCs w:val="26"/>
          <w:rtl/>
        </w:rPr>
        <w:t>הוגשה ליו"ר הכנסת והסגנים</w:t>
      </w:r>
    </w:p>
    <w:p w14:paraId="1F687389" w14:textId="77777777" w:rsidR="00F93320" w:rsidRDefault="00A8054F" w:rsidP="00A8054F">
      <w:pPr>
        <w:spacing w:line="240" w:lineRule="auto"/>
        <w:jc w:val="left"/>
      </w:pPr>
      <w:r>
        <w:rPr>
          <w:rFonts w:eastAsia="David" w:hint="cs"/>
          <w:sz w:val="26"/>
          <w:szCs w:val="26"/>
          <w:rtl/>
        </w:rPr>
        <w:t>והונחה על שולחן הכנסת ביום</w:t>
      </w:r>
    </w:p>
    <w:p w14:paraId="05251EF2" w14:textId="77777777" w:rsidR="00F93320" w:rsidRDefault="00A8054F" w:rsidP="00A8054F">
      <w:pPr>
        <w:spacing w:line="240" w:lineRule="auto"/>
        <w:jc w:val="left"/>
      </w:pPr>
      <w:r>
        <w:rPr>
          <w:rFonts w:eastAsia="David" w:hint="cs"/>
          <w:sz w:val="26"/>
          <w:szCs w:val="26"/>
          <w:rtl/>
        </w:rPr>
        <w:t xml:space="preserve">כ"ז בטבת התשפ"ד (08.01.2024) </w:t>
      </w:r>
    </w:p>
    <w:p w14:paraId="18CF5A91" w14:textId="77777777" w:rsidR="00F93320" w:rsidRDefault="00F93320">
      <w:pPr>
        <w:spacing w:line="276" w:lineRule="auto"/>
        <w:jc w:val="left"/>
      </w:pPr>
    </w:p>
    <w:sectPr w:rsidR="00F93320" w:rsidSect="00CD3C3D">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1F5F6E">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CD3C3D">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4429A1B" w14:textId="77777777" w:rsidR="0045175B" w:rsidRDefault="0045175B" w:rsidP="0045175B">
      <w:pPr>
        <w:pStyle w:val="a4"/>
      </w:pPr>
      <w:r>
        <w:rPr>
          <w:rStyle w:val="a5"/>
        </w:rPr>
        <w:footnoteRef/>
      </w:r>
      <w:r>
        <w:rPr>
          <w:rtl/>
        </w:rPr>
        <w:t xml:space="preserve"> </w:t>
      </w:r>
      <w:r>
        <w:rPr>
          <w:rFonts w:hint="cs"/>
          <w:rtl/>
        </w:rPr>
        <w:t xml:space="preserve">ס"ח התשנ"א, עמ' 58. </w:t>
      </w:r>
    </w:p>
  </w:footnote>
  <w:footnote w:id="3">
    <w:p w14:paraId="3A1EEAC1" w14:textId="77777777" w:rsidR="0045175B" w:rsidRDefault="0045175B" w:rsidP="0045175B">
      <w:pPr>
        <w:pStyle w:val="a4"/>
      </w:pPr>
      <w:r>
        <w:rPr>
          <w:rStyle w:val="a5"/>
        </w:rPr>
        <w:footnoteRef/>
      </w:r>
      <w:r>
        <w:rPr>
          <w:rtl/>
        </w:rPr>
        <w:t xml:space="preserve"> </w:t>
      </w:r>
      <w:r>
        <w:rPr>
          <w:rFonts w:hint="cs"/>
          <w:rtl/>
        </w:rPr>
        <w:t xml:space="preserve">ס"ח התשי"ח, עמ' 191. </w:t>
      </w:r>
    </w:p>
  </w:footnote>
  <w:footnote w:id="4">
    <w:p w14:paraId="4F20CC26" w14:textId="77777777" w:rsidR="0045175B" w:rsidRDefault="0045175B" w:rsidP="0045175B">
      <w:pPr>
        <w:pStyle w:val="a4"/>
      </w:pPr>
      <w:r>
        <w:rPr>
          <w:rStyle w:val="a5"/>
        </w:rPr>
        <w:footnoteRef/>
      </w:r>
      <w:r>
        <w:rPr>
          <w:rtl/>
        </w:rPr>
        <w:t xml:space="preserve"> </w:t>
      </w:r>
      <w:r w:rsidRPr="00C345E2">
        <w:rPr>
          <w:rFonts w:hint="cs"/>
          <w:rtl/>
        </w:rPr>
        <w:t>ס"ח התשע"ו, עמ' 898</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1F5F6E"/>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5175B"/>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4289"/>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054F"/>
    <w:rsid w:val="00A82CB7"/>
    <w:rsid w:val="00A942C1"/>
    <w:rsid w:val="00AA2F03"/>
    <w:rsid w:val="00AB2A89"/>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B55CC"/>
    <w:rsid w:val="00CD3C3D"/>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93320"/>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2F8C1DE-2498-4342-9013-8C362F8D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C3D"/>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CD3C3D"/>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D3C3D"/>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D3C3D"/>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D3C3D"/>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D3C3D"/>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CD3C3D"/>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D3C3D"/>
    <w:rPr>
      <w:sz w:val="36"/>
      <w:szCs w:val="52"/>
    </w:rPr>
  </w:style>
  <w:style w:type="paragraph" w:customStyle="1" w:styleId="Cover3-Haknesset">
    <w:name w:val="Cover 3-Haknesset"/>
    <w:basedOn w:val="Cover1-Reshumot"/>
    <w:rsid w:val="00CD3C3D"/>
    <w:rPr>
      <w:b/>
      <w:bCs/>
      <w:spacing w:val="60"/>
    </w:rPr>
  </w:style>
  <w:style w:type="paragraph" w:customStyle="1" w:styleId="Cover4-Date">
    <w:name w:val="Cover 4-Date"/>
    <w:basedOn w:val="a"/>
    <w:rsid w:val="00CD3C3D"/>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CD3C3D"/>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CD3C3D"/>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CD3C3D"/>
    <w:pPr>
      <w:spacing w:before="120" w:after="120"/>
    </w:pPr>
    <w:rPr>
      <w:color w:val="FF0000"/>
      <w:w w:val="80"/>
    </w:rPr>
  </w:style>
  <w:style w:type="paragraph" w:styleId="a3">
    <w:name w:val="endnote text"/>
    <w:basedOn w:val="a"/>
    <w:semiHidden/>
    <w:rsid w:val="00CD3C3D"/>
    <w:pPr>
      <w:ind w:left="227" w:hanging="227"/>
    </w:pPr>
    <w:rPr>
      <w:sz w:val="14"/>
      <w:szCs w:val="22"/>
    </w:rPr>
  </w:style>
  <w:style w:type="paragraph" w:customStyle="1" w:styleId="TableText">
    <w:name w:val="Table Text"/>
    <w:basedOn w:val="a"/>
    <w:rsid w:val="00CD3C3D"/>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CD3C3D"/>
    <w:pPr>
      <w:outlineLvl w:val="2"/>
    </w:pPr>
  </w:style>
  <w:style w:type="paragraph" w:customStyle="1" w:styleId="TableBlock">
    <w:name w:val="Table Block"/>
    <w:basedOn w:val="TableText"/>
    <w:rsid w:val="00CD3C3D"/>
    <w:pPr>
      <w:jc w:val="both"/>
    </w:pPr>
  </w:style>
  <w:style w:type="paragraph" w:customStyle="1" w:styleId="TableHead">
    <w:name w:val="Table Head"/>
    <w:basedOn w:val="TableText"/>
    <w:rsid w:val="00CD3C3D"/>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CD3C3D"/>
    <w:pPr>
      <w:outlineLvl w:val="9"/>
    </w:pPr>
  </w:style>
  <w:style w:type="paragraph" w:customStyle="1" w:styleId="Hesber">
    <w:name w:val="Hesber"/>
    <w:basedOn w:val="a"/>
    <w:rsid w:val="00CD3C3D"/>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CD3C3D"/>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CD3C3D"/>
    <w:rPr>
      <w:vertAlign w:val="superscript"/>
    </w:rPr>
  </w:style>
  <w:style w:type="paragraph" w:customStyle="1" w:styleId="HesberHeading">
    <w:name w:val="Hesber Heading"/>
    <w:basedOn w:val="Hesber"/>
    <w:rsid w:val="00CD3C3D"/>
    <w:pPr>
      <w:tabs>
        <w:tab w:val="left" w:pos="624"/>
        <w:tab w:val="left" w:pos="1247"/>
      </w:tabs>
    </w:pPr>
    <w:rPr>
      <w:b/>
      <w:bCs/>
    </w:rPr>
  </w:style>
  <w:style w:type="paragraph" w:customStyle="1" w:styleId="HesberWriters">
    <w:name w:val="Hesber Writers"/>
    <w:basedOn w:val="Hesber"/>
    <w:rsid w:val="00CD3C3D"/>
    <w:pPr>
      <w:spacing w:before="120" w:after="120"/>
      <w:ind w:left="1418"/>
      <w:jc w:val="right"/>
    </w:pPr>
    <w:rPr>
      <w:b/>
      <w:bCs/>
    </w:rPr>
  </w:style>
  <w:style w:type="paragraph" w:customStyle="1" w:styleId="Hesber1st">
    <w:name w:val="Hesber 1st"/>
    <w:basedOn w:val="Hesber"/>
    <w:rsid w:val="00CD3C3D"/>
    <w:pPr>
      <w:tabs>
        <w:tab w:val="left" w:pos="680"/>
        <w:tab w:val="left" w:pos="1020"/>
      </w:tabs>
      <w:ind w:firstLine="0"/>
    </w:pPr>
  </w:style>
  <w:style w:type="character" w:styleId="a6">
    <w:name w:val="endnote reference"/>
    <w:basedOn w:val="a0"/>
    <w:semiHidden/>
    <w:rsid w:val="00CD3C3D"/>
    <w:rPr>
      <w:vertAlign w:val="superscript"/>
    </w:rPr>
  </w:style>
  <w:style w:type="paragraph" w:customStyle="1" w:styleId="TableBlockOutdent">
    <w:name w:val="Table BlockOutdent"/>
    <w:basedOn w:val="TableBlock"/>
    <w:rsid w:val="00CD3C3D"/>
    <w:pPr>
      <w:ind w:left="624" w:hanging="624"/>
    </w:pPr>
  </w:style>
  <w:style w:type="paragraph" w:styleId="a7">
    <w:name w:val="header"/>
    <w:basedOn w:val="a"/>
    <w:rsid w:val="00CD3C3D"/>
    <w:pPr>
      <w:tabs>
        <w:tab w:val="center" w:pos="4153"/>
        <w:tab w:val="right" w:pos="8306"/>
      </w:tabs>
    </w:pPr>
  </w:style>
  <w:style w:type="paragraph" w:styleId="a8">
    <w:name w:val="footer"/>
    <w:basedOn w:val="a"/>
    <w:rsid w:val="00CD3C3D"/>
    <w:pPr>
      <w:tabs>
        <w:tab w:val="center" w:pos="4153"/>
        <w:tab w:val="right" w:pos="8306"/>
      </w:tabs>
    </w:pPr>
  </w:style>
  <w:style w:type="paragraph" w:customStyle="1" w:styleId="HeadDivreiHesber">
    <w:name w:val="Head DivreiHesber"/>
    <w:basedOn w:val="a"/>
    <w:rsid w:val="00CD3C3D"/>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CD3C3D"/>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CD3C3D"/>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CD3C3D"/>
    <w:rPr>
      <w:rFonts w:asciiTheme="majorHAnsi" w:eastAsiaTheme="majorEastAsia" w:hAnsiTheme="majorHAnsi" w:cs="David"/>
      <w:bCs/>
      <w:sz w:val="32"/>
      <w:szCs w:val="36"/>
    </w:rPr>
  </w:style>
  <w:style w:type="character" w:customStyle="1" w:styleId="20">
    <w:name w:val="כותרת 2 תו"/>
    <w:basedOn w:val="a0"/>
    <w:link w:val="2"/>
    <w:rsid w:val="00CD3C3D"/>
    <w:rPr>
      <w:rFonts w:asciiTheme="majorHAnsi" w:eastAsiaTheme="majorEastAsia" w:hAnsiTheme="majorHAnsi" w:cs="David"/>
      <w:bCs/>
      <w:sz w:val="26"/>
      <w:szCs w:val="36"/>
      <w:u w:val="single"/>
    </w:rPr>
  </w:style>
  <w:style w:type="character" w:customStyle="1" w:styleId="30">
    <w:name w:val="כותרת 3 תו"/>
    <w:basedOn w:val="a0"/>
    <w:link w:val="3"/>
    <w:rsid w:val="00CD3C3D"/>
    <w:rPr>
      <w:rFonts w:asciiTheme="majorHAnsi" w:eastAsiaTheme="majorEastAsia" w:hAnsiTheme="majorHAnsi" w:cs="David"/>
      <w:sz w:val="24"/>
      <w:szCs w:val="28"/>
      <w:u w:val="double"/>
    </w:rPr>
  </w:style>
  <w:style w:type="character" w:customStyle="1" w:styleId="40">
    <w:name w:val="כותרת 4 תו"/>
    <w:basedOn w:val="a0"/>
    <w:link w:val="4"/>
    <w:uiPriority w:val="9"/>
    <w:rsid w:val="00CD3C3D"/>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CD3C3D"/>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CD3C3D"/>
    <w:pPr>
      <w:widowControl/>
      <w:spacing w:before="120" w:after="120"/>
      <w:outlineLvl w:val="9"/>
    </w:pPr>
    <w:rPr>
      <w:rtl/>
      <w:cs/>
    </w:rPr>
  </w:style>
  <w:style w:type="paragraph" w:styleId="TOC1">
    <w:name w:val="toc 1"/>
    <w:basedOn w:val="a"/>
    <w:next w:val="a"/>
    <w:autoRedefine/>
    <w:uiPriority w:val="39"/>
    <w:unhideWhenUsed/>
    <w:rsid w:val="00CD3C3D"/>
    <w:pPr>
      <w:tabs>
        <w:tab w:val="right" w:leader="dot" w:pos="9629"/>
      </w:tabs>
      <w:spacing w:after="100"/>
    </w:pPr>
    <w:rPr>
      <w:bCs/>
      <w:szCs w:val="22"/>
    </w:rPr>
  </w:style>
  <w:style w:type="paragraph" w:styleId="TOC2">
    <w:name w:val="toc 2"/>
    <w:basedOn w:val="a"/>
    <w:next w:val="a"/>
    <w:uiPriority w:val="39"/>
    <w:unhideWhenUsed/>
    <w:rsid w:val="00CD3C3D"/>
    <w:pPr>
      <w:tabs>
        <w:tab w:val="right" w:leader="dot" w:pos="9628"/>
      </w:tabs>
      <w:spacing w:after="100"/>
    </w:pPr>
    <w:rPr>
      <w:szCs w:val="22"/>
    </w:rPr>
  </w:style>
  <w:style w:type="character" w:styleId="Hyperlink">
    <w:name w:val="Hyperlink"/>
    <w:basedOn w:val="a0"/>
    <w:uiPriority w:val="99"/>
    <w:unhideWhenUsed/>
    <w:rsid w:val="00CD3C3D"/>
    <w:rPr>
      <w:color w:val="0000FF" w:themeColor="hyperlink"/>
      <w:u w:val="single"/>
    </w:rPr>
  </w:style>
  <w:style w:type="paragraph" w:styleId="TOC3">
    <w:name w:val="toc 3"/>
    <w:basedOn w:val="a"/>
    <w:next w:val="a"/>
    <w:uiPriority w:val="39"/>
    <w:unhideWhenUsed/>
    <w:rsid w:val="00CD3C3D"/>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CD3C3D"/>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D3C3D"/>
    <w:pPr>
      <w:tabs>
        <w:tab w:val="right" w:leader="dot" w:pos="9628"/>
      </w:tabs>
      <w:spacing w:after="100"/>
      <w:ind w:left="567"/>
    </w:pPr>
    <w:rPr>
      <w:szCs w:val="22"/>
    </w:rPr>
  </w:style>
  <w:style w:type="paragraph" w:styleId="TOC6">
    <w:name w:val="toc 6"/>
    <w:basedOn w:val="a"/>
    <w:next w:val="a"/>
    <w:autoRedefine/>
    <w:semiHidden/>
    <w:unhideWhenUsed/>
    <w:rsid w:val="00CD3C3D"/>
    <w:pPr>
      <w:spacing w:after="100"/>
      <w:ind w:left="850"/>
    </w:pPr>
  </w:style>
  <w:style w:type="paragraph" w:styleId="TOC7">
    <w:name w:val="toc 7"/>
    <w:basedOn w:val="a"/>
    <w:next w:val="a"/>
    <w:autoRedefine/>
    <w:semiHidden/>
    <w:unhideWhenUsed/>
    <w:rsid w:val="00CD3C3D"/>
    <w:pPr>
      <w:spacing w:after="100"/>
      <w:ind w:left="1020"/>
    </w:pPr>
  </w:style>
  <w:style w:type="paragraph" w:styleId="TOC8">
    <w:name w:val="toc 8"/>
    <w:basedOn w:val="a"/>
    <w:next w:val="a"/>
    <w:autoRedefine/>
    <w:semiHidden/>
    <w:unhideWhenUsed/>
    <w:rsid w:val="00CD3C3D"/>
    <w:pPr>
      <w:spacing w:after="100"/>
      <w:ind w:left="1190"/>
    </w:pPr>
  </w:style>
  <w:style w:type="paragraph" w:styleId="TOC9">
    <w:name w:val="toc 9"/>
    <w:basedOn w:val="a"/>
    <w:next w:val="a"/>
    <w:autoRedefine/>
    <w:semiHidden/>
    <w:unhideWhenUsed/>
    <w:rsid w:val="00CD3C3D"/>
    <w:pPr>
      <w:spacing w:after="100"/>
      <w:ind w:left="1360"/>
    </w:pPr>
  </w:style>
  <w:style w:type="paragraph" w:customStyle="1" w:styleId="TableHead2">
    <w:name w:val="Table Head2"/>
    <w:basedOn w:val="TableHead"/>
    <w:qFormat/>
    <w:rsid w:val="00CD3C3D"/>
    <w:pPr>
      <w:outlineLvl w:val="9"/>
    </w:pPr>
  </w:style>
  <w:style w:type="paragraph" w:customStyle="1" w:styleId="TableSideHeading2">
    <w:name w:val="Table SideHeading2"/>
    <w:basedOn w:val="TableSideHeading"/>
    <w:autoRedefine/>
    <w:qFormat/>
    <w:rsid w:val="00CD3C3D"/>
    <w:pPr>
      <w:keepLines w:val="0"/>
      <w:outlineLvl w:val="9"/>
    </w:pPr>
  </w:style>
  <w:style w:type="paragraph" w:customStyle="1" w:styleId="0">
    <w:name w:val="סגנון שורה ראשונה:  0  ס''מ"/>
    <w:basedOn w:val="2"/>
    <w:rsid w:val="00CD3C3D"/>
    <w:rPr>
      <w:rFonts w:eastAsia="Times New Roman"/>
    </w:rPr>
  </w:style>
  <w:style w:type="paragraph" w:styleId="ae">
    <w:name w:val="List Paragraph"/>
    <w:basedOn w:val="a"/>
    <w:uiPriority w:val="34"/>
    <w:qFormat/>
    <w:rsid w:val="00CD3C3D"/>
    <w:pPr>
      <w:widowControl/>
      <w:spacing w:line="259" w:lineRule="auto"/>
    </w:pPr>
    <w:rPr>
      <w:rFonts w:asciiTheme="minorHAnsi" w:hAnsiTheme="minorHAnsi"/>
      <w:sz w:val="22"/>
    </w:rPr>
  </w:style>
  <w:style w:type="table" w:styleId="af">
    <w:name w:val="Table Grid"/>
    <w:basedOn w:val="a1"/>
    <w:rsid w:val="00CD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D3C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CD3C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CD3C3D"/>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CD3C3D"/>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F2A9AF12-88B3-4AC7-B5D8-451350E73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290d5b49-c690-4c6f-bbb9-1e50dab33ee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0BB0693-94C6-4761-BB63-EE9F6635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543</Words>
  <Characters>3099</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2024-01-07T10:03:00Z</cp:lastPrinted>
  <dcterms:created xsi:type="dcterms:W3CDTF">2015-04-20T09:58:00Z</dcterms:created>
  <dcterms:modified xsi:type="dcterms:W3CDTF">2024-01-07T10:03:00Z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2212656</vt:r8>
  </property>
</Properties>
</file>