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2210999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אושר שקלים</w:t>
      </w:r>
      <w:bookmarkEnd w:id="3"/>
    </w:p>
    <w:p w14:paraId="7F6961AA" w14:textId="39F9D96B" w:rsidR="00E13C27" w:rsidRPr="00CF1AA2" w:rsidRDefault="007D585A" w:rsidP="0036422C">
      <w:pPr>
        <w:pStyle w:val="David"/>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F08CA25"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826CEC">
        <w:rPr>
          <w:rtl/>
        </w:rPr>
        <w:tab/>
      </w:r>
      <w:r>
        <w:rPr>
          <w:rFonts w:hint="cs"/>
          <w:rtl/>
        </w:rPr>
        <w:t>פ/4102/25</w:t>
      </w:r>
      <w:bookmarkEnd w:id="6"/>
    </w:p>
    <w:p w14:paraId="7F6961AC" w14:textId="77777777" w:rsidR="00E13C27" w:rsidRDefault="00E13C27" w:rsidP="00E13C27">
      <w:pPr>
        <w:ind w:left="2880" w:firstLine="720"/>
        <w:rPr>
          <w:sz w:val="26"/>
          <w:szCs w:val="26"/>
          <w:rtl/>
        </w:rPr>
      </w:pPr>
    </w:p>
    <w:p w14:paraId="7F6961AD" w14:textId="4F3609D2" w:rsidR="00E13C27" w:rsidRPr="00F67051" w:rsidRDefault="00A443CF" w:rsidP="00826CEC">
      <w:pPr>
        <w:pStyle w:val="HeadHatzaotHok"/>
        <w:rPr>
          <w:rtl/>
        </w:rPr>
      </w:pPr>
      <w:bookmarkStart w:id="7" w:name="LGS_Subject"/>
      <w:r>
        <w:rPr>
          <w:rFonts w:hint="cs"/>
          <w:rtl/>
        </w:rPr>
        <w:t xml:space="preserve">הצעת חוק זכויות נפגעי עבירה (תיקון </w:t>
      </w:r>
      <w:r w:rsidR="00826CEC" w:rsidRPr="00A15BD3">
        <w:rPr>
          <w:rtl/>
        </w:rPr>
        <w:t>–</w:t>
      </w:r>
      <w:r>
        <w:rPr>
          <w:rFonts w:hint="cs"/>
          <w:rtl/>
        </w:rPr>
        <w:t xml:space="preserve"> מתן קדימות בהליכים פליליים לנפגעי עבירה קטינים בגין עבירת מין או אלימות חמורה), התשפ"ד</w:t>
      </w:r>
      <w:r w:rsidR="00826CEC" w:rsidRPr="00A15BD3">
        <w:rPr>
          <w:rtl/>
        </w:rPr>
        <w:t>–</w:t>
      </w:r>
      <w:r>
        <w:rPr>
          <w:rFonts w:hint="cs"/>
          <w:rtl/>
        </w:rPr>
        <w:t>2023</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91160F" w14:paraId="035EEF3D" w14:textId="77777777" w:rsidTr="00FC64F6">
        <w:trPr>
          <w:cantSplit/>
        </w:trPr>
        <w:tc>
          <w:tcPr>
            <w:tcW w:w="1871" w:type="dxa"/>
          </w:tcPr>
          <w:p w14:paraId="3863FF98" w14:textId="248AFD25" w:rsidR="0091160F" w:rsidRDefault="0091160F" w:rsidP="0091160F">
            <w:pPr>
              <w:pStyle w:val="TableSideHeading"/>
              <w:keepLines w:val="0"/>
            </w:pPr>
            <w:r>
              <w:rPr>
                <w:sz w:val="26"/>
                <w:rtl/>
              </w:rPr>
              <w:t xml:space="preserve">תיקון סעיף </w:t>
            </w:r>
            <w:r>
              <w:rPr>
                <w:rFonts w:hint="cs"/>
                <w:sz w:val="26"/>
                <w:rtl/>
              </w:rPr>
              <w:t>4</w:t>
            </w:r>
          </w:p>
        </w:tc>
        <w:tc>
          <w:tcPr>
            <w:tcW w:w="624" w:type="dxa"/>
          </w:tcPr>
          <w:p w14:paraId="6F513EF6" w14:textId="37EA6805" w:rsidR="0091160F" w:rsidRDefault="0091160F" w:rsidP="0091160F">
            <w:pPr>
              <w:pStyle w:val="TableText"/>
              <w:keepLines w:val="0"/>
            </w:pPr>
            <w:r>
              <w:rPr>
                <w:rFonts w:hint="cs"/>
                <w:rtl/>
              </w:rPr>
              <w:t>1.</w:t>
            </w:r>
          </w:p>
        </w:tc>
        <w:tc>
          <w:tcPr>
            <w:tcW w:w="7143" w:type="dxa"/>
          </w:tcPr>
          <w:p w14:paraId="1AE94DEB" w14:textId="3D2AD1CB" w:rsidR="0091160F" w:rsidRPr="00A15BD3" w:rsidRDefault="0091160F" w:rsidP="00FC64F6">
            <w:pPr>
              <w:pStyle w:val="TableHead"/>
              <w:jc w:val="both"/>
              <w:outlineLvl w:val="9"/>
              <w:rPr>
                <w:b w:val="0"/>
                <w:bCs w:val="0"/>
              </w:rPr>
            </w:pPr>
            <w:r w:rsidRPr="00A15BD3">
              <w:rPr>
                <w:rFonts w:hint="cs"/>
                <w:b w:val="0"/>
                <w:bCs w:val="0"/>
                <w:rtl/>
              </w:rPr>
              <w:t>בחוק זכויות נפגעי עבירה</w:t>
            </w:r>
            <w:r w:rsidRPr="00A15BD3">
              <w:rPr>
                <w:b w:val="0"/>
                <w:bCs w:val="0"/>
                <w:rtl/>
              </w:rPr>
              <w:t>, התש</w:t>
            </w:r>
            <w:r w:rsidRPr="00A15BD3">
              <w:rPr>
                <w:rFonts w:hint="cs"/>
                <w:b w:val="0"/>
                <w:bCs w:val="0"/>
                <w:rtl/>
              </w:rPr>
              <w:t>ס"א</w:t>
            </w:r>
            <w:r w:rsidRPr="00A15BD3">
              <w:rPr>
                <w:b w:val="0"/>
                <w:bCs w:val="0"/>
                <w:rtl/>
              </w:rPr>
              <w:t>–</w:t>
            </w:r>
            <w:r w:rsidRPr="00A15BD3">
              <w:rPr>
                <w:rFonts w:hint="cs"/>
                <w:b w:val="0"/>
                <w:bCs w:val="0"/>
                <w:rtl/>
              </w:rPr>
              <w:t>2001</w:t>
            </w:r>
            <w:r w:rsidR="00A15BD3" w:rsidRPr="00FC64F6">
              <w:rPr>
                <w:rStyle w:val="a6"/>
                <w:rFonts w:ascii="David" w:hAnsi="David"/>
                <w:b w:val="0"/>
                <w:bCs w:val="0"/>
                <w:sz w:val="26"/>
                <w:rtl/>
              </w:rPr>
              <w:footnoteReference w:id="2"/>
            </w:r>
            <w:r w:rsidR="00826CEC">
              <w:rPr>
                <w:rFonts w:hint="cs"/>
                <w:b w:val="0"/>
                <w:bCs w:val="0"/>
                <w:rtl/>
              </w:rPr>
              <w:t xml:space="preserve">, </w:t>
            </w:r>
            <w:r w:rsidRPr="00A15BD3">
              <w:rPr>
                <w:b w:val="0"/>
                <w:bCs w:val="0"/>
                <w:rtl/>
              </w:rPr>
              <w:t xml:space="preserve">בסעיף </w:t>
            </w:r>
            <w:r w:rsidRPr="00A15BD3">
              <w:rPr>
                <w:rFonts w:hint="cs"/>
                <w:b w:val="0"/>
                <w:bCs w:val="0"/>
                <w:rtl/>
              </w:rPr>
              <w:t>4</w:t>
            </w:r>
            <w:r w:rsidRPr="00A15BD3">
              <w:rPr>
                <w:b w:val="0"/>
                <w:bCs w:val="0"/>
                <w:rtl/>
              </w:rPr>
              <w:t>, אחרי סעיף קטן (</w:t>
            </w:r>
            <w:r w:rsidR="00C37223">
              <w:rPr>
                <w:rFonts w:hint="cs"/>
                <w:b w:val="0"/>
                <w:bCs w:val="0"/>
                <w:rtl/>
              </w:rPr>
              <w:t>א</w:t>
            </w:r>
            <w:r w:rsidRPr="00A15BD3">
              <w:rPr>
                <w:b w:val="0"/>
                <w:bCs w:val="0"/>
                <w:rtl/>
              </w:rPr>
              <w:t>) יבוא:</w:t>
            </w:r>
          </w:p>
        </w:tc>
      </w:tr>
      <w:tr w:rsidR="0091160F" w14:paraId="3D9B61D1" w14:textId="77777777" w:rsidTr="00FC64F6">
        <w:trPr>
          <w:cantSplit/>
        </w:trPr>
        <w:tc>
          <w:tcPr>
            <w:tcW w:w="1871" w:type="dxa"/>
          </w:tcPr>
          <w:p w14:paraId="6C0CB9D8" w14:textId="77777777" w:rsidR="0091160F" w:rsidRDefault="0091160F" w:rsidP="0091160F">
            <w:pPr>
              <w:pStyle w:val="TableSideHeading"/>
              <w:keepLines w:val="0"/>
            </w:pPr>
          </w:p>
        </w:tc>
        <w:tc>
          <w:tcPr>
            <w:tcW w:w="624" w:type="dxa"/>
          </w:tcPr>
          <w:p w14:paraId="3F4286A2" w14:textId="26112D1E" w:rsidR="0091160F" w:rsidRPr="0091160F" w:rsidRDefault="0091160F" w:rsidP="0091160F">
            <w:pPr>
              <w:pStyle w:val="TableText"/>
              <w:keepLines w:val="0"/>
            </w:pPr>
          </w:p>
        </w:tc>
        <w:tc>
          <w:tcPr>
            <w:tcW w:w="7143" w:type="dxa"/>
          </w:tcPr>
          <w:p w14:paraId="7633D5BB" w14:textId="6731CBEB" w:rsidR="0091160F" w:rsidRPr="00C34DE2" w:rsidRDefault="001E08A3" w:rsidP="00FC64F6">
            <w:pPr>
              <w:pStyle w:val="TableBlock"/>
            </w:pPr>
            <w:r>
              <w:rPr>
                <w:rFonts w:hint="cs"/>
                <w:rtl/>
              </w:rPr>
              <w:t>"</w:t>
            </w:r>
            <w:r>
              <w:t>)</w:t>
            </w:r>
            <w:r w:rsidR="00C37223">
              <w:rPr>
                <w:rFonts w:hint="cs"/>
                <w:rtl/>
              </w:rPr>
              <w:t>א1</w:t>
            </w:r>
            <w:r>
              <w:rPr>
                <w:rFonts w:hint="cs"/>
                <w:rtl/>
              </w:rPr>
              <w:t>)</w:t>
            </w:r>
            <w:r w:rsidR="00877CA8">
              <w:rPr>
                <w:rtl/>
              </w:rPr>
              <w:tab/>
            </w:r>
            <w:r w:rsidR="00215A6F">
              <w:rPr>
                <w:rFonts w:hint="cs"/>
                <w:rtl/>
              </w:rPr>
              <w:t xml:space="preserve">תינתן </w:t>
            </w:r>
            <w:r w:rsidR="0091160F">
              <w:rPr>
                <w:rFonts w:hint="cs"/>
                <w:rtl/>
              </w:rPr>
              <w:t xml:space="preserve">קדימות </w:t>
            </w:r>
            <w:r w:rsidR="000A7676">
              <w:rPr>
                <w:rFonts w:hint="cs"/>
                <w:rtl/>
              </w:rPr>
              <w:t>בטיפול</w:t>
            </w:r>
            <w:r w:rsidR="000F2CF1">
              <w:rPr>
                <w:rFonts w:hint="cs"/>
                <w:rtl/>
              </w:rPr>
              <w:t xml:space="preserve"> בהליך הפלילי</w:t>
            </w:r>
            <w:r w:rsidR="000A7676">
              <w:rPr>
                <w:rFonts w:hint="cs"/>
                <w:rtl/>
              </w:rPr>
              <w:t xml:space="preserve"> בנפגע עבירת מין או אלימות חמורה שהוא קטין</w:t>
            </w:r>
            <w:r w:rsidR="001821C9">
              <w:rPr>
                <w:rFonts w:hint="cs"/>
                <w:rtl/>
              </w:rPr>
              <w:t xml:space="preserve"> </w:t>
            </w:r>
            <w:r w:rsidR="00215A6F">
              <w:rPr>
                <w:rFonts w:hint="cs"/>
                <w:rtl/>
              </w:rPr>
              <w:t>ו</w:t>
            </w:r>
            <w:r w:rsidR="0091160F">
              <w:rPr>
                <w:rFonts w:hint="cs"/>
                <w:rtl/>
              </w:rPr>
              <w:t>ההליכים המשפטיים</w:t>
            </w:r>
            <w:r w:rsidR="00215A6F">
              <w:rPr>
                <w:rFonts w:hint="cs"/>
                <w:rtl/>
              </w:rPr>
              <w:t xml:space="preserve"> יימשכו</w:t>
            </w:r>
            <w:r w:rsidR="0091160F">
              <w:rPr>
                <w:rFonts w:hint="cs"/>
                <w:rtl/>
              </w:rPr>
              <w:t xml:space="preserve"> עד שנה החל מיום תחילת </w:t>
            </w:r>
            <w:r w:rsidR="002D10D8">
              <w:rPr>
                <w:rFonts w:hint="cs"/>
                <w:rtl/>
              </w:rPr>
              <w:t xml:space="preserve">הדיון </w:t>
            </w:r>
            <w:r w:rsidR="0091160F">
              <w:rPr>
                <w:rFonts w:hint="cs"/>
                <w:rtl/>
              </w:rPr>
              <w:t>בבית המשפט</w:t>
            </w:r>
            <w:r w:rsidR="00C51B58">
              <w:rPr>
                <w:rFonts w:hint="cs"/>
                <w:rtl/>
              </w:rPr>
              <w:t>.</w:t>
            </w:r>
            <w:r w:rsidR="00FC64F6">
              <w:rPr>
                <w:rFonts w:hint="cs"/>
                <w:rtl/>
              </w:rPr>
              <w:t>"</w:t>
            </w:r>
          </w:p>
        </w:tc>
      </w:tr>
    </w:tbl>
    <w:p w14:paraId="7F6961CA" w14:textId="77777777" w:rsidR="002D1EE3" w:rsidRDefault="002D1EE3" w:rsidP="002D1EE3">
      <w:pPr>
        <w:pStyle w:val="HeadDivreiHesber"/>
        <w:rPr>
          <w:rtl/>
        </w:rPr>
      </w:pPr>
      <w:r w:rsidRPr="0027450A">
        <w:rPr>
          <w:rFonts w:hint="cs"/>
          <w:rtl/>
        </w:rPr>
        <w:t>דברי הסבר</w:t>
      </w:r>
    </w:p>
    <w:p w14:paraId="3386ACF5" w14:textId="50C055FF" w:rsidR="0091160F" w:rsidRPr="00A15BD3" w:rsidRDefault="0091160F" w:rsidP="00A15BD3">
      <w:pPr>
        <w:pStyle w:val="Hesber"/>
        <w:rPr>
          <w:rtl/>
        </w:rPr>
      </w:pPr>
      <w:r w:rsidRPr="00A15BD3">
        <w:rPr>
          <w:rtl/>
        </w:rPr>
        <w:t>ידוע כי קטינים נפגעי עבירה חווים דחק נפשי היקפי, הן במהלך החקירה המשטרתית והן במהלך ההליכים הפליליים. זאת, בנוסף לדחק ולתעוקה הרגשית שחשים בעקבות הפגיעה עצמה. במהלך החקירה המשטרתית</w:t>
      </w:r>
      <w:r w:rsidR="00C51B58">
        <w:rPr>
          <w:rFonts w:hint="cs"/>
          <w:rtl/>
        </w:rPr>
        <w:t>,</w:t>
      </w:r>
      <w:r w:rsidRPr="00A15BD3">
        <w:rPr>
          <w:rtl/>
        </w:rPr>
        <w:t xml:space="preserve"> המפגש עם הצורך להיחקר, להיבדק, לחזור שוב ושוב על פרטי האירוע הטראומתי, לעבור עימות בנוכחות הפוגע וכו', מגבירים את רמות הלחץ והחרדה של נפגעי העבירה. לחץ וחוסר ודאות שנמשכים לעיתים חודשים רבים בעוד הנפגעים צריכים להמשיך בעמידה באתגרי החיים הנורמטיביים העומדים לפתחם – תפקוד אישי, לימודי, חברתי והתפתחות גופנית. </w:t>
      </w:r>
    </w:p>
    <w:p w14:paraId="50A606FF" w14:textId="727CD5F1" w:rsidR="0091160F" w:rsidRPr="00A15BD3" w:rsidRDefault="0091160F" w:rsidP="00C51B58">
      <w:pPr>
        <w:pStyle w:val="Hesber"/>
        <w:rPr>
          <w:rtl/>
        </w:rPr>
      </w:pPr>
      <w:r w:rsidRPr="00A15BD3">
        <w:rPr>
          <w:rtl/>
        </w:rPr>
        <w:t>אם התיקים מוע</w:t>
      </w:r>
      <w:r w:rsidR="001E08A3">
        <w:rPr>
          <w:rtl/>
        </w:rPr>
        <w:t xml:space="preserve">ברים לפרקליטות </w:t>
      </w:r>
      <w:r w:rsidR="00C51B58">
        <w:rPr>
          <w:rFonts w:hint="cs"/>
          <w:rtl/>
        </w:rPr>
        <w:t>ואינם</w:t>
      </w:r>
      <w:r w:rsidR="001E08A3">
        <w:rPr>
          <w:rtl/>
        </w:rPr>
        <w:t xml:space="preserve"> נסגרים, נפגע</w:t>
      </w:r>
      <w:r w:rsidRPr="00A15BD3">
        <w:rPr>
          <w:rtl/>
        </w:rPr>
        <w:t xml:space="preserve"> העבירה מזומ</w:t>
      </w:r>
      <w:r w:rsidR="00C51B58">
        <w:rPr>
          <w:rFonts w:hint="cs"/>
          <w:rtl/>
        </w:rPr>
        <w:t>ן</w:t>
      </w:r>
      <w:r w:rsidRPr="00A15BD3">
        <w:rPr>
          <w:rtl/>
        </w:rPr>
        <w:t xml:space="preserve"> למתן עדות תוך 3 חודשים, אך ההליכים הפליליים עצמם נמשכים לעיתים קרובות בין שנה ל</w:t>
      </w:r>
      <w:r w:rsidR="001E08A3">
        <w:rPr>
          <w:rFonts w:hint="cs"/>
          <w:rtl/>
        </w:rPr>
        <w:t>-</w:t>
      </w:r>
      <w:r w:rsidR="001E08A3">
        <w:rPr>
          <w:rtl/>
        </w:rPr>
        <w:t>3 שנים. בתקופה זו הן הנפגע</w:t>
      </w:r>
      <w:r w:rsidRPr="00A15BD3">
        <w:rPr>
          <w:rtl/>
        </w:rPr>
        <w:t xml:space="preserve"> והן </w:t>
      </w:r>
      <w:r w:rsidR="001E08A3">
        <w:rPr>
          <w:rtl/>
        </w:rPr>
        <w:t>משפחת</w:t>
      </w:r>
      <w:r w:rsidR="00C51B58">
        <w:rPr>
          <w:rFonts w:hint="cs"/>
          <w:rtl/>
        </w:rPr>
        <w:t>ו</w:t>
      </w:r>
      <w:r w:rsidRPr="00A15BD3">
        <w:rPr>
          <w:rtl/>
        </w:rPr>
        <w:t xml:space="preserve"> נמצאים במצב של חוסר וודאות, חרדה, והפגיעה שחוו ממשיכה </w:t>
      </w:r>
      <w:r w:rsidR="009847E5">
        <w:rPr>
          <w:rFonts w:hint="cs"/>
          <w:rtl/>
        </w:rPr>
        <w:t>להיות איתם</w:t>
      </w:r>
      <w:r w:rsidRPr="00A15BD3">
        <w:rPr>
          <w:rtl/>
        </w:rPr>
        <w:t xml:space="preserve"> ולהתקיים בתוכם ביתר שאת ולתת אותותיה דרך סימפטומים של פלאשבקים, חרדה, דכאון, כאבים גופניים, בידוד חברתי, חוסר תקווה וחוסר אמון בסביבה. </w:t>
      </w:r>
      <w:r w:rsidR="009847E5">
        <w:rPr>
          <w:rFonts w:hint="cs"/>
          <w:rtl/>
        </w:rPr>
        <w:t>תוך כדי ההליכים, עולות</w:t>
      </w:r>
      <w:r w:rsidR="009847E5" w:rsidRPr="00A15BD3">
        <w:rPr>
          <w:rtl/>
        </w:rPr>
        <w:t xml:space="preserve"> </w:t>
      </w:r>
      <w:r w:rsidRPr="00A15BD3">
        <w:rPr>
          <w:rtl/>
        </w:rPr>
        <w:t xml:space="preserve">שאלות </w:t>
      </w:r>
      <w:r w:rsidR="009847E5">
        <w:rPr>
          <w:rFonts w:hint="cs"/>
          <w:rtl/>
        </w:rPr>
        <w:t xml:space="preserve">וחששות </w:t>
      </w:r>
      <w:r w:rsidRPr="00A15BD3">
        <w:rPr>
          <w:rtl/>
        </w:rPr>
        <w:t xml:space="preserve">הקשורות לאפשרות שיזומנו למתן עדות נוספות ויצטרכו שוב </w:t>
      </w:r>
      <w:r w:rsidR="008C66F3">
        <w:rPr>
          <w:rFonts w:hint="cs"/>
          <w:rtl/>
        </w:rPr>
        <w:t>להיחשף</w:t>
      </w:r>
      <w:r w:rsidR="008C66F3" w:rsidRPr="00A15BD3">
        <w:rPr>
          <w:rtl/>
        </w:rPr>
        <w:t xml:space="preserve"> </w:t>
      </w:r>
      <w:r w:rsidR="008C66F3">
        <w:rPr>
          <w:rFonts w:hint="cs"/>
          <w:rtl/>
        </w:rPr>
        <w:t>ל</w:t>
      </w:r>
      <w:r w:rsidRPr="00A15BD3">
        <w:rPr>
          <w:rtl/>
        </w:rPr>
        <w:t>תכני</w:t>
      </w:r>
      <w:r w:rsidR="009847E5">
        <w:rPr>
          <w:rtl/>
        </w:rPr>
        <w:t>ם הקשים, יצטרכו לראות את הפוג</w:t>
      </w:r>
      <w:r w:rsidR="009847E5">
        <w:rPr>
          <w:rFonts w:hint="cs"/>
          <w:rtl/>
        </w:rPr>
        <w:t>ע</w:t>
      </w:r>
      <w:r w:rsidR="00C51B58">
        <w:rPr>
          <w:rtl/>
        </w:rPr>
        <w:t xml:space="preserve"> בבית המשפט ולעיתים אף בסביבתם</w:t>
      </w:r>
      <w:r w:rsidR="009847E5">
        <w:rPr>
          <w:rFonts w:hint="cs"/>
          <w:rtl/>
        </w:rPr>
        <w:t>. כמו כן,</w:t>
      </w:r>
      <w:r w:rsidRPr="00A15BD3">
        <w:rPr>
          <w:rtl/>
        </w:rPr>
        <w:t xml:space="preserve"> לעיתים קרובות </w:t>
      </w:r>
      <w:r w:rsidR="00C51B58">
        <w:rPr>
          <w:rFonts w:hint="cs"/>
          <w:rtl/>
        </w:rPr>
        <w:t xml:space="preserve">הנפגע </w:t>
      </w:r>
      <w:r w:rsidR="00C51B58">
        <w:rPr>
          <w:rtl/>
        </w:rPr>
        <w:t>אף חשו</w:t>
      </w:r>
      <w:r w:rsidR="00C51B58">
        <w:rPr>
          <w:rFonts w:hint="cs"/>
          <w:rtl/>
        </w:rPr>
        <w:t>ף</w:t>
      </w:r>
      <w:r w:rsidRPr="00A15BD3">
        <w:rPr>
          <w:rtl/>
        </w:rPr>
        <w:t xml:space="preserve"> במהלך המשפט לאיומים, מניפולציות, השפלות, </w:t>
      </w:r>
      <w:r w:rsidR="008C66F3">
        <w:rPr>
          <w:rFonts w:hint="cs"/>
          <w:rtl/>
        </w:rPr>
        <w:t>שיימינג</w:t>
      </w:r>
      <w:r w:rsidR="008C66F3" w:rsidRPr="00A15BD3">
        <w:rPr>
          <w:rtl/>
        </w:rPr>
        <w:t xml:space="preserve"> </w:t>
      </w:r>
      <w:r w:rsidRPr="00A15BD3">
        <w:rPr>
          <w:rtl/>
        </w:rPr>
        <w:t>ברשתות חברתיות והפ</w:t>
      </w:r>
      <w:r w:rsidR="00C51B58">
        <w:rPr>
          <w:rtl/>
        </w:rPr>
        <w:t>עלת לחץ חיצונית קשה בכדי שייסוג</w:t>
      </w:r>
      <w:r w:rsidRPr="00A15BD3">
        <w:rPr>
          <w:rtl/>
        </w:rPr>
        <w:t xml:space="preserve"> </w:t>
      </w:r>
      <w:r w:rsidR="00C51B58">
        <w:rPr>
          <w:rtl/>
        </w:rPr>
        <w:t>מעדות</w:t>
      </w:r>
      <w:r w:rsidR="00C51B58">
        <w:rPr>
          <w:rFonts w:hint="cs"/>
          <w:rtl/>
        </w:rPr>
        <w:t xml:space="preserve">ו </w:t>
      </w:r>
      <w:r w:rsidR="00C51B58">
        <w:rPr>
          <w:rtl/>
        </w:rPr>
        <w:lastRenderedPageBreak/>
        <w:t>במשפט ויפסיק</w:t>
      </w:r>
      <w:r w:rsidRPr="00A15BD3">
        <w:rPr>
          <w:rtl/>
        </w:rPr>
        <w:t xml:space="preserve"> לשתף פעולה, או בכדי לבנות "תכנית מגירה" שבה גם אם בית המשפט יכיר בצדקתם, החברה תוקיע אותם מתוכה. </w:t>
      </w:r>
    </w:p>
    <w:p w14:paraId="0C67563B" w14:textId="169DF54A" w:rsidR="0091160F" w:rsidRPr="00A15BD3" w:rsidRDefault="0091160F" w:rsidP="009847E5">
      <w:pPr>
        <w:pStyle w:val="Hesber"/>
        <w:rPr>
          <w:rtl/>
        </w:rPr>
      </w:pPr>
      <w:r w:rsidRPr="00A15BD3">
        <w:rPr>
          <w:rtl/>
        </w:rPr>
        <w:t>מצב זה של הליכים פליליים ארוכי ט</w:t>
      </w:r>
      <w:r w:rsidR="008610D9" w:rsidRPr="00A15BD3">
        <w:rPr>
          <w:rtl/>
        </w:rPr>
        <w:t>ווח יוצרים דחק משני משמעותי</w:t>
      </w:r>
      <w:r w:rsidRPr="00A15BD3">
        <w:rPr>
          <w:rtl/>
        </w:rPr>
        <w:t xml:space="preserve"> על נפגעי העבירה שמצטרף לדחק שנוצר בעקבות הפגיעה המינית</w:t>
      </w:r>
      <w:r w:rsidR="008C66F3">
        <w:rPr>
          <w:rFonts w:hint="cs"/>
          <w:rtl/>
        </w:rPr>
        <w:t xml:space="preserve"> והאלימה</w:t>
      </w:r>
      <w:r w:rsidRPr="00A15BD3">
        <w:rPr>
          <w:rtl/>
        </w:rPr>
        <w:t xml:space="preserve"> שחוו, ומאיים לפגוע באופן קשה בנפשם וביכולת חזרתם לתפקוד נורמטיבי בעתיד. הסימפטומים שנוצרים בעקבות דחק זה מדירים שינה מעיניהם של נפגעי העבירה, מרחיקים אותם חברתית מקבוצת השווים שלהם בגלל ה"סוד" שנאלצים להסתיר בנוגע למשפט המתנהל בעניינם</w:t>
      </w:r>
      <w:r w:rsidR="009847E5">
        <w:rPr>
          <w:rFonts w:hint="cs"/>
          <w:rtl/>
        </w:rPr>
        <w:t>. כמו כן,</w:t>
      </w:r>
      <w:r w:rsidRPr="00A15BD3">
        <w:rPr>
          <w:rtl/>
        </w:rPr>
        <w:t xml:space="preserve"> לעיתים </w:t>
      </w:r>
      <w:r w:rsidR="008C66F3">
        <w:rPr>
          <w:rFonts w:hint="cs"/>
          <w:rtl/>
        </w:rPr>
        <w:t xml:space="preserve">ההליכים </w:t>
      </w:r>
      <w:r w:rsidRPr="00A15BD3">
        <w:rPr>
          <w:rtl/>
        </w:rPr>
        <w:t xml:space="preserve">גורמים להפרעות אכילה, פלאשבקים, סיוטי לילה, ירידה חדה בלימודים, התקפי זעם, פגיעות עצמיות, דכאון וייאוש כללי מחוסר האונים וההתמהמהות בהכרה בצדקתם לאחר שעברו פגיעות כל כך קשות. מיותר לציין שלצערנו רוב התיקים הפליליים נסגרים בסוף מחוסר ראיות ואז נפגעי העבירה נותרים גם עם תחושה שאיבדו זמן יקר </w:t>
      </w:r>
      <w:r w:rsidR="009847E5">
        <w:rPr>
          <w:rFonts w:hint="cs"/>
          <w:rtl/>
        </w:rPr>
        <w:t>ו</w:t>
      </w:r>
      <w:r w:rsidRPr="00A15BD3">
        <w:rPr>
          <w:rtl/>
        </w:rPr>
        <w:t xml:space="preserve">ארוך מחייהם סביב העיסוק בהליך הפלילי וגם קולם לא נשמע וצדקתם לא הוכחה. נקודה זו עלולה להיות לעיתים נקודה קריטית בהשפעתה על המצב הנפשי של הנפגעים שכן היא מביאה ייאוש רב ואכזבה ועלולה </w:t>
      </w:r>
      <w:r w:rsidR="008610D9" w:rsidRPr="00A15BD3">
        <w:rPr>
          <w:rtl/>
        </w:rPr>
        <w:t>להוביל</w:t>
      </w:r>
      <w:r w:rsidRPr="00A15BD3">
        <w:rPr>
          <w:rtl/>
        </w:rPr>
        <w:t xml:space="preserve"> </w:t>
      </w:r>
      <w:r w:rsidR="008610D9" w:rsidRPr="00A15BD3">
        <w:rPr>
          <w:rtl/>
        </w:rPr>
        <w:t>ל</w:t>
      </w:r>
      <w:r w:rsidRPr="00A15BD3">
        <w:rPr>
          <w:rtl/>
        </w:rPr>
        <w:t>אובדנות.</w:t>
      </w:r>
    </w:p>
    <w:p w14:paraId="7F6961CB" w14:textId="0D74ECF5" w:rsidR="00E13C27" w:rsidRDefault="009847E5" w:rsidP="00A15BD3">
      <w:pPr>
        <w:pStyle w:val="Hesber"/>
        <w:rPr>
          <w:rtl/>
        </w:rPr>
      </w:pPr>
      <w:r>
        <w:rPr>
          <w:rFonts w:hint="cs"/>
          <w:rtl/>
        </w:rPr>
        <w:t>לפיכך</w:t>
      </w:r>
      <w:r w:rsidR="0091160F" w:rsidRPr="00A15BD3">
        <w:rPr>
          <w:rtl/>
        </w:rPr>
        <w:t>, על מנת להתמודד עם בעיה זו, אנו רואים צורך אקוטי במתן קדימות לקטינים בכל הנוגע להליכים הפליליים בגין פגיעות מיניות</w:t>
      </w:r>
      <w:r w:rsidR="008C66F3">
        <w:rPr>
          <w:rFonts w:hint="cs"/>
          <w:rtl/>
        </w:rPr>
        <w:t xml:space="preserve"> ואלימות</w:t>
      </w:r>
      <w:r w:rsidR="0091160F" w:rsidRPr="00A15BD3">
        <w:rPr>
          <w:rtl/>
        </w:rPr>
        <w:t xml:space="preserve"> ולקיצור ההליכים לפרק זמן של עד שנה מיום תחילת הדיונים בבית המשפט, כך שהנזק הנפשי המשני אותו חווים לאחר הפגיעה יצומצם באופן מרבי ויתאפשר להם להתחיל להשתקם ולחיות את חייהם באופן נורמטיבי ככל האפשר כך שיתחזקו, ישיבו לעצמם את תחושת החוסן והערך העצמי ויצלחו את אתגרי ההתבגרות העומדים בפניהם.</w:t>
      </w:r>
    </w:p>
    <w:p w14:paraId="59B3261B" w14:textId="566B195B" w:rsidR="00877CA8" w:rsidRDefault="00877CA8" w:rsidP="00A15BD3">
      <w:pPr>
        <w:pStyle w:val="Hesber"/>
        <w:rPr>
          <w:rtl/>
        </w:rPr>
      </w:pPr>
    </w:p>
    <w:p w14:paraId="65B8A335" w14:textId="77777777" w:rsidR="00877CA8" w:rsidRPr="00A15BD3" w:rsidRDefault="00877CA8" w:rsidP="00A15BD3">
      <w:pPr>
        <w:pStyle w:val="Hesber"/>
        <w:rPr>
          <w:rtl/>
        </w:rPr>
      </w:pPr>
      <w:bookmarkStart w:id="8" w:name="_GoBack"/>
      <w:bookmarkEnd w:id="8"/>
    </w:p>
    <w:p w14:paraId="74F16ACB" w14:textId="77777777" w:rsidR="009C16DD" w:rsidRDefault="00877CA8">
      <w:pPr>
        <w:jc w:val="left"/>
      </w:pPr>
      <w:bookmarkStart w:id="9" w:name="selectedDocDateB"/>
      <w:bookmarkEnd w:id="9"/>
      <w:r>
        <w:rPr>
          <w:rFonts w:eastAsia="David" w:hint="cs"/>
          <w:sz w:val="26"/>
          <w:szCs w:val="26"/>
          <w:rtl/>
        </w:rPr>
        <w:t>--------------------------------</w:t>
      </w:r>
    </w:p>
    <w:p w14:paraId="6C9AD465" w14:textId="77777777" w:rsidR="009C16DD" w:rsidRDefault="00877CA8">
      <w:pPr>
        <w:jc w:val="left"/>
      </w:pPr>
      <w:r>
        <w:rPr>
          <w:rFonts w:eastAsia="David" w:hint="cs"/>
          <w:sz w:val="26"/>
          <w:szCs w:val="26"/>
          <w:rtl/>
        </w:rPr>
        <w:t>הוגשה ליו"ר הכנסת והסגנים</w:t>
      </w:r>
    </w:p>
    <w:p w14:paraId="0AD32134" w14:textId="77777777" w:rsidR="009C16DD" w:rsidRDefault="00877CA8">
      <w:pPr>
        <w:jc w:val="left"/>
      </w:pPr>
      <w:r>
        <w:rPr>
          <w:rFonts w:eastAsia="David" w:hint="cs"/>
          <w:sz w:val="26"/>
          <w:szCs w:val="26"/>
          <w:rtl/>
        </w:rPr>
        <w:t>והונחה על שולחן הכנסת ביום</w:t>
      </w:r>
    </w:p>
    <w:p w14:paraId="60AD7AC4" w14:textId="77777777" w:rsidR="009C16DD" w:rsidRDefault="00877CA8">
      <w:pPr>
        <w:jc w:val="left"/>
      </w:pPr>
      <w:r>
        <w:rPr>
          <w:rFonts w:eastAsia="David" w:hint="cs"/>
          <w:sz w:val="26"/>
          <w:szCs w:val="26"/>
          <w:rtl/>
        </w:rPr>
        <w:t xml:space="preserve">י"ד בכסלו התשפ"ד (27.11.2023) </w:t>
      </w:r>
    </w:p>
    <w:p w14:paraId="5134E2E6" w14:textId="77777777" w:rsidR="009C16DD" w:rsidRDefault="009C16DD">
      <w:pPr>
        <w:spacing w:line="276" w:lineRule="auto"/>
        <w:jc w:val="left"/>
      </w:pPr>
    </w:p>
    <w:sectPr w:rsidR="009C16DD" w:rsidSect="00FC64F6">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6A4F29E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77CA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FC64F6">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87AB1F6" w14:textId="1F04EEF9" w:rsidR="00A15BD3" w:rsidRDefault="00A15BD3">
      <w:pPr>
        <w:pStyle w:val="a4"/>
        <w:rPr>
          <w:rtl/>
        </w:rPr>
      </w:pPr>
      <w:r>
        <w:rPr>
          <w:rStyle w:val="a6"/>
        </w:rPr>
        <w:footnoteRef/>
      </w:r>
      <w:r>
        <w:rPr>
          <w:rtl/>
        </w:rPr>
        <w:t xml:space="preserve"> </w:t>
      </w:r>
      <w:r w:rsidR="001E08A3">
        <w:rPr>
          <w:rFonts w:hint="cs"/>
          <w:rtl/>
        </w:rPr>
        <w:t xml:space="preserve">ס"ח התשס"א, עמ' </w:t>
      </w:r>
      <w:r w:rsidR="005724CA">
        <w:rPr>
          <w:rFonts w:hint="cs"/>
          <w:rtl/>
        </w:rPr>
        <w:t>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0FE46E9"/>
    <w:multiLevelType w:val="hybridMultilevel"/>
    <w:tmpl w:val="C670476E"/>
    <w:lvl w:ilvl="0" w:tplc="3BC663F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1"/>
  </w:num>
  <w:num w:numId="14">
    <w:abstractNumId w:val="17"/>
  </w:num>
  <w:num w:numId="15">
    <w:abstractNumId w:val="15"/>
  </w:num>
  <w:num w:numId="16">
    <w:abstractNumId w:val="13"/>
  </w:num>
  <w:num w:numId="17">
    <w:abstractNumId w:val="13"/>
    <w:lvlOverride w:ilvl="0">
      <w:startOverride w:val="1"/>
    </w:lvlOverride>
  </w:num>
  <w:num w:numId="18">
    <w:abstractNumId w:val="10"/>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A7676"/>
    <w:rsid w:val="000F2CF1"/>
    <w:rsid w:val="00102B6B"/>
    <w:rsid w:val="001052D4"/>
    <w:rsid w:val="0010644B"/>
    <w:rsid w:val="001207F8"/>
    <w:rsid w:val="00121924"/>
    <w:rsid w:val="001279A8"/>
    <w:rsid w:val="0014195F"/>
    <w:rsid w:val="00152609"/>
    <w:rsid w:val="00153E1B"/>
    <w:rsid w:val="001821C9"/>
    <w:rsid w:val="001A0623"/>
    <w:rsid w:val="001B0E1D"/>
    <w:rsid w:val="001C23B0"/>
    <w:rsid w:val="001D7AAF"/>
    <w:rsid w:val="001E08A3"/>
    <w:rsid w:val="00203A7F"/>
    <w:rsid w:val="00215A6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0D8"/>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D4670"/>
    <w:rsid w:val="004E4552"/>
    <w:rsid w:val="004E6CDF"/>
    <w:rsid w:val="00553C9D"/>
    <w:rsid w:val="00562A66"/>
    <w:rsid w:val="005724CA"/>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26CEC"/>
    <w:rsid w:val="0083181D"/>
    <w:rsid w:val="00843EB2"/>
    <w:rsid w:val="008610D9"/>
    <w:rsid w:val="00865572"/>
    <w:rsid w:val="00874BBC"/>
    <w:rsid w:val="00877CA8"/>
    <w:rsid w:val="00892135"/>
    <w:rsid w:val="00895449"/>
    <w:rsid w:val="00897879"/>
    <w:rsid w:val="008A6870"/>
    <w:rsid w:val="008C2045"/>
    <w:rsid w:val="008C2DDC"/>
    <w:rsid w:val="008C66F3"/>
    <w:rsid w:val="008C7516"/>
    <w:rsid w:val="008E6EC7"/>
    <w:rsid w:val="008F0D63"/>
    <w:rsid w:val="008F1308"/>
    <w:rsid w:val="008F2C35"/>
    <w:rsid w:val="008F6665"/>
    <w:rsid w:val="00904591"/>
    <w:rsid w:val="00905E5F"/>
    <w:rsid w:val="0091160F"/>
    <w:rsid w:val="0091204F"/>
    <w:rsid w:val="009203DB"/>
    <w:rsid w:val="00923CD4"/>
    <w:rsid w:val="00930EFE"/>
    <w:rsid w:val="00943386"/>
    <w:rsid w:val="009456B6"/>
    <w:rsid w:val="00957589"/>
    <w:rsid w:val="00966D06"/>
    <w:rsid w:val="00982412"/>
    <w:rsid w:val="00983A8D"/>
    <w:rsid w:val="009847E5"/>
    <w:rsid w:val="009A0DB8"/>
    <w:rsid w:val="009A7257"/>
    <w:rsid w:val="009C16DD"/>
    <w:rsid w:val="009D6E0A"/>
    <w:rsid w:val="009E1E33"/>
    <w:rsid w:val="00A14672"/>
    <w:rsid w:val="00A15BD3"/>
    <w:rsid w:val="00A26BD6"/>
    <w:rsid w:val="00A443CF"/>
    <w:rsid w:val="00A6611D"/>
    <w:rsid w:val="00A82CB7"/>
    <w:rsid w:val="00A942C1"/>
    <w:rsid w:val="00AA2F03"/>
    <w:rsid w:val="00AC1610"/>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37223"/>
    <w:rsid w:val="00C51B58"/>
    <w:rsid w:val="00C9176A"/>
    <w:rsid w:val="00CA5D2A"/>
    <w:rsid w:val="00CF1AA2"/>
    <w:rsid w:val="00D142D3"/>
    <w:rsid w:val="00D17774"/>
    <w:rsid w:val="00D63620"/>
    <w:rsid w:val="00D8410D"/>
    <w:rsid w:val="00D867D7"/>
    <w:rsid w:val="00DB7060"/>
    <w:rsid w:val="00DE1E30"/>
    <w:rsid w:val="00DE3153"/>
    <w:rsid w:val="00E06736"/>
    <w:rsid w:val="00E13C27"/>
    <w:rsid w:val="00E32D0A"/>
    <w:rsid w:val="00E33BBD"/>
    <w:rsid w:val="00E374F2"/>
    <w:rsid w:val="00E45103"/>
    <w:rsid w:val="00E55A60"/>
    <w:rsid w:val="00E62778"/>
    <w:rsid w:val="00E635A2"/>
    <w:rsid w:val="00E63D38"/>
    <w:rsid w:val="00E665B9"/>
    <w:rsid w:val="00EA01E6"/>
    <w:rsid w:val="00EA3DE8"/>
    <w:rsid w:val="00EA758F"/>
    <w:rsid w:val="00ED4A6F"/>
    <w:rsid w:val="00EF3A3A"/>
    <w:rsid w:val="00EF7CC5"/>
    <w:rsid w:val="00F628D6"/>
    <w:rsid w:val="00F67051"/>
    <w:rsid w:val="00F86A1E"/>
    <w:rsid w:val="00FA5E88"/>
    <w:rsid w:val="00FC64F6"/>
    <w:rsid w:val="00FF0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EA9F19F-00BC-41CB-950A-A320AD36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4F6"/>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FC64F6"/>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FC64F6"/>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FC64F6"/>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FC64F6"/>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FC64F6"/>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FC64F6"/>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FC64F6"/>
    <w:rPr>
      <w:sz w:val="36"/>
      <w:szCs w:val="52"/>
    </w:rPr>
  </w:style>
  <w:style w:type="paragraph" w:customStyle="1" w:styleId="Cover3-Haknesset">
    <w:name w:val="Cover 3-Haknesset"/>
    <w:basedOn w:val="Cover1-Reshumot"/>
    <w:rsid w:val="00FC64F6"/>
    <w:rPr>
      <w:b/>
      <w:bCs/>
      <w:spacing w:val="60"/>
    </w:rPr>
  </w:style>
  <w:style w:type="paragraph" w:customStyle="1" w:styleId="Cover4-Date">
    <w:name w:val="Cover 4-Date"/>
    <w:basedOn w:val="a"/>
    <w:rsid w:val="00FC64F6"/>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FC64F6"/>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FC64F6"/>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FC64F6"/>
    <w:pPr>
      <w:spacing w:before="120" w:after="120"/>
    </w:pPr>
    <w:rPr>
      <w:color w:val="FF0000"/>
      <w:w w:val="80"/>
    </w:rPr>
  </w:style>
  <w:style w:type="paragraph" w:styleId="a3">
    <w:name w:val="endnote text"/>
    <w:basedOn w:val="a"/>
    <w:semiHidden/>
    <w:rsid w:val="00FC64F6"/>
    <w:pPr>
      <w:ind w:left="227" w:hanging="227"/>
    </w:pPr>
    <w:rPr>
      <w:sz w:val="14"/>
      <w:szCs w:val="22"/>
    </w:rPr>
  </w:style>
  <w:style w:type="paragraph" w:customStyle="1" w:styleId="TableText">
    <w:name w:val="Table Text"/>
    <w:basedOn w:val="a"/>
    <w:rsid w:val="00FC64F6"/>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FC64F6"/>
    <w:pPr>
      <w:outlineLvl w:val="2"/>
    </w:pPr>
  </w:style>
  <w:style w:type="paragraph" w:customStyle="1" w:styleId="TableBlock">
    <w:name w:val="Table Block"/>
    <w:basedOn w:val="TableText"/>
    <w:rsid w:val="00FC64F6"/>
    <w:pPr>
      <w:jc w:val="both"/>
    </w:pPr>
  </w:style>
  <w:style w:type="paragraph" w:customStyle="1" w:styleId="TableHead">
    <w:name w:val="Table Head"/>
    <w:basedOn w:val="TableText"/>
    <w:rsid w:val="00FC64F6"/>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FC64F6"/>
    <w:pPr>
      <w:outlineLvl w:val="9"/>
    </w:pPr>
  </w:style>
  <w:style w:type="paragraph" w:customStyle="1" w:styleId="Hesber">
    <w:name w:val="Hesber"/>
    <w:basedOn w:val="a"/>
    <w:rsid w:val="00FC64F6"/>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FC64F6"/>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FC64F6"/>
    <w:rPr>
      <w:vertAlign w:val="superscript"/>
    </w:rPr>
  </w:style>
  <w:style w:type="paragraph" w:customStyle="1" w:styleId="HesberHeading">
    <w:name w:val="Hesber Heading"/>
    <w:basedOn w:val="Hesber"/>
    <w:rsid w:val="00FC64F6"/>
    <w:pPr>
      <w:tabs>
        <w:tab w:val="left" w:pos="624"/>
        <w:tab w:val="left" w:pos="1247"/>
      </w:tabs>
    </w:pPr>
    <w:rPr>
      <w:b/>
      <w:bCs/>
    </w:rPr>
  </w:style>
  <w:style w:type="paragraph" w:customStyle="1" w:styleId="HesberWriters">
    <w:name w:val="Hesber Writers"/>
    <w:basedOn w:val="Hesber"/>
    <w:rsid w:val="00FC64F6"/>
    <w:pPr>
      <w:spacing w:before="120" w:after="120"/>
      <w:ind w:left="1418"/>
      <w:jc w:val="right"/>
    </w:pPr>
    <w:rPr>
      <w:b/>
      <w:bCs/>
    </w:rPr>
  </w:style>
  <w:style w:type="paragraph" w:customStyle="1" w:styleId="Hesber1st">
    <w:name w:val="Hesber 1st"/>
    <w:basedOn w:val="Hesber"/>
    <w:rsid w:val="00FC64F6"/>
    <w:pPr>
      <w:tabs>
        <w:tab w:val="left" w:pos="680"/>
        <w:tab w:val="left" w:pos="1020"/>
      </w:tabs>
      <w:ind w:firstLine="0"/>
    </w:pPr>
  </w:style>
  <w:style w:type="character" w:styleId="a7">
    <w:name w:val="endnote reference"/>
    <w:basedOn w:val="a0"/>
    <w:semiHidden/>
    <w:rsid w:val="00FC64F6"/>
    <w:rPr>
      <w:vertAlign w:val="superscript"/>
    </w:rPr>
  </w:style>
  <w:style w:type="paragraph" w:customStyle="1" w:styleId="TableBlockOutdent">
    <w:name w:val="Table BlockOutdent"/>
    <w:basedOn w:val="TableBlock"/>
    <w:rsid w:val="00FC64F6"/>
    <w:pPr>
      <w:ind w:left="624" w:hanging="624"/>
    </w:pPr>
  </w:style>
  <w:style w:type="paragraph" w:styleId="a8">
    <w:name w:val="header"/>
    <w:basedOn w:val="a"/>
    <w:rsid w:val="00FC64F6"/>
    <w:pPr>
      <w:tabs>
        <w:tab w:val="center" w:pos="4153"/>
        <w:tab w:val="right" w:pos="8306"/>
      </w:tabs>
    </w:pPr>
  </w:style>
  <w:style w:type="paragraph" w:styleId="a9">
    <w:name w:val="footer"/>
    <w:basedOn w:val="a"/>
    <w:rsid w:val="00FC64F6"/>
    <w:pPr>
      <w:tabs>
        <w:tab w:val="center" w:pos="4153"/>
        <w:tab w:val="right" w:pos="8306"/>
      </w:tabs>
    </w:pPr>
  </w:style>
  <w:style w:type="paragraph" w:customStyle="1" w:styleId="HeadDivreiHesber">
    <w:name w:val="Head DivreiHesber"/>
    <w:basedOn w:val="a"/>
    <w:rsid w:val="00FC64F6"/>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FC64F6"/>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FC64F6"/>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locked/>
    <w:rsid w:val="0091160F"/>
    <w:rPr>
      <w:rFonts w:ascii="Arial" w:eastAsia="Arial Unicode MS" w:hAnsi="Arial" w:cs="David"/>
      <w:snapToGrid w:val="0"/>
      <w:sz w:val="14"/>
    </w:rPr>
  </w:style>
  <w:style w:type="character" w:customStyle="1" w:styleId="10">
    <w:name w:val="כותרת 1 תו"/>
    <w:basedOn w:val="a0"/>
    <w:link w:val="1"/>
    <w:uiPriority w:val="9"/>
    <w:rsid w:val="00FC64F6"/>
    <w:rPr>
      <w:rFonts w:asciiTheme="majorHAnsi" w:eastAsiaTheme="majorEastAsia" w:hAnsiTheme="majorHAnsi" w:cs="David"/>
      <w:bCs/>
      <w:sz w:val="32"/>
      <w:szCs w:val="36"/>
    </w:rPr>
  </w:style>
  <w:style w:type="character" w:customStyle="1" w:styleId="20">
    <w:name w:val="כותרת 2 תו"/>
    <w:basedOn w:val="a0"/>
    <w:link w:val="2"/>
    <w:rsid w:val="00FC64F6"/>
    <w:rPr>
      <w:rFonts w:asciiTheme="majorHAnsi" w:eastAsiaTheme="majorEastAsia" w:hAnsiTheme="majorHAnsi" w:cs="David"/>
      <w:bCs/>
      <w:sz w:val="26"/>
      <w:szCs w:val="36"/>
      <w:u w:val="single"/>
    </w:rPr>
  </w:style>
  <w:style w:type="character" w:customStyle="1" w:styleId="30">
    <w:name w:val="כותרת 3 תו"/>
    <w:basedOn w:val="a0"/>
    <w:link w:val="3"/>
    <w:rsid w:val="00FC64F6"/>
    <w:rPr>
      <w:rFonts w:asciiTheme="majorHAnsi" w:eastAsiaTheme="majorEastAsia" w:hAnsiTheme="majorHAnsi" w:cs="David"/>
      <w:sz w:val="24"/>
      <w:szCs w:val="28"/>
      <w:u w:val="double"/>
    </w:rPr>
  </w:style>
  <w:style w:type="character" w:customStyle="1" w:styleId="40">
    <w:name w:val="כותרת 4 תו"/>
    <w:basedOn w:val="a0"/>
    <w:link w:val="4"/>
    <w:uiPriority w:val="9"/>
    <w:rsid w:val="00FC64F6"/>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FC64F6"/>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FC64F6"/>
    <w:pPr>
      <w:widowControl/>
      <w:spacing w:before="120" w:after="120"/>
      <w:outlineLvl w:val="9"/>
    </w:pPr>
    <w:rPr>
      <w:rtl/>
      <w:cs/>
    </w:rPr>
  </w:style>
  <w:style w:type="paragraph" w:styleId="TOC1">
    <w:name w:val="toc 1"/>
    <w:basedOn w:val="a"/>
    <w:next w:val="a"/>
    <w:autoRedefine/>
    <w:uiPriority w:val="39"/>
    <w:unhideWhenUsed/>
    <w:rsid w:val="00FC64F6"/>
    <w:pPr>
      <w:tabs>
        <w:tab w:val="right" w:leader="dot" w:pos="9629"/>
      </w:tabs>
      <w:spacing w:after="100"/>
    </w:pPr>
    <w:rPr>
      <w:bCs/>
      <w:szCs w:val="22"/>
    </w:rPr>
  </w:style>
  <w:style w:type="paragraph" w:styleId="TOC2">
    <w:name w:val="toc 2"/>
    <w:basedOn w:val="a"/>
    <w:next w:val="a"/>
    <w:uiPriority w:val="39"/>
    <w:unhideWhenUsed/>
    <w:rsid w:val="00FC64F6"/>
    <w:pPr>
      <w:tabs>
        <w:tab w:val="right" w:leader="dot" w:pos="9628"/>
      </w:tabs>
      <w:spacing w:after="100"/>
    </w:pPr>
    <w:rPr>
      <w:szCs w:val="22"/>
    </w:rPr>
  </w:style>
  <w:style w:type="character" w:styleId="Hyperlink">
    <w:name w:val="Hyperlink"/>
    <w:basedOn w:val="a0"/>
    <w:uiPriority w:val="99"/>
    <w:unhideWhenUsed/>
    <w:rsid w:val="00FC64F6"/>
    <w:rPr>
      <w:color w:val="0000FF" w:themeColor="hyperlink"/>
      <w:u w:val="single"/>
    </w:rPr>
  </w:style>
  <w:style w:type="paragraph" w:styleId="TOC3">
    <w:name w:val="toc 3"/>
    <w:basedOn w:val="a"/>
    <w:next w:val="a"/>
    <w:uiPriority w:val="39"/>
    <w:unhideWhenUsed/>
    <w:rsid w:val="00FC64F6"/>
    <w:pPr>
      <w:numPr>
        <w:numId w:val="22"/>
      </w:numPr>
      <w:tabs>
        <w:tab w:val="right" w:leader="dot" w:pos="9629"/>
      </w:tabs>
      <w:spacing w:after="100"/>
      <w:ind w:left="811" w:hanging="357"/>
    </w:pPr>
    <w:rPr>
      <w:szCs w:val="22"/>
    </w:rPr>
  </w:style>
  <w:style w:type="paragraph" w:styleId="TOC4">
    <w:name w:val="toc 4"/>
    <w:basedOn w:val="a"/>
    <w:next w:val="a"/>
    <w:autoRedefine/>
    <w:unhideWhenUsed/>
    <w:qFormat/>
    <w:rsid w:val="00FC64F6"/>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FC64F6"/>
    <w:pPr>
      <w:tabs>
        <w:tab w:val="right" w:leader="dot" w:pos="9628"/>
      </w:tabs>
      <w:spacing w:after="100"/>
      <w:ind w:left="567"/>
    </w:pPr>
    <w:rPr>
      <w:szCs w:val="22"/>
    </w:rPr>
  </w:style>
  <w:style w:type="paragraph" w:styleId="TOC6">
    <w:name w:val="toc 6"/>
    <w:basedOn w:val="a"/>
    <w:next w:val="a"/>
    <w:autoRedefine/>
    <w:semiHidden/>
    <w:unhideWhenUsed/>
    <w:rsid w:val="00FC64F6"/>
    <w:pPr>
      <w:spacing w:after="100"/>
      <w:ind w:left="850"/>
    </w:pPr>
  </w:style>
  <w:style w:type="paragraph" w:styleId="TOC7">
    <w:name w:val="toc 7"/>
    <w:basedOn w:val="a"/>
    <w:next w:val="a"/>
    <w:autoRedefine/>
    <w:semiHidden/>
    <w:unhideWhenUsed/>
    <w:rsid w:val="00FC64F6"/>
    <w:pPr>
      <w:spacing w:after="100"/>
      <w:ind w:left="1020"/>
    </w:pPr>
  </w:style>
  <w:style w:type="paragraph" w:styleId="TOC8">
    <w:name w:val="toc 8"/>
    <w:basedOn w:val="a"/>
    <w:next w:val="a"/>
    <w:autoRedefine/>
    <w:semiHidden/>
    <w:unhideWhenUsed/>
    <w:rsid w:val="00FC64F6"/>
    <w:pPr>
      <w:spacing w:after="100"/>
      <w:ind w:left="1190"/>
    </w:pPr>
  </w:style>
  <w:style w:type="paragraph" w:styleId="TOC9">
    <w:name w:val="toc 9"/>
    <w:basedOn w:val="a"/>
    <w:next w:val="a"/>
    <w:autoRedefine/>
    <w:semiHidden/>
    <w:unhideWhenUsed/>
    <w:rsid w:val="00FC64F6"/>
    <w:pPr>
      <w:spacing w:after="100"/>
      <w:ind w:left="1360"/>
    </w:pPr>
  </w:style>
  <w:style w:type="paragraph" w:customStyle="1" w:styleId="TableHead2">
    <w:name w:val="Table Head2"/>
    <w:basedOn w:val="TableHead"/>
    <w:qFormat/>
    <w:rsid w:val="00FC64F6"/>
    <w:pPr>
      <w:outlineLvl w:val="9"/>
    </w:pPr>
  </w:style>
  <w:style w:type="paragraph" w:customStyle="1" w:styleId="TableSideHeading2">
    <w:name w:val="Table SideHeading2"/>
    <w:basedOn w:val="TableSideHeading"/>
    <w:autoRedefine/>
    <w:qFormat/>
    <w:rsid w:val="00FC64F6"/>
    <w:pPr>
      <w:keepLines w:val="0"/>
      <w:outlineLvl w:val="9"/>
    </w:pPr>
  </w:style>
  <w:style w:type="paragraph" w:customStyle="1" w:styleId="0">
    <w:name w:val="סגנון שורה ראשונה:  0  ס''מ"/>
    <w:basedOn w:val="2"/>
    <w:rsid w:val="00FC64F6"/>
    <w:rPr>
      <w:rFonts w:eastAsia="Times New Roman"/>
    </w:rPr>
  </w:style>
  <w:style w:type="paragraph" w:styleId="af">
    <w:name w:val="List Paragraph"/>
    <w:basedOn w:val="a"/>
    <w:uiPriority w:val="34"/>
    <w:qFormat/>
    <w:rsid w:val="00FC64F6"/>
    <w:pPr>
      <w:widowControl/>
      <w:spacing w:line="259" w:lineRule="auto"/>
    </w:pPr>
    <w:rPr>
      <w:rFonts w:asciiTheme="minorHAnsi" w:hAnsiTheme="minorHAnsi"/>
      <w:sz w:val="22"/>
    </w:rPr>
  </w:style>
  <w:style w:type="table" w:styleId="af0">
    <w:name w:val="Table Grid"/>
    <w:basedOn w:val="a1"/>
    <w:rsid w:val="00FC6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FC64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FC64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FC64F6"/>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FC64F6"/>
    <w:tblPr/>
    <w:tblStylePr w:type="firstCol">
      <w:pPr>
        <w:keepNext w:val="0"/>
        <w:keepLines/>
        <w:pageBreakBefore w:val="0"/>
        <w:widowControl w:val="0"/>
        <w:suppressLineNumbers w:val="0"/>
        <w:suppressAutoHyphens w:val="0"/>
        <w:wordWrap/>
      </w:pPr>
    </w:tblStylePr>
  </w:style>
  <w:style w:type="character" w:styleId="af2">
    <w:name w:val="annotation reference"/>
    <w:basedOn w:val="a0"/>
    <w:semiHidden/>
    <w:unhideWhenUsed/>
    <w:rsid w:val="009847E5"/>
    <w:rPr>
      <w:sz w:val="16"/>
      <w:szCs w:val="16"/>
    </w:rPr>
  </w:style>
  <w:style w:type="paragraph" w:styleId="af3">
    <w:name w:val="annotation text"/>
    <w:basedOn w:val="a"/>
    <w:link w:val="af4"/>
    <w:semiHidden/>
    <w:unhideWhenUsed/>
    <w:rsid w:val="009847E5"/>
    <w:pPr>
      <w:spacing w:line="240" w:lineRule="auto"/>
    </w:pPr>
    <w:rPr>
      <w:sz w:val="20"/>
      <w:szCs w:val="20"/>
    </w:rPr>
  </w:style>
  <w:style w:type="character" w:customStyle="1" w:styleId="af4">
    <w:name w:val="טקסט הערה תו"/>
    <w:basedOn w:val="a0"/>
    <w:link w:val="af3"/>
    <w:semiHidden/>
    <w:rsid w:val="009847E5"/>
    <w:rPr>
      <w:rFonts w:ascii="David" w:eastAsiaTheme="minorHAnsi" w:hAnsi="David" w:cs="David"/>
    </w:rPr>
  </w:style>
  <w:style w:type="paragraph" w:styleId="af5">
    <w:name w:val="annotation subject"/>
    <w:basedOn w:val="af3"/>
    <w:next w:val="af3"/>
    <w:link w:val="af6"/>
    <w:semiHidden/>
    <w:unhideWhenUsed/>
    <w:rsid w:val="009847E5"/>
    <w:rPr>
      <w:b/>
      <w:bCs/>
    </w:rPr>
  </w:style>
  <w:style w:type="character" w:customStyle="1" w:styleId="af6">
    <w:name w:val="נושא הערה תו"/>
    <w:basedOn w:val="af4"/>
    <w:link w:val="af5"/>
    <w:semiHidden/>
    <w:rsid w:val="009847E5"/>
    <w:rPr>
      <w:rFonts w:ascii="David" w:eastAsiaTheme="minorHAnsi" w:hAnsi="David"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9A43D-F26D-428B-8505-D0AC14C4E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290d5b49-c690-4c6f-bbb9-1e50dab33eee"/>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8161F5C-B22D-4281-A761-6BB46E6C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544</Words>
  <Characters>2724</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24</cp:revision>
  <cp:lastPrinted>2013-07-04T08:25:00Z</cp:lastPrinted>
  <dcterms:created xsi:type="dcterms:W3CDTF">2015-04-20T09:58:00Z</dcterms:created>
  <dcterms:modified xsi:type="dcterms:W3CDTF">2023-11-26T06:25:00Z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2210999</vt:r8>
  </property>
</Properties>
</file>