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2208284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אימאן ח'טיב יאסין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פ/3721/25</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מיסוי רווחי יתר של תאגידים בנקאיים, התשפ"ג–2023</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34EDA" w14:paraId="443B5C3F" w14:textId="77777777" w:rsidTr="00EF1D0E">
        <w:trPr>
          <w:cantSplit/>
        </w:trPr>
        <w:tc>
          <w:tcPr>
            <w:tcW w:w="1871" w:type="dxa"/>
          </w:tcPr>
          <w:p w14:paraId="54C8B768" w14:textId="77777777" w:rsidR="00234EDA" w:rsidRDefault="00234EDA" w:rsidP="003E73AC">
            <w:pPr>
              <w:pStyle w:val="TableSideHeading"/>
              <w:keepLines w:val="0"/>
              <w:rPr>
                <w:rtl/>
              </w:rPr>
            </w:pPr>
            <w:r>
              <w:rPr>
                <w:rFonts w:hint="cs"/>
                <w:rtl/>
              </w:rPr>
              <w:t>הגדרות</w:t>
            </w:r>
          </w:p>
        </w:tc>
        <w:tc>
          <w:tcPr>
            <w:tcW w:w="624" w:type="dxa"/>
          </w:tcPr>
          <w:p w14:paraId="3330E993" w14:textId="77777777" w:rsidR="00234EDA" w:rsidRDefault="00234EDA" w:rsidP="003E73AC">
            <w:pPr>
              <w:pStyle w:val="TableText"/>
            </w:pPr>
            <w:r>
              <w:rPr>
                <w:rFonts w:hint="cs"/>
                <w:rtl/>
              </w:rPr>
              <w:t>1.</w:t>
            </w:r>
          </w:p>
        </w:tc>
        <w:tc>
          <w:tcPr>
            <w:tcW w:w="7146" w:type="dxa"/>
          </w:tcPr>
          <w:p w14:paraId="767D693E" w14:textId="77777777" w:rsidR="00234EDA" w:rsidRDefault="00234EDA" w:rsidP="003E73AC">
            <w:pPr>
              <w:pStyle w:val="TableBlock"/>
              <w:rPr>
                <w:rtl/>
              </w:rPr>
            </w:pPr>
            <w:r>
              <w:rPr>
                <w:rFonts w:hint="cs"/>
                <w:rtl/>
              </w:rPr>
              <w:t>בחוק זה –</w:t>
            </w:r>
          </w:p>
        </w:tc>
      </w:tr>
      <w:tr w:rsidR="00234EDA" w14:paraId="4AFFEFD0" w14:textId="77777777" w:rsidTr="00EF1D0E">
        <w:trPr>
          <w:cantSplit/>
        </w:trPr>
        <w:tc>
          <w:tcPr>
            <w:tcW w:w="1871" w:type="dxa"/>
          </w:tcPr>
          <w:p w14:paraId="344EA5F1" w14:textId="77777777" w:rsidR="00234EDA" w:rsidRDefault="00234EDA" w:rsidP="003E73AC">
            <w:pPr>
              <w:pStyle w:val="TableSideHeading"/>
              <w:keepLines w:val="0"/>
              <w:rPr>
                <w:rtl/>
              </w:rPr>
            </w:pPr>
          </w:p>
        </w:tc>
        <w:tc>
          <w:tcPr>
            <w:tcW w:w="624" w:type="dxa"/>
          </w:tcPr>
          <w:p w14:paraId="4840EC36" w14:textId="77777777" w:rsidR="00234EDA" w:rsidDel="00505A95" w:rsidRDefault="00234EDA" w:rsidP="003E73AC">
            <w:pPr>
              <w:pStyle w:val="TableText"/>
              <w:rPr>
                <w:rtl/>
              </w:rPr>
            </w:pPr>
          </w:p>
        </w:tc>
        <w:tc>
          <w:tcPr>
            <w:tcW w:w="7146" w:type="dxa"/>
          </w:tcPr>
          <w:p w14:paraId="7DB2AF67" w14:textId="77777777" w:rsidR="00234EDA" w:rsidRDefault="00234EDA" w:rsidP="003E73AC">
            <w:pPr>
              <w:pStyle w:val="TableBlock"/>
              <w:rPr>
                <w:rtl/>
              </w:rPr>
            </w:pPr>
            <w:r>
              <w:rPr>
                <w:rFonts w:hint="cs"/>
                <w:rtl/>
              </w:rPr>
              <w:t xml:space="preserve">"היטל רווחי יתר" </w:t>
            </w:r>
            <w:r>
              <w:rPr>
                <w:rFonts w:hint="eastAsia"/>
                <w:rtl/>
              </w:rPr>
              <w:t>–</w:t>
            </w:r>
            <w:r>
              <w:rPr>
                <w:rFonts w:hint="cs"/>
                <w:rtl/>
              </w:rPr>
              <w:t xml:space="preserve"> היטל על רווחי יתר, כמשמעותו בסעיף 3;</w:t>
            </w:r>
          </w:p>
        </w:tc>
      </w:tr>
      <w:tr w:rsidR="00234EDA" w14:paraId="681141E3" w14:textId="77777777" w:rsidTr="00EF1D0E">
        <w:trPr>
          <w:cantSplit/>
        </w:trPr>
        <w:tc>
          <w:tcPr>
            <w:tcW w:w="1871" w:type="dxa"/>
          </w:tcPr>
          <w:p w14:paraId="579FDFE5" w14:textId="77777777" w:rsidR="00234EDA" w:rsidRDefault="00234EDA" w:rsidP="003E73AC">
            <w:pPr>
              <w:pStyle w:val="TableSideHeading"/>
              <w:keepLines w:val="0"/>
              <w:rPr>
                <w:rtl/>
              </w:rPr>
            </w:pPr>
          </w:p>
        </w:tc>
        <w:tc>
          <w:tcPr>
            <w:tcW w:w="624" w:type="dxa"/>
          </w:tcPr>
          <w:p w14:paraId="2B5D2C29" w14:textId="77777777" w:rsidR="00234EDA" w:rsidRDefault="00234EDA" w:rsidP="003E73AC">
            <w:pPr>
              <w:pStyle w:val="TableText"/>
              <w:rPr>
                <w:rtl/>
              </w:rPr>
            </w:pPr>
          </w:p>
        </w:tc>
        <w:tc>
          <w:tcPr>
            <w:tcW w:w="7146" w:type="dxa"/>
          </w:tcPr>
          <w:p w14:paraId="3073DDD0" w14:textId="04227698" w:rsidR="00234EDA" w:rsidRDefault="00234EDA" w:rsidP="003E73AC">
            <w:pPr>
              <w:pStyle w:val="TableBlock"/>
              <w:rPr>
                <w:rtl/>
              </w:rPr>
            </w:pPr>
            <w:r>
              <w:rPr>
                <w:rFonts w:hint="cs"/>
                <w:rtl/>
              </w:rPr>
              <w:t xml:space="preserve">"תאגיד בנקאי" </w:t>
            </w:r>
            <w:r>
              <w:rPr>
                <w:rtl/>
              </w:rPr>
              <w:t>–</w:t>
            </w:r>
            <w:r>
              <w:rPr>
                <w:rFonts w:hint="cs"/>
                <w:rtl/>
              </w:rPr>
              <w:t xml:space="preserve"> כהגדר</w:t>
            </w:r>
            <w:r w:rsidR="000150AB">
              <w:rPr>
                <w:rFonts w:hint="cs"/>
                <w:rtl/>
              </w:rPr>
              <w:t>תו בחוק הבנקאות (רישוי), התשמ"א</w:t>
            </w:r>
            <w:r>
              <w:rPr>
                <w:rtl/>
              </w:rPr>
              <w:t>–</w:t>
            </w:r>
            <w:r>
              <w:rPr>
                <w:rFonts w:hint="cs"/>
                <w:rtl/>
              </w:rPr>
              <w:t>1981</w:t>
            </w:r>
            <w:r w:rsidRPr="00F66CE2">
              <w:rPr>
                <w:rStyle w:val="a5"/>
                <w:rFonts w:ascii="David" w:hAnsi="David"/>
                <w:sz w:val="26"/>
                <w:rtl/>
              </w:rPr>
              <w:footnoteReference w:id="2"/>
            </w:r>
            <w:r>
              <w:rPr>
                <w:rFonts w:hint="cs"/>
                <w:rtl/>
              </w:rPr>
              <w:t>.</w:t>
            </w:r>
          </w:p>
        </w:tc>
      </w:tr>
      <w:tr w:rsidR="00234EDA" w14:paraId="627A02E8" w14:textId="77777777" w:rsidTr="00EF1D0E">
        <w:trPr>
          <w:cantSplit/>
        </w:trPr>
        <w:tc>
          <w:tcPr>
            <w:tcW w:w="1871" w:type="dxa"/>
          </w:tcPr>
          <w:p w14:paraId="79198CAF" w14:textId="77777777" w:rsidR="00234EDA" w:rsidRDefault="00234EDA" w:rsidP="003E73AC">
            <w:pPr>
              <w:pStyle w:val="TableSideHeading"/>
              <w:keepLines w:val="0"/>
              <w:rPr>
                <w:rtl/>
              </w:rPr>
            </w:pPr>
            <w:r>
              <w:rPr>
                <w:rFonts w:hint="cs"/>
                <w:rtl/>
              </w:rPr>
              <w:t>פיקוח על הריבית</w:t>
            </w:r>
          </w:p>
        </w:tc>
        <w:tc>
          <w:tcPr>
            <w:tcW w:w="624" w:type="dxa"/>
          </w:tcPr>
          <w:p w14:paraId="64371301" w14:textId="77777777" w:rsidR="00234EDA" w:rsidRDefault="00234EDA" w:rsidP="003E73AC">
            <w:pPr>
              <w:pStyle w:val="TableText"/>
              <w:rPr>
                <w:rtl/>
              </w:rPr>
            </w:pPr>
            <w:r>
              <w:rPr>
                <w:rFonts w:hint="cs"/>
                <w:rtl/>
              </w:rPr>
              <w:t>2.</w:t>
            </w:r>
          </w:p>
        </w:tc>
        <w:tc>
          <w:tcPr>
            <w:tcW w:w="7146" w:type="dxa"/>
          </w:tcPr>
          <w:p w14:paraId="2FE0E9E7" w14:textId="77777777" w:rsidR="00234EDA" w:rsidRDefault="00234EDA" w:rsidP="003E73AC">
            <w:pPr>
              <w:pStyle w:val="TableBlock"/>
              <w:rPr>
                <w:rtl/>
              </w:rPr>
            </w:pPr>
            <w:r>
              <w:rPr>
                <w:rFonts w:hint="cs"/>
                <w:rtl/>
              </w:rPr>
              <w:t xml:space="preserve">סך הריביות הנגבות על ידי תאגיד בנקאי מלקוחותיו בעד מתן אשראי, בשנת הכספים, לא יעלה על פי 1.5 מסך הריביות שמשולמות על ידי תאגיד בנקאי ללקוחותיו בעד פיקדונות שקליים באותה שנת כספים (בחוק זה </w:t>
            </w:r>
            <w:r>
              <w:rPr>
                <w:rFonts w:hint="eastAsia"/>
                <w:rtl/>
              </w:rPr>
              <w:t>–</w:t>
            </w:r>
            <w:r>
              <w:rPr>
                <w:rFonts w:hint="cs"/>
                <w:rtl/>
              </w:rPr>
              <w:t xml:space="preserve"> מגבלת היחס).</w:t>
            </w:r>
          </w:p>
        </w:tc>
      </w:tr>
      <w:tr w:rsidR="00234EDA" w14:paraId="621598DA" w14:textId="77777777" w:rsidTr="00EF1D0E">
        <w:trPr>
          <w:cantSplit/>
        </w:trPr>
        <w:tc>
          <w:tcPr>
            <w:tcW w:w="1871" w:type="dxa"/>
          </w:tcPr>
          <w:p w14:paraId="7DCE5CC3" w14:textId="77777777" w:rsidR="00234EDA" w:rsidRDefault="00234EDA" w:rsidP="003E73AC">
            <w:pPr>
              <w:pStyle w:val="TableSideHeading"/>
              <w:keepLines w:val="0"/>
              <w:rPr>
                <w:rtl/>
              </w:rPr>
            </w:pPr>
            <w:r>
              <w:rPr>
                <w:rFonts w:hint="cs"/>
                <w:rtl/>
              </w:rPr>
              <w:t>היטל על רווחי יתר של ריבית</w:t>
            </w:r>
          </w:p>
        </w:tc>
        <w:tc>
          <w:tcPr>
            <w:tcW w:w="624" w:type="dxa"/>
          </w:tcPr>
          <w:p w14:paraId="70C9A6EA" w14:textId="77777777" w:rsidR="00234EDA" w:rsidRDefault="00234EDA" w:rsidP="003E73AC">
            <w:pPr>
              <w:pStyle w:val="TableText"/>
              <w:rPr>
                <w:rtl/>
              </w:rPr>
            </w:pPr>
            <w:r>
              <w:rPr>
                <w:rFonts w:hint="cs"/>
                <w:rtl/>
              </w:rPr>
              <w:t>3.</w:t>
            </w:r>
          </w:p>
        </w:tc>
        <w:tc>
          <w:tcPr>
            <w:tcW w:w="7146" w:type="dxa"/>
          </w:tcPr>
          <w:p w14:paraId="03154570" w14:textId="0C818235" w:rsidR="00234EDA" w:rsidRDefault="00234EDA" w:rsidP="003E73AC">
            <w:pPr>
              <w:pStyle w:val="TableBlock"/>
              <w:rPr>
                <w:rtl/>
              </w:rPr>
            </w:pPr>
            <w:r w:rsidRPr="009659F6">
              <w:rPr>
                <w:rtl/>
              </w:rPr>
              <w:t>עלתה מגבלת היחס על</w:t>
            </w:r>
            <w:r>
              <w:rPr>
                <w:rFonts w:hint="cs"/>
                <w:rtl/>
              </w:rPr>
              <w:t xml:space="preserve"> האמור בסעיף 2,</w:t>
            </w:r>
            <w:r w:rsidRPr="009659F6">
              <w:rPr>
                <w:rtl/>
              </w:rPr>
              <w:t xml:space="preserve"> </w:t>
            </w:r>
            <w:r>
              <w:rPr>
                <w:rFonts w:hint="cs"/>
                <w:rtl/>
              </w:rPr>
              <w:t>ה</w:t>
            </w:r>
            <w:r w:rsidRPr="009659F6">
              <w:rPr>
                <w:rtl/>
              </w:rPr>
              <w:t xml:space="preserve">תאגיד הבנקאי </w:t>
            </w:r>
            <w:r>
              <w:rPr>
                <w:rFonts w:hint="cs"/>
                <w:rtl/>
              </w:rPr>
              <w:t xml:space="preserve">יהיה חייב </w:t>
            </w:r>
            <w:r w:rsidRPr="009659F6">
              <w:rPr>
                <w:rtl/>
              </w:rPr>
              <w:t xml:space="preserve">בתשלום היטל בשיעור של 75% מסכום ההפרש שבין </w:t>
            </w:r>
            <w:r>
              <w:rPr>
                <w:rFonts w:hint="cs"/>
                <w:rtl/>
              </w:rPr>
              <w:t xml:space="preserve">סך הריביות שהיה מתקבל בהתאם למגבלת היחס </w:t>
            </w:r>
            <w:r w:rsidR="00EF1D0E">
              <w:rPr>
                <w:rFonts w:hint="cs"/>
                <w:rtl/>
              </w:rPr>
              <w:t>ו</w:t>
            </w:r>
            <w:r w:rsidRPr="009659F6">
              <w:rPr>
                <w:rtl/>
              </w:rPr>
              <w:t>בין ההכנסה בפועל מריביות שנגבו על ידי התאגיד הבנקאי מלקוחותיו בעד מתן אשראי.</w:t>
            </w:r>
          </w:p>
        </w:tc>
      </w:tr>
      <w:tr w:rsidR="00234EDA" w14:paraId="526CADFC" w14:textId="77777777" w:rsidTr="00EF1D0E">
        <w:trPr>
          <w:cantSplit/>
        </w:trPr>
        <w:tc>
          <w:tcPr>
            <w:tcW w:w="1871" w:type="dxa"/>
          </w:tcPr>
          <w:p w14:paraId="7195C1C1" w14:textId="77777777" w:rsidR="00234EDA" w:rsidRDefault="00234EDA" w:rsidP="003E73AC">
            <w:pPr>
              <w:pStyle w:val="TableSideHeading"/>
              <w:keepLines w:val="0"/>
              <w:rPr>
                <w:rtl/>
              </w:rPr>
            </w:pPr>
            <w:r>
              <w:rPr>
                <w:rFonts w:hint="cs"/>
                <w:rtl/>
              </w:rPr>
              <w:t>קרן לסיוע בהתמודדות עם יוקר המחיה ועליית הריבית במשק</w:t>
            </w:r>
          </w:p>
        </w:tc>
        <w:tc>
          <w:tcPr>
            <w:tcW w:w="624" w:type="dxa"/>
          </w:tcPr>
          <w:p w14:paraId="193702CD" w14:textId="77777777" w:rsidR="00234EDA" w:rsidRDefault="00234EDA" w:rsidP="003E73AC">
            <w:pPr>
              <w:pStyle w:val="TableText"/>
              <w:rPr>
                <w:rtl/>
              </w:rPr>
            </w:pPr>
            <w:r>
              <w:rPr>
                <w:rFonts w:hint="cs"/>
                <w:rtl/>
              </w:rPr>
              <w:t>4.</w:t>
            </w:r>
          </w:p>
        </w:tc>
        <w:tc>
          <w:tcPr>
            <w:tcW w:w="7146" w:type="dxa"/>
          </w:tcPr>
          <w:p w14:paraId="6E732559" w14:textId="77777777" w:rsidR="00234EDA" w:rsidRDefault="00234EDA" w:rsidP="003E73AC">
            <w:pPr>
              <w:pStyle w:val="TableBlock"/>
              <w:rPr>
                <w:rtl/>
              </w:rPr>
            </w:pPr>
            <w:r>
              <w:rPr>
                <w:rFonts w:hint="cs"/>
                <w:rtl/>
              </w:rPr>
              <w:t>(א)</w:t>
            </w:r>
            <w:r>
              <w:rPr>
                <w:rtl/>
              </w:rPr>
              <w:tab/>
            </w:r>
            <w:r>
              <w:rPr>
                <w:rFonts w:hint="cs"/>
                <w:rtl/>
              </w:rPr>
              <w:t xml:space="preserve">מוקמת בזה קרן לסיוע בהתמודדות עם יוקר המחיה ועליית הריבית במשק במסגרת משרד הכלכלה והתעשייה (להלן </w:t>
            </w:r>
            <w:r>
              <w:rPr>
                <w:rFonts w:hint="eastAsia"/>
                <w:rtl/>
              </w:rPr>
              <w:t>–</w:t>
            </w:r>
            <w:r>
              <w:rPr>
                <w:rFonts w:hint="cs"/>
                <w:rtl/>
              </w:rPr>
              <w:t xml:space="preserve"> הקרן).</w:t>
            </w:r>
          </w:p>
        </w:tc>
      </w:tr>
      <w:tr w:rsidR="00234EDA" w14:paraId="6F65141F" w14:textId="77777777" w:rsidTr="00EF1D0E">
        <w:trPr>
          <w:cantSplit/>
        </w:trPr>
        <w:tc>
          <w:tcPr>
            <w:tcW w:w="1871" w:type="dxa"/>
          </w:tcPr>
          <w:p w14:paraId="2E5B70B1" w14:textId="77777777" w:rsidR="00234EDA" w:rsidRDefault="00234EDA" w:rsidP="003E73AC">
            <w:pPr>
              <w:pStyle w:val="TableSideHeading"/>
              <w:keepLines w:val="0"/>
              <w:rPr>
                <w:rtl/>
              </w:rPr>
            </w:pPr>
          </w:p>
        </w:tc>
        <w:tc>
          <w:tcPr>
            <w:tcW w:w="624" w:type="dxa"/>
          </w:tcPr>
          <w:p w14:paraId="04FF0F78" w14:textId="77777777" w:rsidR="00234EDA" w:rsidRDefault="00234EDA" w:rsidP="003E73AC">
            <w:pPr>
              <w:pStyle w:val="TableText"/>
              <w:rPr>
                <w:rtl/>
              </w:rPr>
            </w:pPr>
          </w:p>
        </w:tc>
        <w:tc>
          <w:tcPr>
            <w:tcW w:w="7146" w:type="dxa"/>
          </w:tcPr>
          <w:p w14:paraId="480127EA" w14:textId="77777777" w:rsidR="00234EDA" w:rsidRDefault="00234EDA" w:rsidP="003E73AC">
            <w:pPr>
              <w:pStyle w:val="TableBlock"/>
              <w:rPr>
                <w:rtl/>
              </w:rPr>
            </w:pPr>
            <w:r>
              <w:rPr>
                <w:rFonts w:hint="cs"/>
                <w:rtl/>
              </w:rPr>
              <w:t>(ב)</w:t>
            </w:r>
            <w:r>
              <w:rPr>
                <w:rtl/>
              </w:rPr>
              <w:tab/>
            </w:r>
            <w:r>
              <w:rPr>
                <w:rFonts w:hint="cs"/>
                <w:rtl/>
              </w:rPr>
              <w:t>כספים שהתקבלו מהיטל על רווחי יתר כאמור בסעיף 3 יועברו לקרן.</w:t>
            </w:r>
          </w:p>
        </w:tc>
      </w:tr>
      <w:tr w:rsidR="00234EDA" w14:paraId="13188444" w14:textId="77777777" w:rsidTr="00EF1D0E">
        <w:trPr>
          <w:cantSplit/>
        </w:trPr>
        <w:tc>
          <w:tcPr>
            <w:tcW w:w="1871" w:type="dxa"/>
          </w:tcPr>
          <w:p w14:paraId="13C1DA7B" w14:textId="77777777" w:rsidR="00234EDA" w:rsidRDefault="00234EDA" w:rsidP="003E73AC">
            <w:pPr>
              <w:pStyle w:val="TableSideHeading"/>
              <w:keepLines w:val="0"/>
              <w:rPr>
                <w:rtl/>
              </w:rPr>
            </w:pPr>
          </w:p>
        </w:tc>
        <w:tc>
          <w:tcPr>
            <w:tcW w:w="624" w:type="dxa"/>
          </w:tcPr>
          <w:p w14:paraId="0EE765D9" w14:textId="77777777" w:rsidR="00234EDA" w:rsidRDefault="00234EDA" w:rsidP="003E73AC">
            <w:pPr>
              <w:pStyle w:val="TableText"/>
              <w:rPr>
                <w:rtl/>
              </w:rPr>
            </w:pPr>
          </w:p>
        </w:tc>
        <w:tc>
          <w:tcPr>
            <w:tcW w:w="7146" w:type="dxa"/>
          </w:tcPr>
          <w:p w14:paraId="5E3ADC0B" w14:textId="77777777" w:rsidR="00234EDA" w:rsidRDefault="00234EDA" w:rsidP="003E73AC">
            <w:pPr>
              <w:pStyle w:val="TableBlock"/>
              <w:rPr>
                <w:rtl/>
              </w:rPr>
            </w:pPr>
            <w:r>
              <w:rPr>
                <w:rFonts w:hint="cs"/>
                <w:rtl/>
              </w:rPr>
              <w:t>(ג)</w:t>
            </w:r>
            <w:r>
              <w:rPr>
                <w:rtl/>
              </w:rPr>
              <w:tab/>
            </w:r>
            <w:r>
              <w:rPr>
                <w:rFonts w:hint="cs"/>
                <w:rtl/>
              </w:rPr>
              <w:t>כספי הקרן ישמשו לסבסוד שירותים ולמתן הלוואות בערבות מטעם המדינה.</w:t>
            </w:r>
          </w:p>
        </w:tc>
      </w:tr>
      <w:tr w:rsidR="00234EDA" w14:paraId="7139B4D9" w14:textId="77777777" w:rsidTr="00EF1D0E">
        <w:trPr>
          <w:cantSplit/>
        </w:trPr>
        <w:tc>
          <w:tcPr>
            <w:tcW w:w="1871" w:type="dxa"/>
          </w:tcPr>
          <w:p w14:paraId="2E96D841" w14:textId="77777777" w:rsidR="00234EDA" w:rsidRDefault="00234EDA" w:rsidP="003E73AC">
            <w:pPr>
              <w:pStyle w:val="TableSideHeading"/>
              <w:keepLines w:val="0"/>
              <w:rPr>
                <w:rtl/>
              </w:rPr>
            </w:pPr>
          </w:p>
        </w:tc>
        <w:tc>
          <w:tcPr>
            <w:tcW w:w="624" w:type="dxa"/>
          </w:tcPr>
          <w:p w14:paraId="6BF30E40" w14:textId="77777777" w:rsidR="00234EDA" w:rsidRDefault="00234EDA" w:rsidP="003E73AC">
            <w:pPr>
              <w:pStyle w:val="TableText"/>
              <w:rPr>
                <w:rtl/>
              </w:rPr>
            </w:pPr>
          </w:p>
        </w:tc>
        <w:tc>
          <w:tcPr>
            <w:tcW w:w="7146" w:type="dxa"/>
          </w:tcPr>
          <w:p w14:paraId="6676A8E1" w14:textId="5F6CE792" w:rsidR="00234EDA" w:rsidRDefault="00234EDA" w:rsidP="003E73AC">
            <w:pPr>
              <w:pStyle w:val="TableBlock"/>
              <w:rPr>
                <w:rtl/>
              </w:rPr>
            </w:pPr>
            <w:r>
              <w:rPr>
                <w:rFonts w:hint="cs"/>
                <w:rtl/>
              </w:rPr>
              <w:t>(ד)</w:t>
            </w:r>
            <w:r>
              <w:rPr>
                <w:rtl/>
              </w:rPr>
              <w:tab/>
            </w:r>
            <w:r>
              <w:rPr>
                <w:rFonts w:hint="cs"/>
                <w:rtl/>
              </w:rPr>
              <w:t>שר הכלכלה</w:t>
            </w:r>
            <w:r w:rsidR="00EF1D0E">
              <w:rPr>
                <w:rFonts w:hint="cs"/>
                <w:rtl/>
              </w:rPr>
              <w:t xml:space="preserve"> והתעשייה</w:t>
            </w:r>
            <w:r>
              <w:rPr>
                <w:rFonts w:hint="cs"/>
                <w:rtl/>
              </w:rPr>
              <w:t>, בהסכמת שר האוצר, יקבע את סדרי הפעלת הקרן ו</w:t>
            </w:r>
            <w:bookmarkStart w:id="8" w:name="_GoBack"/>
            <w:bookmarkEnd w:id="8"/>
            <w:r>
              <w:rPr>
                <w:rFonts w:hint="cs"/>
                <w:rtl/>
              </w:rPr>
              <w:t>תפקידיה.</w:t>
            </w:r>
          </w:p>
        </w:tc>
      </w:tr>
    </w:tbl>
    <w:p w14:paraId="7F6961CA" w14:textId="77777777" w:rsidR="002D1EE3" w:rsidRDefault="002D1EE3" w:rsidP="002D1EE3">
      <w:pPr>
        <w:pStyle w:val="HeadDivreiHesber"/>
        <w:rPr>
          <w:rtl/>
        </w:rPr>
      </w:pPr>
      <w:r w:rsidRPr="0027450A">
        <w:rPr>
          <w:rFonts w:hint="cs"/>
          <w:rtl/>
        </w:rPr>
        <w:lastRenderedPageBreak/>
        <w:t>דברי הסבר</w:t>
      </w:r>
    </w:p>
    <w:p w14:paraId="3A3A16CE" w14:textId="4F1F0DF8" w:rsidR="00234EDA" w:rsidRPr="00EF1D0E" w:rsidRDefault="00234EDA" w:rsidP="00EF1D0E">
      <w:pPr>
        <w:pStyle w:val="Hesber"/>
        <w:rPr>
          <w:rtl/>
        </w:rPr>
      </w:pPr>
      <w:r w:rsidRPr="00EF1D0E">
        <w:rPr>
          <w:rFonts w:hint="cs"/>
          <w:rtl/>
        </w:rPr>
        <w:t xml:space="preserve">עקב גל עליות המחירים העולמי שפקד את מדינת ישראל, </w:t>
      </w:r>
      <w:r w:rsidRPr="00EF1D0E">
        <w:rPr>
          <w:rtl/>
        </w:rPr>
        <w:t>ב</w:t>
      </w:r>
      <w:r w:rsidR="00EF1D0E" w:rsidRPr="00EF1D0E">
        <w:rPr>
          <w:rFonts w:hint="cs"/>
          <w:rtl/>
        </w:rPr>
        <w:t xml:space="preserve">יום </w:t>
      </w:r>
      <w:r w:rsidRPr="00EF1D0E">
        <w:rPr>
          <w:rFonts w:hint="cs"/>
          <w:rtl/>
        </w:rPr>
        <w:t>14 באפריל 2022 החל</w:t>
      </w:r>
      <w:r w:rsidRPr="00EF1D0E">
        <w:rPr>
          <w:rtl/>
        </w:rPr>
        <w:t xml:space="preserve"> בנק ישראל להעלות את ריבית</w:t>
      </w:r>
      <w:r w:rsidRPr="00EF1D0E">
        <w:rPr>
          <w:rFonts w:hint="cs"/>
          <w:rtl/>
        </w:rPr>
        <w:t xml:space="preserve"> בנק ישראל,</w:t>
      </w:r>
      <w:r w:rsidRPr="00EF1D0E">
        <w:rPr>
          <w:rtl/>
        </w:rPr>
        <w:t xml:space="preserve"> </w:t>
      </w:r>
      <w:r w:rsidRPr="00EF1D0E">
        <w:rPr>
          <w:rFonts w:hint="cs"/>
          <w:rtl/>
        </w:rPr>
        <w:t>במטרה למגר את האינפלציה ולשמור על יציבות המחירים</w:t>
      </w:r>
      <w:r w:rsidRPr="00EF1D0E">
        <w:rPr>
          <w:rtl/>
        </w:rPr>
        <w:t xml:space="preserve">. </w:t>
      </w:r>
      <w:r w:rsidRPr="00EF1D0E">
        <w:rPr>
          <w:rFonts w:hint="cs"/>
          <w:rtl/>
        </w:rPr>
        <w:t xml:space="preserve">העלאת שיעור </w:t>
      </w:r>
      <w:r w:rsidRPr="00EF1D0E">
        <w:rPr>
          <w:rtl/>
        </w:rPr>
        <w:t>הריבית המשיכה</w:t>
      </w:r>
      <w:r w:rsidRPr="00EF1D0E">
        <w:rPr>
          <w:rFonts w:hint="cs"/>
          <w:rtl/>
        </w:rPr>
        <w:t xml:space="preserve"> גם בהחלטות</w:t>
      </w:r>
      <w:r w:rsidR="00EF1D0E" w:rsidRPr="00EF1D0E">
        <w:rPr>
          <w:rFonts w:hint="cs"/>
          <w:rtl/>
        </w:rPr>
        <w:t xml:space="preserve">יו העוקבות של בנק ישראל ונכון ליום </w:t>
      </w:r>
      <w:r w:rsidRPr="00EF1D0E">
        <w:rPr>
          <w:rFonts w:hint="cs"/>
          <w:rtl/>
        </w:rPr>
        <w:t>31 במאי 2023 עומדת ריבית בנק ישראל על 4.75%,</w:t>
      </w:r>
      <w:r w:rsidRPr="00EF1D0E">
        <w:rPr>
          <w:rtl/>
        </w:rPr>
        <w:t xml:space="preserve"> </w:t>
      </w:r>
      <w:r w:rsidRPr="00EF1D0E">
        <w:rPr>
          <w:rFonts w:hint="cs"/>
          <w:rtl/>
        </w:rPr>
        <w:t xml:space="preserve">וייתכן </w:t>
      </w:r>
      <w:r w:rsidRPr="00EF1D0E">
        <w:rPr>
          <w:rtl/>
        </w:rPr>
        <w:t>ש</w:t>
      </w:r>
      <w:r w:rsidRPr="00EF1D0E">
        <w:rPr>
          <w:rFonts w:hint="cs"/>
          <w:rtl/>
        </w:rPr>
        <w:t>שיעורה</w:t>
      </w:r>
      <w:r w:rsidRPr="00EF1D0E">
        <w:rPr>
          <w:rtl/>
        </w:rPr>
        <w:t xml:space="preserve"> </w:t>
      </w:r>
      <w:r w:rsidRPr="00EF1D0E">
        <w:rPr>
          <w:rFonts w:hint="cs"/>
          <w:rtl/>
        </w:rPr>
        <w:t>י</w:t>
      </w:r>
      <w:r w:rsidRPr="00EF1D0E">
        <w:rPr>
          <w:rtl/>
        </w:rPr>
        <w:t xml:space="preserve">משיך לעלות. </w:t>
      </w:r>
      <w:r w:rsidRPr="00EF1D0E">
        <w:rPr>
          <w:rFonts w:hint="cs"/>
          <w:rtl/>
        </w:rPr>
        <w:t xml:space="preserve">בהתאם לכך, </w:t>
      </w:r>
      <w:r w:rsidRPr="00EF1D0E">
        <w:rPr>
          <w:rtl/>
        </w:rPr>
        <w:t xml:space="preserve">הבנקים מעלים את הריבית </w:t>
      </w:r>
      <w:r w:rsidRPr="00EF1D0E">
        <w:rPr>
          <w:rFonts w:hint="cs"/>
          <w:rtl/>
        </w:rPr>
        <w:t xml:space="preserve">הנגבית </w:t>
      </w:r>
      <w:r w:rsidRPr="00EF1D0E">
        <w:rPr>
          <w:rtl/>
        </w:rPr>
        <w:t xml:space="preserve">על ההלוואות הנלקחות מהם, ומציגים רווחים גדולים מאוד על חשבון האזרחים שנדרשים לשלם יותר ויותר על הלוואות שלקחו כאשר הריבית עמדה על 0.1%. </w:t>
      </w:r>
    </w:p>
    <w:p w14:paraId="6189AD3B" w14:textId="154FB32F" w:rsidR="00234EDA" w:rsidRPr="00EF1D0E" w:rsidRDefault="00234EDA" w:rsidP="00EF1D0E">
      <w:pPr>
        <w:pStyle w:val="Hesber"/>
        <w:rPr>
          <w:rtl/>
        </w:rPr>
      </w:pPr>
      <w:r w:rsidRPr="00EF1D0E">
        <w:rPr>
          <w:rFonts w:hint="cs"/>
          <w:rtl/>
        </w:rPr>
        <w:t>על פי ממצאי הרבעון הרביעי לשנת 2022 של מדד היכ</w:t>
      </w:r>
      <w:r w:rsidR="00EF1D0E" w:rsidRPr="00EF1D0E">
        <w:rPr>
          <w:rFonts w:hint="cs"/>
          <w:rtl/>
        </w:rPr>
        <w:t xml:space="preserve">ולת לרכוש דיור בישראל, שפורסם ביום </w:t>
      </w:r>
      <w:r w:rsidRPr="00EF1D0E">
        <w:rPr>
          <w:rFonts w:hint="cs"/>
          <w:rtl/>
        </w:rPr>
        <w:t xml:space="preserve">1 במרץ 2023 על ידי אוניברסיטת תל-אביב, </w:t>
      </w:r>
      <w:r w:rsidRPr="00EF1D0E">
        <w:rPr>
          <w:rtl/>
        </w:rPr>
        <w:t xml:space="preserve">ההחזר </w:t>
      </w:r>
      <w:r w:rsidRPr="00EF1D0E">
        <w:rPr>
          <w:rFonts w:hint="cs"/>
          <w:rtl/>
        </w:rPr>
        <w:t xml:space="preserve">החודשי </w:t>
      </w:r>
      <w:r w:rsidRPr="00EF1D0E">
        <w:rPr>
          <w:rtl/>
        </w:rPr>
        <w:t xml:space="preserve">הממוצע </w:t>
      </w:r>
      <w:r w:rsidRPr="00EF1D0E">
        <w:rPr>
          <w:rFonts w:hint="cs"/>
          <w:rtl/>
        </w:rPr>
        <w:t xml:space="preserve">על </w:t>
      </w:r>
      <w:r w:rsidRPr="00EF1D0E">
        <w:rPr>
          <w:rtl/>
        </w:rPr>
        <w:t>הלוואות</w:t>
      </w:r>
      <w:r w:rsidRPr="00EF1D0E">
        <w:rPr>
          <w:rFonts w:hint="cs"/>
          <w:rtl/>
        </w:rPr>
        <w:t xml:space="preserve"> מסוג</w:t>
      </w:r>
      <w:r w:rsidR="00EF1D0E" w:rsidRPr="00EF1D0E">
        <w:rPr>
          <w:rtl/>
        </w:rPr>
        <w:t xml:space="preserve"> משכנת</w:t>
      </w:r>
      <w:r w:rsidR="00EF1D0E" w:rsidRPr="00EF1D0E">
        <w:rPr>
          <w:rFonts w:hint="cs"/>
          <w:rtl/>
        </w:rPr>
        <w:t>ה</w:t>
      </w:r>
      <w:r w:rsidRPr="00EF1D0E">
        <w:rPr>
          <w:rtl/>
        </w:rPr>
        <w:t xml:space="preserve"> עלה ב-</w:t>
      </w:r>
      <w:r w:rsidRPr="00EF1D0E">
        <w:rPr>
          <w:rFonts w:hint="cs"/>
          <w:rtl/>
        </w:rPr>
        <w:t>3,500</w:t>
      </w:r>
      <w:r w:rsidRPr="00EF1D0E">
        <w:rPr>
          <w:rtl/>
        </w:rPr>
        <w:t xml:space="preserve"> </w:t>
      </w:r>
      <w:r w:rsidRPr="00EF1D0E">
        <w:rPr>
          <w:rFonts w:hint="cs"/>
          <w:rtl/>
        </w:rPr>
        <w:t>שקלים חדשים</w:t>
      </w:r>
      <w:r w:rsidRPr="00EF1D0E">
        <w:rPr>
          <w:rtl/>
        </w:rPr>
        <w:t xml:space="preserve"> לחודש </w:t>
      </w:r>
      <w:r w:rsidRPr="00EF1D0E">
        <w:rPr>
          <w:rFonts w:hint="cs"/>
          <w:rtl/>
        </w:rPr>
        <w:t>במהלך שנת 2022.</w:t>
      </w:r>
      <w:r w:rsidRPr="00EF1D0E">
        <w:rPr>
          <w:rtl/>
        </w:rPr>
        <w:t xml:space="preserve"> </w:t>
      </w:r>
      <w:r w:rsidR="00EF1D0E" w:rsidRPr="00EF1D0E">
        <w:rPr>
          <w:rFonts w:hint="cs"/>
          <w:rtl/>
        </w:rPr>
        <w:t xml:space="preserve">ביום </w:t>
      </w:r>
      <w:r w:rsidRPr="00EF1D0E">
        <w:rPr>
          <w:rFonts w:hint="cs"/>
          <w:rtl/>
        </w:rPr>
        <w:t xml:space="preserve">2 במרץ 2023 פורסם בעיתון "כלכליסט" כי </w:t>
      </w:r>
      <w:r w:rsidRPr="00EF1D0E">
        <w:rPr>
          <w:rtl/>
        </w:rPr>
        <w:t>הריבית על הלוואות שאינ</w:t>
      </w:r>
      <w:r w:rsidRPr="00EF1D0E">
        <w:rPr>
          <w:rFonts w:hint="cs"/>
          <w:rtl/>
        </w:rPr>
        <w:t>ן</w:t>
      </w:r>
      <w:r w:rsidR="00EF1D0E" w:rsidRPr="00EF1D0E">
        <w:rPr>
          <w:rtl/>
        </w:rPr>
        <w:t xml:space="preserve"> משכנת</w:t>
      </w:r>
      <w:r w:rsidR="00EF1D0E" w:rsidRPr="00EF1D0E">
        <w:rPr>
          <w:rFonts w:hint="cs"/>
          <w:rtl/>
        </w:rPr>
        <w:t>ה</w:t>
      </w:r>
      <w:r w:rsidRPr="00EF1D0E">
        <w:rPr>
          <w:rtl/>
        </w:rPr>
        <w:t xml:space="preserve"> על</w:t>
      </w:r>
      <w:r w:rsidRPr="00EF1D0E">
        <w:rPr>
          <w:rFonts w:hint="cs"/>
          <w:rtl/>
        </w:rPr>
        <w:t>תה</w:t>
      </w:r>
      <w:r w:rsidRPr="00EF1D0E">
        <w:rPr>
          <w:rtl/>
        </w:rPr>
        <w:t xml:space="preserve"> </w:t>
      </w:r>
      <w:r w:rsidRPr="00EF1D0E">
        <w:rPr>
          <w:rFonts w:hint="cs"/>
          <w:rtl/>
        </w:rPr>
        <w:t>מ־4.93% במרץ אשתקד ל־8.97% כעת, כלומר עלייה של מעל 80% בשיעור הריבית</w:t>
      </w:r>
      <w:r w:rsidRPr="00EF1D0E">
        <w:rPr>
          <w:rtl/>
        </w:rPr>
        <w:t xml:space="preserve">. </w:t>
      </w:r>
      <w:r w:rsidR="00EF1D0E" w:rsidRPr="00EF1D0E">
        <w:rPr>
          <w:rFonts w:hint="cs"/>
          <w:rtl/>
        </w:rPr>
        <w:t xml:space="preserve">לעומת זאת, ביום </w:t>
      </w:r>
      <w:r w:rsidRPr="00EF1D0E">
        <w:rPr>
          <w:rFonts w:hint="cs"/>
          <w:rtl/>
        </w:rPr>
        <w:t>15 במרץ 2023 פורסם בעיתון "כלכליסט" כי הריבית המשולמת ללקוחות על ידי הבנקים בעבור פיקדונות לא עלתה בשיעור מקביל. בשל</w:t>
      </w:r>
      <w:r w:rsidRPr="00EF1D0E">
        <w:rPr>
          <w:rtl/>
        </w:rPr>
        <w:t xml:space="preserve"> </w:t>
      </w:r>
      <w:r w:rsidRPr="00EF1D0E">
        <w:rPr>
          <w:rFonts w:hint="cs"/>
          <w:rtl/>
        </w:rPr>
        <w:t>האמור</w:t>
      </w:r>
      <w:r w:rsidRPr="00EF1D0E">
        <w:rPr>
          <w:rtl/>
        </w:rPr>
        <w:t>, רווחי הבנקים זינקו ב</w:t>
      </w:r>
      <w:r w:rsidRPr="00EF1D0E">
        <w:rPr>
          <w:rFonts w:hint="cs"/>
          <w:rtl/>
        </w:rPr>
        <w:t>31% בשנת 2022.</w:t>
      </w:r>
      <w:r w:rsidRPr="00EF1D0E">
        <w:rPr>
          <w:rtl/>
        </w:rPr>
        <w:t xml:space="preserve"> </w:t>
      </w:r>
    </w:p>
    <w:p w14:paraId="79C7ACD0" w14:textId="6AAA80FE" w:rsidR="00234EDA" w:rsidRPr="00EF1D0E" w:rsidRDefault="00234EDA" w:rsidP="00EF1D0E">
      <w:pPr>
        <w:pStyle w:val="Hesber"/>
        <w:rPr>
          <w:rtl/>
        </w:rPr>
      </w:pPr>
      <w:r w:rsidRPr="00EF1D0E">
        <w:rPr>
          <w:rtl/>
        </w:rPr>
        <w:t>עליית הריבית מאטה את הצריכה בכלל השכבות הסוציו</w:t>
      </w:r>
      <w:r w:rsidRPr="00EF1D0E">
        <w:rPr>
          <w:rFonts w:hint="cs"/>
          <w:rtl/>
        </w:rPr>
        <w:t>־</w:t>
      </w:r>
      <w:r w:rsidRPr="00EF1D0E">
        <w:rPr>
          <w:rtl/>
        </w:rPr>
        <w:t>אקונומיות. בעוד שהמעמד הגבוה מצמצם את צריכת המותרות או נפגע באופן מתון, מעמד הביניים והמעמד הנמוך עשוי</w:t>
      </w:r>
      <w:r w:rsidR="00EF1D0E" w:rsidRPr="00EF1D0E">
        <w:rPr>
          <w:rFonts w:hint="cs"/>
          <w:rtl/>
        </w:rPr>
        <w:t>ים</w:t>
      </w:r>
      <w:r w:rsidRPr="00EF1D0E">
        <w:rPr>
          <w:rtl/>
        </w:rPr>
        <w:t xml:space="preserve"> לקרוס תחת עול החזרי</w:t>
      </w:r>
      <w:r w:rsidRPr="00EF1D0E">
        <w:rPr>
          <w:rFonts w:hint="cs"/>
          <w:rtl/>
        </w:rPr>
        <w:t xml:space="preserve"> ההלוואות</w:t>
      </w:r>
      <w:r w:rsidRPr="00EF1D0E">
        <w:rPr>
          <w:rtl/>
        </w:rPr>
        <w:t>, בתשלומי המשכ</w:t>
      </w:r>
      <w:r w:rsidR="00EF1D0E" w:rsidRPr="00EF1D0E">
        <w:rPr>
          <w:rtl/>
        </w:rPr>
        <w:t>נת</w:t>
      </w:r>
      <w:r w:rsidR="00EF1D0E" w:rsidRPr="00EF1D0E">
        <w:rPr>
          <w:rFonts w:hint="cs"/>
          <w:rtl/>
        </w:rPr>
        <w:t>ה</w:t>
      </w:r>
      <w:r w:rsidRPr="00EF1D0E">
        <w:rPr>
          <w:rtl/>
        </w:rPr>
        <w:t xml:space="preserve"> ובתשלומי </w:t>
      </w:r>
      <w:r w:rsidRPr="00EF1D0E">
        <w:rPr>
          <w:rFonts w:hint="cs"/>
          <w:rtl/>
        </w:rPr>
        <w:t>משיכת יתר (</w:t>
      </w:r>
      <w:r w:rsidRPr="00EF1D0E">
        <w:rPr>
          <w:rtl/>
        </w:rPr>
        <w:t>אוברדראפט</w:t>
      </w:r>
      <w:r w:rsidRPr="00EF1D0E">
        <w:rPr>
          <w:rFonts w:hint="cs"/>
          <w:rtl/>
        </w:rPr>
        <w:t>)</w:t>
      </w:r>
      <w:r w:rsidRPr="00EF1D0E">
        <w:rPr>
          <w:rtl/>
        </w:rPr>
        <w:t xml:space="preserve">. </w:t>
      </w:r>
    </w:p>
    <w:p w14:paraId="7F6961CB" w14:textId="544E3327" w:rsidR="00E13C27" w:rsidRPr="00EF1D0E" w:rsidRDefault="00234EDA" w:rsidP="00EF1D0E">
      <w:pPr>
        <w:pStyle w:val="Hesber"/>
        <w:rPr>
          <w:rtl/>
        </w:rPr>
      </w:pPr>
      <w:r w:rsidRPr="00EF1D0E">
        <w:rPr>
          <w:rtl/>
        </w:rPr>
        <w:t xml:space="preserve">על כן, מוצע </w:t>
      </w:r>
      <w:r w:rsidRPr="00EF1D0E">
        <w:rPr>
          <w:rFonts w:hint="cs"/>
          <w:rtl/>
        </w:rPr>
        <w:t xml:space="preserve">לקבוע היטל על רווחי היתר </w:t>
      </w:r>
      <w:r w:rsidRPr="00EF1D0E">
        <w:rPr>
          <w:rtl/>
        </w:rPr>
        <w:t>של הבנקים שנוצרו בגלל העלאת הריבית</w:t>
      </w:r>
      <w:r w:rsidRPr="00EF1D0E">
        <w:rPr>
          <w:rFonts w:hint="cs"/>
          <w:rtl/>
        </w:rPr>
        <w:t xml:space="preserve"> על הלוואות ואי העלאת הריבית על פיקדונות ביחס דומה</w:t>
      </w:r>
      <w:r w:rsidRPr="00EF1D0E">
        <w:rPr>
          <w:rtl/>
        </w:rPr>
        <w:t>, ולהשתמש ב</w:t>
      </w:r>
      <w:r w:rsidRPr="00EF1D0E">
        <w:rPr>
          <w:rFonts w:hint="cs"/>
          <w:rtl/>
        </w:rPr>
        <w:t>כספי ההיטל</w:t>
      </w:r>
      <w:r w:rsidR="00EF1D0E" w:rsidRPr="00EF1D0E">
        <w:rPr>
          <w:rtl/>
        </w:rPr>
        <w:t xml:space="preserve"> </w:t>
      </w:r>
      <w:r w:rsidR="00EF1D0E" w:rsidRPr="00EF1D0E">
        <w:rPr>
          <w:rFonts w:hint="cs"/>
          <w:rtl/>
        </w:rPr>
        <w:t>כדי</w:t>
      </w:r>
      <w:r w:rsidRPr="00EF1D0E">
        <w:rPr>
          <w:rtl/>
        </w:rPr>
        <w:t xml:space="preserve"> להקל על יוקר המחיה </w:t>
      </w:r>
      <w:r w:rsidRPr="00EF1D0E">
        <w:rPr>
          <w:rFonts w:hint="cs"/>
          <w:rtl/>
        </w:rPr>
        <w:t>ועל עליות הריבית במשק. לשם כך</w:t>
      </w:r>
      <w:r w:rsidR="00EF1D0E" w:rsidRPr="00EF1D0E">
        <w:rPr>
          <w:rFonts w:hint="cs"/>
          <w:rtl/>
        </w:rPr>
        <w:t>,</w:t>
      </w:r>
      <w:r w:rsidRPr="00EF1D0E">
        <w:rPr>
          <w:rFonts w:hint="cs"/>
          <w:rtl/>
        </w:rPr>
        <w:t xml:space="preserve"> מוצע להקים קרן שאליה יועברו כספי ההיטל. הקרן תשמש לסבסוד שירותים ולמתן הלוואות בערבות </w:t>
      </w:r>
      <w:r w:rsidR="00EF1D0E" w:rsidRPr="00EF1D0E">
        <w:rPr>
          <w:rFonts w:hint="cs"/>
          <w:rtl/>
        </w:rPr>
        <w:t>ה</w:t>
      </w:r>
      <w:r w:rsidRPr="00EF1D0E">
        <w:rPr>
          <w:rFonts w:hint="cs"/>
          <w:rtl/>
        </w:rPr>
        <w:t xml:space="preserve">מדינה לציבור. </w:t>
      </w:r>
    </w:p>
    <w:p w14:paraId="56F955D8" w14:textId="7077DE63" w:rsidR="00EF1D0E" w:rsidRPr="00EF1D0E" w:rsidRDefault="00EF1D0E" w:rsidP="00EF1D0E">
      <w:pPr>
        <w:pStyle w:val="Hesber"/>
        <w:rPr>
          <w:rtl/>
        </w:rPr>
      </w:pPr>
      <w:r w:rsidRPr="00EF1D0E">
        <w:rPr>
          <w:rFonts w:hint="cs"/>
          <w:rtl/>
        </w:rPr>
        <w:t>הצעות חוק זהות הונחו על שולחן הכנסת העשרים וחמש על ידי חברת הכנסת נעמה לזימי וקבוצת חברי הכנסת (</w:t>
      </w:r>
      <w:r w:rsidRPr="00EF1D0E">
        <w:rPr>
          <w:rtl/>
        </w:rPr>
        <w:t>פ/3444/25</w:t>
      </w:r>
      <w:r w:rsidRPr="00EF1D0E">
        <w:rPr>
          <w:rFonts w:hint="cs"/>
          <w:rtl/>
        </w:rPr>
        <w:t>), על ידי חבר הכנסת יצחק קרויזר (פ/3483/25) ועל ידי חבר הכנסת אברהם בצלאל (פ/3560/25).</w:t>
      </w:r>
    </w:p>
    <w:p w14:paraId="144D31B0" w14:textId="57B3D0DD" w:rsidR="00EF1D0E" w:rsidRPr="00EF1D0E" w:rsidRDefault="00EF1D0E" w:rsidP="00EF1D0E">
      <w:pPr>
        <w:pStyle w:val="Hesber"/>
        <w:rPr>
          <w:rtl/>
        </w:rPr>
      </w:pPr>
      <w:r w:rsidRPr="00EF1D0E">
        <w:rPr>
          <w:rFonts w:hint="cs"/>
          <w:rtl/>
        </w:rPr>
        <w:t>הצעת החוק זהה לפ/3560/25 ולפיכך לא נבדקה מחדש על ידי הלשכה המשפטית של הכנסת.</w:t>
      </w:r>
    </w:p>
    <w:p w14:paraId="2E8B7AB7" w14:textId="77777777" w:rsidR="00234EDA" w:rsidRDefault="00234EDA" w:rsidP="00E13C27">
      <w:pPr>
        <w:pStyle w:val="Hesber"/>
        <w:rPr>
          <w:rtl/>
        </w:rPr>
      </w:pPr>
    </w:p>
    <w:p w14:paraId="5F8EF9CD" w14:textId="77777777" w:rsidR="00B61D99" w:rsidRDefault="000150AB">
      <w:pPr>
        <w:spacing w:before="0" w:line="360" w:lineRule="auto"/>
        <w:jc w:val="left"/>
      </w:pPr>
      <w:bookmarkStart w:id="9" w:name="selectedDocDateB"/>
      <w:bookmarkEnd w:id="9"/>
      <w:r>
        <w:rPr>
          <w:rFonts w:ascii="David" w:eastAsia="David" w:hAnsi="David" w:cs="David" w:hint="cs"/>
          <w:sz w:val="26"/>
          <w:szCs w:val="26"/>
          <w:rtl/>
        </w:rPr>
        <w:t>--------------------------------</w:t>
      </w:r>
    </w:p>
    <w:p w14:paraId="0B120A8A" w14:textId="77777777" w:rsidR="00B61D99" w:rsidRDefault="000150AB">
      <w:pPr>
        <w:spacing w:before="0" w:line="360" w:lineRule="auto"/>
        <w:jc w:val="left"/>
      </w:pPr>
      <w:r>
        <w:rPr>
          <w:rFonts w:ascii="David" w:eastAsia="David" w:hAnsi="David" w:cs="David" w:hint="cs"/>
          <w:sz w:val="26"/>
          <w:szCs w:val="26"/>
          <w:rtl/>
        </w:rPr>
        <w:t>הוגשה ליו"ר הכנסת והסגנים</w:t>
      </w:r>
    </w:p>
    <w:p w14:paraId="4E2AF42C" w14:textId="77777777" w:rsidR="00B61D99" w:rsidRDefault="000150AB">
      <w:pPr>
        <w:spacing w:before="0" w:line="360" w:lineRule="auto"/>
        <w:jc w:val="left"/>
      </w:pPr>
      <w:r>
        <w:rPr>
          <w:rFonts w:ascii="David" w:eastAsia="David" w:hAnsi="David" w:cs="David" w:hint="cs"/>
          <w:sz w:val="26"/>
          <w:szCs w:val="26"/>
          <w:rtl/>
        </w:rPr>
        <w:t>והונחה על שולחן הכנסת ביום</w:t>
      </w:r>
    </w:p>
    <w:p w14:paraId="60E623FC" w14:textId="77777777" w:rsidR="00B61D99" w:rsidRDefault="000150AB">
      <w:pPr>
        <w:spacing w:before="0" w:line="360" w:lineRule="auto"/>
        <w:jc w:val="left"/>
      </w:pPr>
      <w:r>
        <w:rPr>
          <w:rFonts w:ascii="David" w:eastAsia="David" w:hAnsi="David" w:cs="David" w:hint="cs"/>
          <w:sz w:val="26"/>
          <w:szCs w:val="26"/>
          <w:rtl/>
        </w:rPr>
        <w:t xml:space="preserve">כ"ח בתמוז התשפ"ג (17.07.2023) </w:t>
      </w:r>
    </w:p>
    <w:p w14:paraId="203D0253" w14:textId="77777777" w:rsidR="00B61D99" w:rsidRDefault="00B61D99">
      <w:pPr>
        <w:spacing w:before="0" w:line="276" w:lineRule="auto"/>
        <w:jc w:val="left"/>
      </w:pPr>
    </w:p>
    <w:sectPr w:rsidR="00B61D9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5A9B5FB"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150AB">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DDBE55D" w14:textId="77777777" w:rsidR="00234EDA" w:rsidRDefault="00234EDA" w:rsidP="00234EDA">
      <w:pPr>
        <w:pStyle w:val="a4"/>
      </w:pPr>
      <w:r>
        <w:rPr>
          <w:rStyle w:val="a5"/>
        </w:rPr>
        <w:footnoteRef/>
      </w:r>
      <w:r>
        <w:rPr>
          <w:rtl/>
        </w:rPr>
        <w:t xml:space="preserve"> </w:t>
      </w:r>
      <w:r>
        <w:rPr>
          <w:rFonts w:hint="cs"/>
          <w:rtl/>
        </w:rPr>
        <w:t>ס"ח התשמ"א, עמ' 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0A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4EDA"/>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61D99"/>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1D0E"/>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65688EA-F863-407B-B899-70256AC4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290d5b49-c690-4c6f-bbb9-1e50dab33ee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4BCF6FC9-407A-4057-848A-A4EEBCFD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B483E-7915-4522-A5F3-EDD279EB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534</Words>
  <Characters>2671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2013-07-04T08:25:00Z</cp:lastPrinted>
  <dcterms:created xsi:type="dcterms:W3CDTF">2015-04-20T09:58:00Z</dcterms:created>
  <dcterms:modified xsi:type="dcterms:W3CDTF">2023-07-11T07:49:00Z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2208284</vt:r8>
  </property>
</Properties>
</file>