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2208747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אימאן ח'טיב יאסין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9625BA5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9716C8">
        <w:rPr>
          <w:rtl/>
        </w:rPr>
        <w:tab/>
      </w:r>
      <w:r>
        <w:rPr>
          <w:rFonts w:hint="cs"/>
          <w:rtl/>
        </w:rPr>
        <w:t>פ/3751/25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11F472F0" w:rsidR="00E13C27" w:rsidRPr="00F67051" w:rsidRDefault="00A443CF" w:rsidP="003158E2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הביטוח הלאומי (תיקון </w:t>
      </w:r>
      <w:r w:rsidR="003158E2">
        <w:rPr>
          <w:rFonts w:hint="eastAsia"/>
          <w:rtl/>
        </w:rPr>
        <w:t>–</w:t>
      </w:r>
      <w:r w:rsidR="003158E2">
        <w:rPr>
          <w:rFonts w:hint="cs"/>
          <w:rtl/>
        </w:rPr>
        <w:t xml:space="preserve"> </w:t>
      </w:r>
      <w:r>
        <w:rPr>
          <w:rFonts w:hint="cs"/>
          <w:rtl/>
        </w:rPr>
        <w:t>הארכת המועד להגשת תביעה לגמלה והתקופה שבעדה תשולם), התשפ"ג</w:t>
      </w:r>
      <w:r w:rsidR="003158E2">
        <w:rPr>
          <w:rFonts w:hint="eastAsia"/>
          <w:rtl/>
        </w:rPr>
        <w:t>–</w:t>
      </w:r>
      <w:r>
        <w:rPr>
          <w:rFonts w:hint="cs"/>
          <w:rtl/>
        </w:rPr>
        <w:t>2023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19"/>
      </w:tblGrid>
      <w:tr w:rsidR="006C5913" w14:paraId="3D709BF3" w14:textId="77777777" w:rsidTr="009716C8">
        <w:trPr>
          <w:cantSplit/>
        </w:trPr>
        <w:tc>
          <w:tcPr>
            <w:tcW w:w="1871" w:type="dxa"/>
          </w:tcPr>
          <w:p w14:paraId="4452B92F" w14:textId="67AB8087" w:rsidR="006C5913" w:rsidRPr="006E02D9" w:rsidRDefault="006C5913" w:rsidP="003E73AC">
            <w:pPr>
              <w:pStyle w:val="TableSideHeading"/>
              <w:rPr>
                <w:rtl/>
              </w:rPr>
            </w:pPr>
            <w:r w:rsidRPr="006E02D9">
              <w:rPr>
                <w:rFonts w:hint="cs"/>
                <w:rtl/>
              </w:rPr>
              <w:t>תיקון סעיף 296</w:t>
            </w:r>
          </w:p>
        </w:tc>
        <w:tc>
          <w:tcPr>
            <w:tcW w:w="624" w:type="dxa"/>
          </w:tcPr>
          <w:p w14:paraId="34971F29" w14:textId="77777777" w:rsidR="006C5913" w:rsidRPr="006E02D9" w:rsidRDefault="006C5913" w:rsidP="003E73AC">
            <w:pPr>
              <w:pStyle w:val="TableText"/>
              <w:jc w:val="both"/>
            </w:pPr>
            <w:r w:rsidRPr="006E02D9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32EA1" w14:textId="77777777" w:rsidR="006C5913" w:rsidRDefault="006C5913" w:rsidP="009716C8">
            <w:pPr>
              <w:pStyle w:val="TableBlock"/>
              <w:rPr>
                <w:rtl/>
              </w:rPr>
            </w:pPr>
            <w:r>
              <w:rPr>
                <w:sz w:val="26"/>
                <w:rtl/>
              </w:rPr>
              <w:t>בחוק הביטוח הלאומי [נוסח משולב], התשנ"ה–1995</w:t>
            </w:r>
            <w:r w:rsidRPr="009716C8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sz w:val="26"/>
                <w:rtl/>
              </w:rPr>
              <w:t xml:space="preserve">, בסעיף 296 –  </w:t>
            </w:r>
          </w:p>
        </w:tc>
      </w:tr>
      <w:tr w:rsidR="006C5913" w14:paraId="29E13AE9" w14:textId="77777777" w:rsidTr="009716C8">
        <w:trPr>
          <w:cantSplit/>
        </w:trPr>
        <w:tc>
          <w:tcPr>
            <w:tcW w:w="1871" w:type="dxa"/>
          </w:tcPr>
          <w:p w14:paraId="241B7B5E" w14:textId="77777777" w:rsidR="006C5913" w:rsidRPr="006E02D9" w:rsidRDefault="006C5913" w:rsidP="003E73AC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D588091" w14:textId="77777777" w:rsidR="006C5913" w:rsidRPr="006E02D9" w:rsidRDefault="006C5913" w:rsidP="003E73AC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91616" w14:textId="77777777" w:rsidR="006C5913" w:rsidRDefault="006C5913" w:rsidP="009716C8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(1)</w:t>
            </w:r>
            <w:r>
              <w:rPr>
                <w:sz w:val="26"/>
                <w:rtl/>
              </w:rPr>
              <w:tab/>
              <w:t>בסעיף קטן (א), במקום "שנים עשר חודשים" יבוא "</w:t>
            </w:r>
            <w:r>
              <w:rPr>
                <w:rFonts w:hint="cs"/>
                <w:sz w:val="26"/>
                <w:rtl/>
              </w:rPr>
              <w:t>שבע</w:t>
            </w:r>
            <w:r>
              <w:rPr>
                <w:sz w:val="26"/>
                <w:rtl/>
              </w:rPr>
              <w:t xml:space="preserve"> שנים";</w:t>
            </w:r>
          </w:p>
        </w:tc>
      </w:tr>
      <w:tr w:rsidR="006C5913" w14:paraId="3D30603F" w14:textId="77777777" w:rsidTr="009716C8">
        <w:trPr>
          <w:cantSplit/>
        </w:trPr>
        <w:tc>
          <w:tcPr>
            <w:tcW w:w="1871" w:type="dxa"/>
          </w:tcPr>
          <w:p w14:paraId="409DCC38" w14:textId="77777777" w:rsidR="006C5913" w:rsidRPr="006E02D9" w:rsidRDefault="006C5913" w:rsidP="003E73AC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00B05671" w14:textId="77777777" w:rsidR="006C5913" w:rsidRPr="006E02D9" w:rsidRDefault="006C5913" w:rsidP="003E73AC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0D537" w14:textId="77777777" w:rsidR="006C5913" w:rsidRDefault="006C5913" w:rsidP="009716C8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(2)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בסעיף קטן (ב) </w:t>
            </w:r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</w:t>
            </w:r>
          </w:p>
        </w:tc>
      </w:tr>
      <w:tr w:rsidR="006C5913" w14:paraId="01774926" w14:textId="77777777" w:rsidTr="009716C8">
        <w:trPr>
          <w:cantSplit/>
        </w:trPr>
        <w:tc>
          <w:tcPr>
            <w:tcW w:w="1871" w:type="dxa"/>
          </w:tcPr>
          <w:p w14:paraId="03E917E3" w14:textId="77777777" w:rsidR="006C5913" w:rsidRDefault="006C5913" w:rsidP="003E73AC">
            <w:pPr>
              <w:pStyle w:val="TableSideHeading"/>
            </w:pPr>
          </w:p>
        </w:tc>
        <w:tc>
          <w:tcPr>
            <w:tcW w:w="624" w:type="dxa"/>
          </w:tcPr>
          <w:p w14:paraId="204603BB" w14:textId="77777777" w:rsidR="006C5913" w:rsidRDefault="006C5913" w:rsidP="003E73AC">
            <w:pPr>
              <w:pStyle w:val="TableText"/>
            </w:pPr>
          </w:p>
        </w:tc>
        <w:tc>
          <w:tcPr>
            <w:tcW w:w="624" w:type="dxa"/>
          </w:tcPr>
          <w:p w14:paraId="3909F37A" w14:textId="77777777" w:rsidR="006C5913" w:rsidRDefault="006C5913" w:rsidP="003E73AC">
            <w:pPr>
              <w:pStyle w:val="TableText"/>
            </w:pPr>
          </w:p>
        </w:tc>
        <w:tc>
          <w:tcPr>
            <w:tcW w:w="6519" w:type="dxa"/>
          </w:tcPr>
          <w:p w14:paraId="4DCE614B" w14:textId="77777777" w:rsidR="006C5913" w:rsidRDefault="006C5913" w:rsidP="009716C8">
            <w:pPr>
              <w:pStyle w:val="TableBlock"/>
              <w:tabs>
                <w:tab w:val="left" w:pos="624"/>
                <w:tab w:val="left" w:pos="1247"/>
              </w:tabs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sz w:val="26"/>
                <w:rtl/>
              </w:rPr>
              <w:t>בפסקה (1),</w:t>
            </w:r>
            <w:r>
              <w:rPr>
                <w:sz w:val="26"/>
                <w:rtl/>
              </w:rPr>
              <w:t xml:space="preserve"> במקום "12 חודשים" יבוא "</w:t>
            </w:r>
            <w:r>
              <w:rPr>
                <w:rFonts w:hint="cs"/>
                <w:sz w:val="26"/>
                <w:rtl/>
              </w:rPr>
              <w:t>שבע</w:t>
            </w:r>
            <w:r>
              <w:rPr>
                <w:sz w:val="26"/>
                <w:rtl/>
              </w:rPr>
              <w:t xml:space="preserve"> שנים" </w:t>
            </w:r>
            <w:r w:rsidRPr="00226EEA">
              <w:rPr>
                <w:sz w:val="26"/>
                <w:rtl/>
              </w:rPr>
              <w:t xml:space="preserve">ובמקום "18 חודשים" יבוא "7 </w:t>
            </w:r>
            <w:r w:rsidRPr="00226EEA">
              <w:rPr>
                <w:rFonts w:hint="eastAsia"/>
                <w:sz w:val="26"/>
                <w:rtl/>
              </w:rPr>
              <w:t>שנים</w:t>
            </w:r>
            <w:r w:rsidRPr="00226EEA">
              <w:rPr>
                <w:sz w:val="26"/>
                <w:rtl/>
              </w:rPr>
              <w:t>"</w:t>
            </w:r>
            <w:r w:rsidRPr="00226EEA">
              <w:rPr>
                <w:rtl/>
              </w:rPr>
              <w:t>;</w:t>
            </w:r>
          </w:p>
        </w:tc>
      </w:tr>
      <w:tr w:rsidR="006C5913" w14:paraId="354C164E" w14:textId="77777777" w:rsidTr="009716C8">
        <w:trPr>
          <w:cantSplit/>
        </w:trPr>
        <w:tc>
          <w:tcPr>
            <w:tcW w:w="1871" w:type="dxa"/>
          </w:tcPr>
          <w:p w14:paraId="583DF48B" w14:textId="77777777" w:rsidR="006C5913" w:rsidRDefault="006C5913" w:rsidP="003E73AC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BDB6C1C" w14:textId="77777777" w:rsidR="006C5913" w:rsidRDefault="006C5913" w:rsidP="003E73AC">
            <w:pPr>
              <w:pStyle w:val="TableText"/>
            </w:pPr>
          </w:p>
        </w:tc>
        <w:tc>
          <w:tcPr>
            <w:tcW w:w="624" w:type="dxa"/>
          </w:tcPr>
          <w:p w14:paraId="0BCF5DE5" w14:textId="77777777" w:rsidR="006C5913" w:rsidRDefault="006C5913" w:rsidP="003E73AC">
            <w:pPr>
              <w:pStyle w:val="TableText"/>
            </w:pPr>
          </w:p>
        </w:tc>
        <w:tc>
          <w:tcPr>
            <w:tcW w:w="6519" w:type="dxa"/>
          </w:tcPr>
          <w:p w14:paraId="2D51C700" w14:textId="77777777" w:rsidR="006C5913" w:rsidRDefault="006C5913" w:rsidP="009716C8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פסקה (2)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תימחק.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119C72C" w14:textId="104B7ACA" w:rsidR="006C5913" w:rsidRPr="00751792" w:rsidRDefault="006C5913" w:rsidP="006C5913">
      <w:pPr>
        <w:pStyle w:val="Hesber"/>
        <w:rPr>
          <w:rtl/>
        </w:rPr>
      </w:pPr>
      <w:r w:rsidRPr="00751792">
        <w:rPr>
          <w:rtl/>
        </w:rPr>
        <w:t xml:space="preserve">חוק הביטוח הלאומי [נוסח משולב], </w:t>
      </w:r>
      <w:r w:rsidRPr="00751792">
        <w:rPr>
          <w:rFonts w:hint="eastAsia"/>
          <w:rtl/>
        </w:rPr>
        <w:t>התשנ</w:t>
      </w:r>
      <w:r w:rsidRPr="00751792">
        <w:rPr>
          <w:rtl/>
        </w:rPr>
        <w:t>"ה</w:t>
      </w:r>
      <w:r w:rsidRPr="00751792">
        <w:rPr>
          <w:rFonts w:hint="eastAsia"/>
          <w:rtl/>
        </w:rPr>
        <w:t>–</w:t>
      </w:r>
      <w:r w:rsidRPr="00751792">
        <w:rPr>
          <w:rtl/>
        </w:rPr>
        <w:t xml:space="preserve">1995 (להלן – החוק), </w:t>
      </w:r>
      <w:r w:rsidRPr="00751792">
        <w:rPr>
          <w:rFonts w:hint="eastAsia"/>
          <w:rtl/>
        </w:rPr>
        <w:t>הוא</w:t>
      </w:r>
      <w:r w:rsidRPr="00751792">
        <w:rPr>
          <w:rtl/>
        </w:rPr>
        <w:t xml:space="preserve"> חוק סוציאלי, </w:t>
      </w:r>
      <w:r w:rsidRPr="00751792">
        <w:rPr>
          <w:rFonts w:hint="eastAsia"/>
          <w:rtl/>
        </w:rPr>
        <w:t>שנועד</w:t>
      </w:r>
      <w:r w:rsidRPr="00751792">
        <w:rPr>
          <w:rtl/>
        </w:rPr>
        <w:t xml:space="preserve"> להעניק רשת בטחון לתושבי ישראל ולהסדיר את מתן הקצבאות המיועדות להם, </w:t>
      </w:r>
      <w:r w:rsidRPr="00751792">
        <w:rPr>
          <w:rFonts w:hint="eastAsia"/>
          <w:rtl/>
        </w:rPr>
        <w:t>ואת</w:t>
      </w:r>
      <w:r w:rsidRPr="00751792">
        <w:rPr>
          <w:rtl/>
        </w:rPr>
        <w:t xml:space="preserve"> תשלום דמי הביטוח </w:t>
      </w:r>
      <w:r w:rsidRPr="00751792">
        <w:rPr>
          <w:rFonts w:hint="eastAsia"/>
          <w:rtl/>
        </w:rPr>
        <w:t>המגיעים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מהם</w:t>
      </w:r>
      <w:r w:rsidRPr="00751792">
        <w:rPr>
          <w:rtl/>
        </w:rPr>
        <w:t>.</w:t>
      </w:r>
    </w:p>
    <w:p w14:paraId="44FAA944" w14:textId="77777777" w:rsidR="006C5913" w:rsidRPr="00751792" w:rsidRDefault="006C5913" w:rsidP="006C5913">
      <w:pPr>
        <w:pStyle w:val="Hesber"/>
        <w:rPr>
          <w:rtl/>
        </w:rPr>
      </w:pPr>
      <w:r w:rsidRPr="00751792">
        <w:rPr>
          <w:rtl/>
        </w:rPr>
        <w:t xml:space="preserve">על פי </w:t>
      </w:r>
      <w:r w:rsidRPr="00751792">
        <w:rPr>
          <w:rFonts w:hint="eastAsia"/>
          <w:rtl/>
        </w:rPr>
        <w:t>ה</w:t>
      </w:r>
      <w:r w:rsidRPr="00751792">
        <w:rPr>
          <w:rtl/>
        </w:rPr>
        <w:t xml:space="preserve">חוק, </w:t>
      </w:r>
      <w:r w:rsidRPr="00751792">
        <w:rPr>
          <w:rFonts w:hint="eastAsia"/>
          <w:rtl/>
        </w:rPr>
        <w:t>תושב</w:t>
      </w:r>
      <w:r w:rsidRPr="00751792">
        <w:rPr>
          <w:rtl/>
        </w:rPr>
        <w:t xml:space="preserve"> שלא העביר את התשלומים אותם הוא חייב ל</w:t>
      </w:r>
      <w:r w:rsidRPr="00751792">
        <w:rPr>
          <w:rFonts w:hint="eastAsia"/>
          <w:rtl/>
        </w:rPr>
        <w:t>מוסד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ל</w:t>
      </w:r>
      <w:r w:rsidRPr="00751792">
        <w:rPr>
          <w:rtl/>
        </w:rPr>
        <w:t xml:space="preserve">ביטוח לאומי, ניתן לגבות ממנו את הכספים </w:t>
      </w:r>
      <w:r w:rsidRPr="00751792">
        <w:rPr>
          <w:rFonts w:hint="eastAsia"/>
          <w:rtl/>
        </w:rPr>
        <w:t>עבור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תקופה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של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שבע</w:t>
      </w:r>
      <w:r w:rsidRPr="00751792">
        <w:rPr>
          <w:rtl/>
        </w:rPr>
        <w:t xml:space="preserve"> שנים אחורה. </w:t>
      </w:r>
      <w:r w:rsidRPr="00751792">
        <w:rPr>
          <w:rFonts w:hint="eastAsia"/>
          <w:rtl/>
        </w:rPr>
        <w:t>ו</w:t>
      </w:r>
      <w:r w:rsidRPr="00751792">
        <w:rPr>
          <w:rtl/>
        </w:rPr>
        <w:t>אולם בנוגע לזכות לקצבה או לגמלה, ש</w:t>
      </w:r>
      <w:r w:rsidRPr="00751792">
        <w:rPr>
          <w:rFonts w:hint="eastAsia"/>
          <w:rtl/>
        </w:rPr>
        <w:t>תושב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זכאי</w:t>
      </w:r>
      <w:r w:rsidRPr="00751792">
        <w:rPr>
          <w:rtl/>
        </w:rPr>
        <w:t xml:space="preserve"> לקבל מ</w:t>
      </w:r>
      <w:r w:rsidRPr="00751792">
        <w:rPr>
          <w:rFonts w:hint="eastAsia"/>
          <w:rtl/>
        </w:rPr>
        <w:t>המוסד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ל</w:t>
      </w:r>
      <w:r w:rsidRPr="00751792">
        <w:rPr>
          <w:rtl/>
        </w:rPr>
        <w:t xml:space="preserve">ביטוח </w:t>
      </w:r>
      <w:r w:rsidRPr="00751792">
        <w:rPr>
          <w:rFonts w:hint="eastAsia"/>
          <w:rtl/>
        </w:rPr>
        <w:t>ל</w:t>
      </w:r>
      <w:r w:rsidRPr="00751792">
        <w:rPr>
          <w:rtl/>
        </w:rPr>
        <w:t xml:space="preserve">אומי על פי החוק, </w:t>
      </w:r>
      <w:r w:rsidRPr="00751792">
        <w:rPr>
          <w:rFonts w:hint="eastAsia"/>
          <w:rtl/>
        </w:rPr>
        <w:t>קובע</w:t>
      </w:r>
      <w:r w:rsidRPr="00751792">
        <w:rPr>
          <w:rtl/>
        </w:rPr>
        <w:t xml:space="preserve"> סעיף 296 </w:t>
      </w:r>
      <w:r w:rsidRPr="00751792">
        <w:rPr>
          <w:rFonts w:hint="eastAsia"/>
          <w:rtl/>
        </w:rPr>
        <w:t>כי</w:t>
      </w:r>
      <w:r w:rsidRPr="00751792">
        <w:rPr>
          <w:rtl/>
        </w:rPr>
        <w:t xml:space="preserve"> אם הוגשה </w:t>
      </w:r>
      <w:r w:rsidRPr="00751792">
        <w:rPr>
          <w:rFonts w:hint="eastAsia"/>
          <w:rtl/>
        </w:rPr>
        <w:t>ה</w:t>
      </w:r>
      <w:r w:rsidRPr="00751792">
        <w:rPr>
          <w:rtl/>
        </w:rPr>
        <w:t xml:space="preserve">תביעה באיחור, </w:t>
      </w:r>
      <w:r w:rsidRPr="00751792">
        <w:rPr>
          <w:rFonts w:hint="eastAsia"/>
          <w:rtl/>
        </w:rPr>
        <w:t>יהיה</w:t>
      </w:r>
      <w:r w:rsidRPr="00751792">
        <w:rPr>
          <w:rtl/>
        </w:rPr>
        <w:t xml:space="preserve"> המבקש זכאי לקבל את הגמלה </w:t>
      </w:r>
      <w:r w:rsidRPr="00751792">
        <w:rPr>
          <w:rFonts w:hint="eastAsia"/>
          <w:rtl/>
        </w:rPr>
        <w:t>לתקופה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של</w:t>
      </w:r>
      <w:r w:rsidRPr="00751792">
        <w:rPr>
          <w:rtl/>
        </w:rPr>
        <w:t xml:space="preserve"> 12 חודשים אחורה בלבד, ולעניין קצבת </w:t>
      </w:r>
      <w:r>
        <w:rPr>
          <w:rFonts w:hint="cs"/>
          <w:rtl/>
        </w:rPr>
        <w:t>אזרח ותיק</w:t>
      </w:r>
      <w:r w:rsidRPr="00751792">
        <w:rPr>
          <w:rtl/>
        </w:rPr>
        <w:t xml:space="preserve"> שאינה מותנית בהכנסה – 48 חודשים.</w:t>
      </w:r>
    </w:p>
    <w:p w14:paraId="5F3C7E14" w14:textId="77777777" w:rsidR="006C5913" w:rsidRPr="00751792" w:rsidRDefault="006C5913" w:rsidP="006C5913">
      <w:pPr>
        <w:pStyle w:val="Hesber"/>
        <w:rPr>
          <w:rtl/>
        </w:rPr>
      </w:pPr>
      <w:r w:rsidRPr="00751792">
        <w:rPr>
          <w:rtl/>
        </w:rPr>
        <w:t xml:space="preserve">מטרת הצעת החוק היא </w:t>
      </w:r>
      <w:r w:rsidRPr="00751792">
        <w:rPr>
          <w:rFonts w:hint="eastAsia"/>
          <w:rtl/>
        </w:rPr>
        <w:t>להשוות</w:t>
      </w:r>
      <w:r w:rsidRPr="00751792">
        <w:rPr>
          <w:rtl/>
        </w:rPr>
        <w:t xml:space="preserve"> בין חובות וזכויות </w:t>
      </w:r>
      <w:r w:rsidRPr="00751792">
        <w:rPr>
          <w:rFonts w:hint="eastAsia"/>
          <w:rtl/>
        </w:rPr>
        <w:t>האזרח</w:t>
      </w:r>
      <w:r w:rsidRPr="00751792">
        <w:rPr>
          <w:rtl/>
        </w:rPr>
        <w:t xml:space="preserve"> בחוק, כך שכאשר מגיע</w:t>
      </w:r>
      <w:r w:rsidRPr="00751792">
        <w:rPr>
          <w:rFonts w:hint="eastAsia"/>
          <w:rtl/>
        </w:rPr>
        <w:t>ה</w:t>
      </w:r>
      <w:r w:rsidRPr="00751792">
        <w:rPr>
          <w:rtl/>
        </w:rPr>
        <w:t xml:space="preserve"> לו זכות לגמלה </w:t>
      </w:r>
      <w:r w:rsidRPr="00751792">
        <w:rPr>
          <w:rFonts w:hint="eastAsia"/>
          <w:rtl/>
        </w:rPr>
        <w:t>והתביעה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הוגשה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אחרי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ה</w:t>
      </w:r>
      <w:r w:rsidRPr="00751792">
        <w:rPr>
          <w:rtl/>
        </w:rPr>
        <w:t xml:space="preserve">מועד, </w:t>
      </w:r>
      <w:r w:rsidRPr="00751792">
        <w:rPr>
          <w:rFonts w:hint="eastAsia"/>
          <w:rtl/>
        </w:rPr>
        <w:t>הוא</w:t>
      </w:r>
      <w:r w:rsidRPr="00751792">
        <w:rPr>
          <w:rtl/>
        </w:rPr>
        <w:t xml:space="preserve"> יהיה זכאי לממש את זכותו עד </w:t>
      </w:r>
      <w:r w:rsidRPr="00751792">
        <w:rPr>
          <w:rFonts w:hint="eastAsia"/>
          <w:rtl/>
        </w:rPr>
        <w:t>שבע</w:t>
      </w:r>
      <w:r w:rsidRPr="00751792">
        <w:rPr>
          <w:rtl/>
        </w:rPr>
        <w:t xml:space="preserve"> שנים אחורה, דהיינו, </w:t>
      </w:r>
      <w:r w:rsidRPr="00751792">
        <w:rPr>
          <w:rFonts w:hint="eastAsia"/>
          <w:rtl/>
        </w:rPr>
        <w:t>תקופת</w:t>
      </w:r>
      <w:r w:rsidRPr="00751792">
        <w:rPr>
          <w:rtl/>
        </w:rPr>
        <w:t xml:space="preserve"> ההתיישנות של הזכויות תהיה זהה ל</w:t>
      </w:r>
      <w:r w:rsidRPr="00751792">
        <w:rPr>
          <w:rFonts w:hint="eastAsia"/>
          <w:rtl/>
        </w:rPr>
        <w:t>תקופת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ה</w:t>
      </w:r>
      <w:r w:rsidRPr="00751792">
        <w:rPr>
          <w:rtl/>
        </w:rPr>
        <w:t xml:space="preserve">התיישנות של החובות </w:t>
      </w:r>
      <w:r w:rsidRPr="00751792">
        <w:rPr>
          <w:rFonts w:hint="eastAsia"/>
          <w:rtl/>
        </w:rPr>
        <w:t>–</w:t>
      </w:r>
      <w:r w:rsidRPr="00751792">
        <w:rPr>
          <w:rtl/>
        </w:rPr>
        <w:t xml:space="preserve"> שבע שנים. </w:t>
      </w:r>
    </w:p>
    <w:p w14:paraId="2EBDA015" w14:textId="0E972291" w:rsidR="006C5913" w:rsidRDefault="006C5913" w:rsidP="006C5913">
      <w:pPr>
        <w:pStyle w:val="Hesber"/>
        <w:rPr>
          <w:rtl/>
        </w:rPr>
      </w:pPr>
      <w:r w:rsidRPr="005B4141">
        <w:rPr>
          <w:rtl/>
        </w:rPr>
        <w:t>הצע</w:t>
      </w:r>
      <w:r w:rsidRPr="005B4141">
        <w:rPr>
          <w:rFonts w:hint="cs"/>
          <w:rtl/>
        </w:rPr>
        <w:t>ו</w:t>
      </w:r>
      <w:r w:rsidRPr="005B4141">
        <w:rPr>
          <w:rtl/>
        </w:rPr>
        <w:t>ת חוק דומ</w:t>
      </w:r>
      <w:r w:rsidRPr="005B4141">
        <w:rPr>
          <w:rFonts w:hint="cs"/>
          <w:rtl/>
        </w:rPr>
        <w:t>ות</w:t>
      </w:r>
      <w:r w:rsidRPr="005B4141">
        <w:rPr>
          <w:rtl/>
        </w:rPr>
        <w:t xml:space="preserve"> בעיקר</w:t>
      </w:r>
      <w:r w:rsidRPr="005B4141">
        <w:rPr>
          <w:rFonts w:hint="cs"/>
          <w:rtl/>
        </w:rPr>
        <w:t>ן</w:t>
      </w:r>
      <w:r w:rsidRPr="005B4141">
        <w:rPr>
          <w:rtl/>
        </w:rPr>
        <w:t xml:space="preserve"> הונח</w:t>
      </w:r>
      <w:r w:rsidRPr="005B4141">
        <w:rPr>
          <w:rFonts w:hint="cs"/>
          <w:rtl/>
        </w:rPr>
        <w:t>ו</w:t>
      </w:r>
      <w:r w:rsidRPr="005B4141">
        <w:rPr>
          <w:rtl/>
        </w:rPr>
        <w:t xml:space="preserve"> על שולחן הכנסת העשרים ושתיים</w:t>
      </w:r>
      <w:r w:rsidRPr="005B4141">
        <w:rPr>
          <w:rFonts w:hint="cs"/>
          <w:rtl/>
        </w:rPr>
        <w:t xml:space="preserve"> ועל שולחן הכנסת העשרים ושלוש</w:t>
      </w:r>
      <w:r w:rsidRPr="005B4141">
        <w:rPr>
          <w:rtl/>
        </w:rPr>
        <w:t xml:space="preserve"> על ידי חבר הכנ</w:t>
      </w:r>
      <w:r w:rsidRPr="005B4141">
        <w:rPr>
          <w:rFonts w:hint="eastAsia"/>
          <w:rtl/>
        </w:rPr>
        <w:t>סת</w:t>
      </w:r>
      <w:r w:rsidRPr="005B4141">
        <w:rPr>
          <w:rtl/>
        </w:rPr>
        <w:t xml:space="preserve"> </w:t>
      </w:r>
      <w:r w:rsidRPr="005B4141">
        <w:rPr>
          <w:rFonts w:hint="eastAsia"/>
          <w:rtl/>
        </w:rPr>
        <w:t>ינון</w:t>
      </w:r>
      <w:r w:rsidRPr="005B4141">
        <w:rPr>
          <w:rtl/>
        </w:rPr>
        <w:t xml:space="preserve"> </w:t>
      </w:r>
      <w:r w:rsidRPr="005B4141">
        <w:rPr>
          <w:rFonts w:hint="eastAsia"/>
          <w:rtl/>
        </w:rPr>
        <w:t>אזולאי</w:t>
      </w:r>
      <w:r w:rsidRPr="005B4141">
        <w:rPr>
          <w:rtl/>
        </w:rPr>
        <w:t xml:space="preserve"> </w:t>
      </w:r>
      <w:r w:rsidRPr="005B4141">
        <w:rPr>
          <w:rFonts w:hint="eastAsia"/>
          <w:rtl/>
        </w:rPr>
        <w:t>וקבוצת</w:t>
      </w:r>
      <w:r w:rsidRPr="005B4141">
        <w:rPr>
          <w:rtl/>
        </w:rPr>
        <w:t xml:space="preserve"> </w:t>
      </w:r>
      <w:r w:rsidRPr="005B4141">
        <w:rPr>
          <w:rFonts w:hint="eastAsia"/>
          <w:rtl/>
        </w:rPr>
        <w:t>חברי</w:t>
      </w:r>
      <w:r w:rsidRPr="005B4141">
        <w:rPr>
          <w:rtl/>
        </w:rPr>
        <w:t xml:space="preserve"> </w:t>
      </w:r>
      <w:r w:rsidRPr="005B4141">
        <w:rPr>
          <w:rFonts w:hint="eastAsia"/>
          <w:rtl/>
        </w:rPr>
        <w:t>הכנסת</w:t>
      </w:r>
      <w:r w:rsidRPr="005B4141">
        <w:rPr>
          <w:rtl/>
        </w:rPr>
        <w:t xml:space="preserve"> (פ/1402/22</w:t>
      </w:r>
      <w:r w:rsidRPr="005B4141">
        <w:rPr>
          <w:rFonts w:hint="cs"/>
          <w:rtl/>
        </w:rPr>
        <w:t>; פ/1285/23</w:t>
      </w:r>
      <w:r w:rsidRPr="005B4141">
        <w:rPr>
          <w:rtl/>
        </w:rPr>
        <w:t>)</w:t>
      </w:r>
      <w:bookmarkStart w:id="8" w:name="_GoBack"/>
      <w:bookmarkEnd w:id="8"/>
      <w:r w:rsidRPr="005B4141">
        <w:rPr>
          <w:rFonts w:hint="cs"/>
          <w:rtl/>
        </w:rPr>
        <w:t xml:space="preserve"> ועל שולחן הכנסת </w:t>
      </w:r>
      <w:r w:rsidRPr="005B4141">
        <w:rPr>
          <w:rFonts w:hint="cs"/>
          <w:rtl/>
        </w:rPr>
        <w:lastRenderedPageBreak/>
        <w:t>העשרים וארבע על ידי חברי הכנסת ינון אזולאי ומשה ארבל (פ/60/24).</w:t>
      </w:r>
      <w:r w:rsidRPr="005B4141">
        <w:rPr>
          <w:rtl/>
        </w:rPr>
        <w:t xml:space="preserve"> </w:t>
      </w:r>
    </w:p>
    <w:p w14:paraId="3BB2FECD" w14:textId="1447F450" w:rsidR="006C5913" w:rsidRPr="00751792" w:rsidRDefault="006C5913" w:rsidP="006C5913">
      <w:pPr>
        <w:pStyle w:val="Hesber"/>
        <w:rPr>
          <w:rtl/>
        </w:rPr>
      </w:pPr>
      <w:r w:rsidRPr="00751792">
        <w:rPr>
          <w:rtl/>
        </w:rPr>
        <w:t>הצע</w:t>
      </w:r>
      <w:r w:rsidRPr="00751792">
        <w:rPr>
          <w:rFonts w:hint="eastAsia"/>
          <w:rtl/>
        </w:rPr>
        <w:t>ו</w:t>
      </w:r>
      <w:r w:rsidRPr="00751792">
        <w:rPr>
          <w:rtl/>
        </w:rPr>
        <w:t>ת חוק זה</w:t>
      </w:r>
      <w:r w:rsidRPr="00751792">
        <w:rPr>
          <w:rFonts w:hint="eastAsia"/>
          <w:rtl/>
        </w:rPr>
        <w:t>ות</w:t>
      </w:r>
      <w:r w:rsidRPr="00751792">
        <w:rPr>
          <w:rtl/>
        </w:rPr>
        <w:t xml:space="preserve"> הונח</w:t>
      </w:r>
      <w:r w:rsidRPr="00751792">
        <w:rPr>
          <w:rFonts w:hint="eastAsia"/>
          <w:rtl/>
        </w:rPr>
        <w:t>ו</w:t>
      </w:r>
      <w:r w:rsidRPr="00751792">
        <w:rPr>
          <w:rtl/>
        </w:rPr>
        <w:t xml:space="preserve"> על שולחן הכנסת העשרים ושתיים </w:t>
      </w:r>
      <w:r w:rsidRPr="00751792">
        <w:rPr>
          <w:rFonts w:hint="eastAsia"/>
          <w:rtl/>
        </w:rPr>
        <w:t>ועל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שולחן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הכנסת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העשרים</w:t>
      </w:r>
      <w:r w:rsidRPr="00751792">
        <w:rPr>
          <w:rtl/>
        </w:rPr>
        <w:t xml:space="preserve"> </w:t>
      </w:r>
      <w:r w:rsidRPr="00751792">
        <w:rPr>
          <w:rFonts w:hint="eastAsia"/>
          <w:rtl/>
        </w:rPr>
        <w:t>ושלוש</w:t>
      </w:r>
      <w:r w:rsidRPr="00751792">
        <w:rPr>
          <w:rtl/>
        </w:rPr>
        <w:t xml:space="preserve"> על ידי חברי הכנסת מיכאל מלכיאלי ומשה אבוטובול (פ/609/22; </w:t>
      </w:r>
      <w:r w:rsidRPr="00751792">
        <w:rPr>
          <w:rFonts w:hint="eastAsia"/>
          <w:rtl/>
        </w:rPr>
        <w:t>פ</w:t>
      </w:r>
      <w:r w:rsidRPr="00751792">
        <w:rPr>
          <w:rtl/>
        </w:rPr>
        <w:t>/408/23)</w:t>
      </w:r>
      <w:r>
        <w:rPr>
          <w:rFonts w:hint="cs"/>
          <w:rtl/>
        </w:rPr>
        <w:t>,</w:t>
      </w:r>
      <w:r w:rsidRPr="00751792">
        <w:rPr>
          <w:rFonts w:hint="cs"/>
          <w:rtl/>
        </w:rPr>
        <w:t xml:space="preserve"> על שולחן הכנסת העשרים וארבע על ידי חבר הכנסת מיכאל מלכיאלי (פ/268/24) ועל שולחן הכנסת העשרים וחמש על ידי חברי הכנסת מיכאל מלכיאלי ואוריאל בוסו (פ/444/25), על ידי חבר הכנסת אחמד טיבי וקבוצת חברי הכנסת (פ/1202/25), על ידי חבר הכנסת מיכאל מרדכי ביטון (פ/1620/25)</w:t>
      </w:r>
      <w:r>
        <w:rPr>
          <w:rFonts w:hint="cs"/>
          <w:rtl/>
        </w:rPr>
        <w:t xml:space="preserve">, </w:t>
      </w:r>
      <w:r w:rsidRPr="00751792">
        <w:rPr>
          <w:rFonts w:hint="cs"/>
          <w:rtl/>
        </w:rPr>
        <w:t>על ידי חבר הכנסת ואליד אלהואשלה (פ/2550/25)</w:t>
      </w:r>
      <w:r w:rsidR="003158E2">
        <w:rPr>
          <w:rFonts w:hint="cs"/>
          <w:rtl/>
        </w:rPr>
        <w:t>,</w:t>
      </w:r>
      <w:r>
        <w:rPr>
          <w:rFonts w:hint="cs"/>
          <w:rtl/>
        </w:rPr>
        <w:t xml:space="preserve"> על ידי חברת הכנסת נעמה לזימי (פ/2649/25)</w:t>
      </w:r>
      <w:r w:rsidR="003158E2">
        <w:rPr>
          <w:rFonts w:hint="cs"/>
          <w:rtl/>
        </w:rPr>
        <w:t xml:space="preserve"> ועל ידי חברי הכנסת יונתן מישרקי וארז מלול (פ/3298/25)</w:t>
      </w:r>
      <w:r w:rsidRPr="00751792">
        <w:rPr>
          <w:rFonts w:hint="cs"/>
          <w:rtl/>
        </w:rPr>
        <w:t>.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105B5132" w14:textId="77777777" w:rsidR="000C459E" w:rsidRDefault="009716C8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1A46B81E" w14:textId="77777777" w:rsidR="000C459E" w:rsidRDefault="009716C8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26121F48" w14:textId="77777777" w:rsidR="000C459E" w:rsidRDefault="009716C8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2046D278" w14:textId="77777777" w:rsidR="000C459E" w:rsidRDefault="009716C8">
      <w:pPr>
        <w:jc w:val="left"/>
      </w:pPr>
      <w:r>
        <w:rPr>
          <w:rFonts w:eastAsia="David" w:hint="cs"/>
          <w:sz w:val="26"/>
          <w:szCs w:val="26"/>
          <w:rtl/>
        </w:rPr>
        <w:t>כ"ח בתמוז התשפ"ג (17.</w:t>
      </w:r>
      <w:r>
        <w:rPr>
          <w:rFonts w:eastAsia="David" w:hint="cs"/>
          <w:sz w:val="26"/>
          <w:szCs w:val="26"/>
          <w:rtl/>
        </w:rPr>
        <w:t xml:space="preserve">07.2023) </w:t>
      </w:r>
    </w:p>
    <w:p w14:paraId="7B769C69" w14:textId="77777777" w:rsidR="000C459E" w:rsidRDefault="000C459E">
      <w:pPr>
        <w:spacing w:line="276" w:lineRule="auto"/>
        <w:jc w:val="left"/>
      </w:pPr>
    </w:p>
    <w:sectPr w:rsidR="000C459E" w:rsidSect="009716C8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78FDFBDD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9716C8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9716C8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30076DE" w14:textId="77777777" w:rsidR="006C5913" w:rsidRDefault="006C5913" w:rsidP="006C5913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התשנ"ה, עמ' 210.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C459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158E2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C5913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D70CC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716C8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564D7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D1C9B13-1322-429E-9100-B5599CEC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6C8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16C8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9716C8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9716C8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9716C8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716C8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9716C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716C8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9716C8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716C8"/>
    <w:rPr>
      <w:sz w:val="36"/>
      <w:szCs w:val="52"/>
    </w:rPr>
  </w:style>
  <w:style w:type="paragraph" w:customStyle="1" w:styleId="Cover3-Haknesset">
    <w:name w:val="Cover 3-Haknesset"/>
    <w:basedOn w:val="Cover1-Reshumot"/>
    <w:rsid w:val="009716C8"/>
    <w:rPr>
      <w:b/>
      <w:bCs/>
      <w:spacing w:val="60"/>
    </w:rPr>
  </w:style>
  <w:style w:type="paragraph" w:customStyle="1" w:styleId="Cover4-Date">
    <w:name w:val="Cover 4-Date"/>
    <w:basedOn w:val="a"/>
    <w:rsid w:val="009716C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9716C8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9716C8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716C8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9716C8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9716C8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9716C8"/>
    <w:pPr>
      <w:outlineLvl w:val="2"/>
    </w:pPr>
  </w:style>
  <w:style w:type="paragraph" w:customStyle="1" w:styleId="TableBlock">
    <w:name w:val="Table Block"/>
    <w:basedOn w:val="TableText"/>
    <w:rsid w:val="009716C8"/>
    <w:pPr>
      <w:jc w:val="both"/>
    </w:pPr>
  </w:style>
  <w:style w:type="paragraph" w:customStyle="1" w:styleId="TableHead">
    <w:name w:val="Table Head"/>
    <w:basedOn w:val="TableText"/>
    <w:rsid w:val="009716C8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716C8"/>
    <w:pPr>
      <w:outlineLvl w:val="9"/>
    </w:pPr>
  </w:style>
  <w:style w:type="paragraph" w:customStyle="1" w:styleId="Hesber">
    <w:name w:val="Hesber"/>
    <w:basedOn w:val="a"/>
    <w:rsid w:val="009716C8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9716C8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9716C8"/>
    <w:rPr>
      <w:vertAlign w:val="superscript"/>
    </w:rPr>
  </w:style>
  <w:style w:type="paragraph" w:customStyle="1" w:styleId="HesberHeading">
    <w:name w:val="Hesber Heading"/>
    <w:basedOn w:val="Hesber"/>
    <w:rsid w:val="009716C8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9716C8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9716C8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9716C8"/>
    <w:rPr>
      <w:vertAlign w:val="superscript"/>
    </w:rPr>
  </w:style>
  <w:style w:type="paragraph" w:customStyle="1" w:styleId="TableBlockOutdent">
    <w:name w:val="Table BlockOutdent"/>
    <w:basedOn w:val="TableBlock"/>
    <w:rsid w:val="009716C8"/>
    <w:pPr>
      <w:ind w:left="624" w:hanging="624"/>
    </w:pPr>
  </w:style>
  <w:style w:type="paragraph" w:styleId="a7">
    <w:name w:val="header"/>
    <w:basedOn w:val="a"/>
    <w:rsid w:val="009716C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716C8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9716C8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9716C8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9716C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9716C8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9716C8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9716C8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9716C8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9716C8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9716C8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9716C8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9716C8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9716C8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9716C8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9716C8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9716C8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9716C8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9716C8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9716C8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9716C8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9716C8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9716C8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9716C8"/>
    <w:rPr>
      <w:rFonts w:eastAsia="Times New Roman"/>
    </w:rPr>
  </w:style>
  <w:style w:type="paragraph" w:styleId="ae">
    <w:name w:val="List Paragraph"/>
    <w:basedOn w:val="a"/>
    <w:uiPriority w:val="34"/>
    <w:qFormat/>
    <w:rsid w:val="009716C8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97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9716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9716C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9716C8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9716C8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7423-774F-4B1D-A54E-361B29B9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290d5b49-c690-4c6f-bbb9-1e50dab33ee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BE7BF-0842-4C60-B983-4FBC1505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381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8</cp:revision>
  <cp:lastPrinted>2013-07-04T08:25:00Z</cp:lastPrinted>
  <dcterms:created xsi:type="dcterms:W3CDTF">2015-04-20T09:58:00Z</dcterms:created>
  <dcterms:modified xsi:type="dcterms:W3CDTF">2023-07-13T11:59:00Z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2208747</vt:r8>
  </property>
</Properties>
</file>