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2207777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אריאל קלנר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D2AC39C" w:rsidR="00E13C27" w:rsidRPr="00E06736" w:rsidRDefault="00904591" w:rsidP="005B3008">
      <w:pPr>
        <w:pStyle w:val="David"/>
        <w:spacing w:line="240" w:lineRule="auto"/>
        <w:ind w:left="6424" w:firstLine="56"/>
        <w:rPr>
          <w:rtl/>
        </w:rPr>
      </w:pPr>
      <w:bookmarkStart w:id="6" w:name="Private_Number"/>
      <w:bookmarkStart w:id="7" w:name="_GoBack"/>
      <w:bookmarkEnd w:id="7"/>
      <w:r>
        <w:rPr>
          <w:rFonts w:hint="cs"/>
          <w:rtl/>
        </w:rPr>
        <w:t>פ/3653/25</w:t>
      </w:r>
      <w:bookmarkEnd w:id="6"/>
    </w:p>
    <w:p w14:paraId="7F6961AC" w14:textId="77777777" w:rsidR="00E13C27" w:rsidRDefault="00E13C27" w:rsidP="00E13C27">
      <w:pPr>
        <w:ind w:left="2880" w:firstLine="720"/>
        <w:rPr>
          <w:sz w:val="26"/>
          <w:szCs w:val="26"/>
          <w:rtl/>
        </w:rPr>
      </w:pPr>
    </w:p>
    <w:p w14:paraId="7F6961AD" w14:textId="77777777" w:rsidR="00E13C27" w:rsidRDefault="00A443CF" w:rsidP="0021633A">
      <w:pPr>
        <w:pStyle w:val="HeadHatzaotHok"/>
        <w:rPr>
          <w:rtl/>
        </w:rPr>
      </w:pPr>
      <w:bookmarkStart w:id="8" w:name="LGS_Subject"/>
      <w:r>
        <w:rPr>
          <w:rFonts w:hint="cs"/>
          <w:rtl/>
        </w:rPr>
        <w:t>הצעת חוק הגברת התחרות בשוק השידורים (תיקוני חקיקה), התשפ"ג–2023</w:t>
      </w:r>
      <w:bookmarkEnd w:id="8"/>
    </w:p>
    <w:p w14:paraId="3F12E062" w14:textId="77777777" w:rsidR="00036F52" w:rsidRPr="00F67051" w:rsidRDefault="00036F52" w:rsidP="00DB419E">
      <w:pPr>
        <w:pStyle w:val="HeadHatzaotHok"/>
        <w:jc w:val="both"/>
        <w:rPr>
          <w:rtl/>
        </w:rPr>
      </w:pP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5895"/>
      </w:tblGrid>
      <w:tr w:rsidR="00036F52" w14:paraId="7CA9D5DF" w14:textId="77777777" w:rsidTr="005B3008">
        <w:trPr>
          <w:cantSplit/>
        </w:trPr>
        <w:tc>
          <w:tcPr>
            <w:tcW w:w="1870" w:type="dxa"/>
          </w:tcPr>
          <w:p w14:paraId="7C088263" w14:textId="77777777" w:rsidR="00036F52" w:rsidRDefault="00036F52" w:rsidP="00303A9A">
            <w:pPr>
              <w:pStyle w:val="TableSideHeading"/>
              <w:keepLines w:val="0"/>
            </w:pPr>
            <w:r>
              <w:rPr>
                <w:rFonts w:hint="cs"/>
                <w:rtl/>
              </w:rPr>
              <w:t xml:space="preserve">תיקון </w:t>
            </w:r>
            <w:r w:rsidRPr="00C21C13">
              <w:rPr>
                <w:rtl/>
              </w:rPr>
              <w:t>חוק הפצת שידורים באמצעות תחנות שידור ספרתיות</w:t>
            </w:r>
          </w:p>
        </w:tc>
        <w:tc>
          <w:tcPr>
            <w:tcW w:w="624" w:type="dxa"/>
            <w:hideMark/>
          </w:tcPr>
          <w:p w14:paraId="6D7F13FC" w14:textId="77777777" w:rsidR="00036F52" w:rsidRDefault="00036F52" w:rsidP="00303A9A">
            <w:pPr>
              <w:pStyle w:val="TableText"/>
              <w:keepLines w:val="0"/>
              <w:rPr>
                <w:rtl/>
              </w:rPr>
            </w:pPr>
            <w:r>
              <w:rPr>
                <w:rFonts w:hint="cs"/>
                <w:rtl/>
              </w:rPr>
              <w:t>1.</w:t>
            </w:r>
          </w:p>
        </w:tc>
        <w:tc>
          <w:tcPr>
            <w:tcW w:w="7143" w:type="dxa"/>
            <w:gridSpan w:val="3"/>
          </w:tcPr>
          <w:p w14:paraId="3F2EACD9" w14:textId="77777777" w:rsidR="00036F52" w:rsidRDefault="00036F52" w:rsidP="005B3008">
            <w:pPr>
              <w:pStyle w:val="TableBlock"/>
            </w:pPr>
            <w:r>
              <w:rPr>
                <w:rFonts w:hint="cs"/>
                <w:rtl/>
              </w:rPr>
              <w:t>ב</w:t>
            </w:r>
            <w:r w:rsidRPr="00C21C13">
              <w:rPr>
                <w:rtl/>
              </w:rPr>
              <w:t xml:space="preserve">חוק הפצת שידורים באמצעות תחנות שידור ספרתיות, </w:t>
            </w:r>
            <w:proofErr w:type="spellStart"/>
            <w:r>
              <w:rPr>
                <w:rFonts w:hint="cs"/>
                <w:rtl/>
              </w:rPr>
              <w:t>ה</w:t>
            </w:r>
            <w:r w:rsidRPr="00C21C13">
              <w:rPr>
                <w:rtl/>
              </w:rPr>
              <w:t>תשע"ב</w:t>
            </w:r>
            <w:proofErr w:type="spellEnd"/>
            <w:r>
              <w:rPr>
                <w:rFonts w:hint="cs"/>
                <w:rtl/>
              </w:rPr>
              <w:t>–</w:t>
            </w:r>
            <w:r w:rsidRPr="00C21C13">
              <w:rPr>
                <w:rtl/>
              </w:rPr>
              <w:t>2012</w:t>
            </w:r>
            <w:r w:rsidRPr="005B3008">
              <w:rPr>
                <w:rStyle w:val="a5"/>
                <w:rFonts w:ascii="David" w:hAnsi="David"/>
                <w:sz w:val="26"/>
                <w:rtl/>
              </w:rPr>
              <w:footnoteReference w:id="2"/>
            </w:r>
            <w:r>
              <w:rPr>
                <w:rFonts w:hint="cs"/>
                <w:rtl/>
              </w:rPr>
              <w:t>, בסעיף 9, אחרי סעיף קטן (ז) יבוא:</w:t>
            </w:r>
          </w:p>
        </w:tc>
      </w:tr>
      <w:tr w:rsidR="00036F52" w14:paraId="3D219CB5" w14:textId="77777777" w:rsidTr="005B3008">
        <w:trPr>
          <w:cantSplit/>
        </w:trPr>
        <w:tc>
          <w:tcPr>
            <w:tcW w:w="1870" w:type="dxa"/>
          </w:tcPr>
          <w:p w14:paraId="1A7ED270" w14:textId="77777777" w:rsidR="00036F52" w:rsidRDefault="00036F52" w:rsidP="00303A9A">
            <w:pPr>
              <w:pStyle w:val="TableSideHeading"/>
            </w:pPr>
          </w:p>
        </w:tc>
        <w:tc>
          <w:tcPr>
            <w:tcW w:w="624" w:type="dxa"/>
          </w:tcPr>
          <w:p w14:paraId="0E5BC112" w14:textId="77777777" w:rsidR="00036F52" w:rsidRDefault="00036F52" w:rsidP="00303A9A">
            <w:pPr>
              <w:pStyle w:val="TableText"/>
            </w:pPr>
          </w:p>
        </w:tc>
        <w:tc>
          <w:tcPr>
            <w:tcW w:w="624" w:type="dxa"/>
          </w:tcPr>
          <w:p w14:paraId="710A93B9" w14:textId="77777777" w:rsidR="00036F52" w:rsidRDefault="00036F52" w:rsidP="00303A9A">
            <w:pPr>
              <w:pStyle w:val="TableText"/>
            </w:pPr>
            <w:r>
              <w:rPr>
                <w:rFonts w:hint="cs"/>
                <w:rtl/>
              </w:rPr>
              <w:t>"(ח)</w:t>
            </w:r>
          </w:p>
        </w:tc>
        <w:tc>
          <w:tcPr>
            <w:tcW w:w="6519" w:type="dxa"/>
            <w:gridSpan w:val="2"/>
          </w:tcPr>
          <w:p w14:paraId="3DD20549" w14:textId="77777777" w:rsidR="00036F52" w:rsidRDefault="00036F52" w:rsidP="005B3008">
            <w:pPr>
              <w:pStyle w:val="TableBlock"/>
            </w:pPr>
            <w:r>
              <w:rPr>
                <w:rFonts w:hint="cs"/>
                <w:rtl/>
              </w:rPr>
              <w:t>(1)</w:t>
            </w:r>
            <w:r>
              <w:rPr>
                <w:rtl/>
              </w:rPr>
              <w:tab/>
            </w:r>
            <w:r w:rsidRPr="00DF4348">
              <w:rPr>
                <w:rtl/>
              </w:rPr>
              <w:t>על אף האמור ב</w:t>
            </w:r>
            <w:r>
              <w:rPr>
                <w:rFonts w:hint="cs"/>
                <w:rtl/>
              </w:rPr>
              <w:t xml:space="preserve">הוראות לפי </w:t>
            </w:r>
            <w:r w:rsidRPr="00DF4348">
              <w:rPr>
                <w:rtl/>
              </w:rPr>
              <w:t xml:space="preserve">סעיף זה, </w:t>
            </w:r>
            <w:r>
              <w:rPr>
                <w:rFonts w:hint="cs"/>
                <w:rtl/>
              </w:rPr>
              <w:t xml:space="preserve">לא ישלם גוף מהגופים המפורטים להלן </w:t>
            </w:r>
            <w:r w:rsidRPr="00DF4348">
              <w:rPr>
                <w:rtl/>
              </w:rPr>
              <w:t xml:space="preserve">דמי הפצה העולים על </w:t>
            </w:r>
            <w:r>
              <w:rPr>
                <w:rFonts w:hint="cs"/>
                <w:rtl/>
              </w:rPr>
              <w:t>15,000 שקלים</w:t>
            </w:r>
            <w:r w:rsidRPr="00DF4348">
              <w:rPr>
                <w:rtl/>
              </w:rPr>
              <w:t xml:space="preserve"> חדשים בשנה</w:t>
            </w:r>
            <w:r>
              <w:rPr>
                <w:rFonts w:hint="cs"/>
                <w:rtl/>
              </w:rPr>
              <w:t xml:space="preserve">: </w:t>
            </w:r>
          </w:p>
        </w:tc>
      </w:tr>
      <w:tr w:rsidR="00036F52" w14:paraId="20977703" w14:textId="77777777" w:rsidTr="005B3008">
        <w:trPr>
          <w:cantSplit/>
        </w:trPr>
        <w:tc>
          <w:tcPr>
            <w:tcW w:w="1870" w:type="dxa"/>
          </w:tcPr>
          <w:p w14:paraId="4D85A7C4" w14:textId="77777777" w:rsidR="00036F52" w:rsidRDefault="00036F52" w:rsidP="00303A9A">
            <w:pPr>
              <w:pStyle w:val="TableSideHeading"/>
            </w:pPr>
          </w:p>
        </w:tc>
        <w:tc>
          <w:tcPr>
            <w:tcW w:w="624" w:type="dxa"/>
          </w:tcPr>
          <w:p w14:paraId="1B81E625" w14:textId="77777777" w:rsidR="00036F52" w:rsidRDefault="00036F52" w:rsidP="00303A9A">
            <w:pPr>
              <w:pStyle w:val="TableText"/>
            </w:pPr>
          </w:p>
        </w:tc>
        <w:tc>
          <w:tcPr>
            <w:tcW w:w="624" w:type="dxa"/>
          </w:tcPr>
          <w:p w14:paraId="6166C80C" w14:textId="77777777" w:rsidR="00036F52" w:rsidRDefault="00036F52" w:rsidP="00303A9A">
            <w:pPr>
              <w:pStyle w:val="TableText"/>
            </w:pPr>
          </w:p>
        </w:tc>
        <w:tc>
          <w:tcPr>
            <w:tcW w:w="624" w:type="dxa"/>
          </w:tcPr>
          <w:p w14:paraId="3F154D73" w14:textId="77777777" w:rsidR="00036F52" w:rsidRDefault="00036F52" w:rsidP="00303A9A">
            <w:pPr>
              <w:pStyle w:val="TableText"/>
            </w:pPr>
          </w:p>
        </w:tc>
        <w:tc>
          <w:tcPr>
            <w:tcW w:w="5895" w:type="dxa"/>
          </w:tcPr>
          <w:p w14:paraId="2F490D7E" w14:textId="77777777" w:rsidR="00036F52" w:rsidRDefault="00036F52" w:rsidP="005B3008">
            <w:pPr>
              <w:pStyle w:val="TableBlock"/>
            </w:pPr>
            <w:r>
              <w:rPr>
                <w:rFonts w:hint="cs"/>
                <w:rtl/>
              </w:rPr>
              <w:t>(א)</w:t>
            </w:r>
            <w:r>
              <w:rPr>
                <w:rtl/>
              </w:rPr>
              <w:tab/>
            </w:r>
            <w:r>
              <w:rPr>
                <w:rFonts w:hint="cs"/>
                <w:rtl/>
              </w:rPr>
              <w:t xml:space="preserve">בעל רישיון </w:t>
            </w:r>
            <w:r w:rsidRPr="00DF4348">
              <w:rPr>
                <w:rtl/>
              </w:rPr>
              <w:t>ערוץ זעיר</w:t>
            </w:r>
            <w:r>
              <w:rPr>
                <w:rFonts w:hint="cs"/>
                <w:rtl/>
              </w:rPr>
              <w:t xml:space="preserve"> כהגדרתו בסעיף 71ו לחוק </w:t>
            </w:r>
            <w:r w:rsidRPr="0048702E">
              <w:rPr>
                <w:rtl/>
              </w:rPr>
              <w:t>הרשות השנ</w:t>
            </w:r>
            <w:r>
              <w:rPr>
                <w:rFonts w:hint="cs"/>
                <w:rtl/>
              </w:rPr>
              <w:t>י</w:t>
            </w:r>
            <w:r w:rsidRPr="0048702E">
              <w:rPr>
                <w:rtl/>
              </w:rPr>
              <w:t>יה</w:t>
            </w:r>
            <w:r>
              <w:rPr>
                <w:rFonts w:hint="cs"/>
                <w:rtl/>
              </w:rPr>
              <w:t>;</w:t>
            </w:r>
          </w:p>
        </w:tc>
      </w:tr>
      <w:tr w:rsidR="00036F52" w14:paraId="00D250BA" w14:textId="77777777" w:rsidTr="005B3008">
        <w:trPr>
          <w:cantSplit/>
        </w:trPr>
        <w:tc>
          <w:tcPr>
            <w:tcW w:w="1870" w:type="dxa"/>
          </w:tcPr>
          <w:p w14:paraId="6DBD7891" w14:textId="77777777" w:rsidR="00036F52" w:rsidRDefault="00036F52" w:rsidP="00303A9A">
            <w:pPr>
              <w:pStyle w:val="TableSideHeading"/>
            </w:pPr>
          </w:p>
        </w:tc>
        <w:tc>
          <w:tcPr>
            <w:tcW w:w="624" w:type="dxa"/>
          </w:tcPr>
          <w:p w14:paraId="18C741A6" w14:textId="77777777" w:rsidR="00036F52" w:rsidRDefault="00036F52" w:rsidP="00303A9A">
            <w:pPr>
              <w:pStyle w:val="TableText"/>
            </w:pPr>
          </w:p>
        </w:tc>
        <w:tc>
          <w:tcPr>
            <w:tcW w:w="624" w:type="dxa"/>
          </w:tcPr>
          <w:p w14:paraId="2F2E313B" w14:textId="77777777" w:rsidR="00036F52" w:rsidRDefault="00036F52" w:rsidP="00303A9A">
            <w:pPr>
              <w:pStyle w:val="TableText"/>
            </w:pPr>
          </w:p>
        </w:tc>
        <w:tc>
          <w:tcPr>
            <w:tcW w:w="624" w:type="dxa"/>
          </w:tcPr>
          <w:p w14:paraId="1A23798E" w14:textId="77777777" w:rsidR="00036F52" w:rsidRDefault="00036F52" w:rsidP="00303A9A">
            <w:pPr>
              <w:pStyle w:val="TableText"/>
            </w:pPr>
          </w:p>
        </w:tc>
        <w:tc>
          <w:tcPr>
            <w:tcW w:w="5895" w:type="dxa"/>
          </w:tcPr>
          <w:p w14:paraId="5DFAFD3F" w14:textId="77777777" w:rsidR="00036F52" w:rsidRDefault="00036F52" w:rsidP="005B3008">
            <w:pPr>
              <w:pStyle w:val="TableBlock"/>
            </w:pPr>
            <w:r>
              <w:rPr>
                <w:rFonts w:hint="cs"/>
                <w:rtl/>
              </w:rPr>
              <w:t>(ב)</w:t>
            </w:r>
            <w:r>
              <w:rPr>
                <w:rtl/>
              </w:rPr>
              <w:tab/>
            </w:r>
            <w:r>
              <w:rPr>
                <w:rFonts w:hint="cs"/>
                <w:rtl/>
              </w:rPr>
              <w:t xml:space="preserve">בעל רישיון </w:t>
            </w:r>
            <w:r w:rsidRPr="00DF4348">
              <w:rPr>
                <w:rtl/>
              </w:rPr>
              <w:t>זעיר ייעודי</w:t>
            </w:r>
            <w:r>
              <w:rPr>
                <w:rFonts w:hint="cs"/>
                <w:rtl/>
              </w:rPr>
              <w:t xml:space="preserve"> כהגדרתו בסעיף 71ו לחוק </w:t>
            </w:r>
            <w:r w:rsidRPr="0048702E">
              <w:rPr>
                <w:rtl/>
              </w:rPr>
              <w:t>הרשות השני</w:t>
            </w:r>
            <w:r>
              <w:rPr>
                <w:rFonts w:hint="cs"/>
                <w:rtl/>
              </w:rPr>
              <w:t>י</w:t>
            </w:r>
            <w:r w:rsidRPr="0048702E">
              <w:rPr>
                <w:rtl/>
              </w:rPr>
              <w:t>ה</w:t>
            </w:r>
            <w:r>
              <w:rPr>
                <w:rFonts w:hint="cs"/>
                <w:rtl/>
              </w:rPr>
              <w:t>;</w:t>
            </w:r>
          </w:p>
        </w:tc>
      </w:tr>
      <w:tr w:rsidR="00036F52" w14:paraId="6CA2585F" w14:textId="77777777" w:rsidTr="005B3008">
        <w:trPr>
          <w:cantSplit/>
        </w:trPr>
        <w:tc>
          <w:tcPr>
            <w:tcW w:w="1870" w:type="dxa"/>
          </w:tcPr>
          <w:p w14:paraId="1F6FA632" w14:textId="77777777" w:rsidR="00036F52" w:rsidRDefault="00036F52" w:rsidP="00303A9A">
            <w:pPr>
              <w:pStyle w:val="TableSideHeading"/>
            </w:pPr>
          </w:p>
        </w:tc>
        <w:tc>
          <w:tcPr>
            <w:tcW w:w="624" w:type="dxa"/>
          </w:tcPr>
          <w:p w14:paraId="19478F9A" w14:textId="77777777" w:rsidR="00036F52" w:rsidRDefault="00036F52" w:rsidP="00303A9A">
            <w:pPr>
              <w:pStyle w:val="TableText"/>
            </w:pPr>
          </w:p>
        </w:tc>
        <w:tc>
          <w:tcPr>
            <w:tcW w:w="624" w:type="dxa"/>
          </w:tcPr>
          <w:p w14:paraId="695CD834" w14:textId="77777777" w:rsidR="00036F52" w:rsidRDefault="00036F52" w:rsidP="00303A9A">
            <w:pPr>
              <w:pStyle w:val="TableText"/>
            </w:pPr>
          </w:p>
        </w:tc>
        <w:tc>
          <w:tcPr>
            <w:tcW w:w="624" w:type="dxa"/>
          </w:tcPr>
          <w:p w14:paraId="29DF2F80" w14:textId="77777777" w:rsidR="00036F52" w:rsidRDefault="00036F52" w:rsidP="00303A9A">
            <w:pPr>
              <w:pStyle w:val="TableText"/>
            </w:pPr>
          </w:p>
        </w:tc>
        <w:tc>
          <w:tcPr>
            <w:tcW w:w="5895" w:type="dxa"/>
          </w:tcPr>
          <w:p w14:paraId="722E132B" w14:textId="77777777" w:rsidR="00036F52" w:rsidRDefault="00036F52" w:rsidP="005B3008">
            <w:pPr>
              <w:pStyle w:val="TableBlock"/>
            </w:pPr>
            <w:r>
              <w:rPr>
                <w:rFonts w:hint="cs"/>
                <w:rtl/>
              </w:rPr>
              <w:t>(ג)</w:t>
            </w:r>
            <w:r>
              <w:rPr>
                <w:rtl/>
              </w:rPr>
              <w:tab/>
            </w:r>
            <w:r>
              <w:rPr>
                <w:rFonts w:hint="cs"/>
                <w:rtl/>
              </w:rPr>
              <w:t>בעל זיכיון לשידורי</w:t>
            </w:r>
            <w:r w:rsidRPr="00DF4348">
              <w:rPr>
                <w:rtl/>
              </w:rPr>
              <w:t xml:space="preserve"> רדיו</w:t>
            </w:r>
            <w:r>
              <w:rPr>
                <w:rFonts w:hint="cs"/>
                <w:rtl/>
              </w:rPr>
              <w:t>.</w:t>
            </w:r>
          </w:p>
        </w:tc>
      </w:tr>
      <w:tr w:rsidR="00036F52" w14:paraId="72D4BA7A" w14:textId="77777777" w:rsidTr="005B3008">
        <w:trPr>
          <w:cantSplit/>
        </w:trPr>
        <w:tc>
          <w:tcPr>
            <w:tcW w:w="1870" w:type="dxa"/>
          </w:tcPr>
          <w:p w14:paraId="2B25292D" w14:textId="77777777" w:rsidR="00036F52" w:rsidRDefault="00036F52" w:rsidP="00303A9A">
            <w:pPr>
              <w:pStyle w:val="TableSideHeading"/>
            </w:pPr>
          </w:p>
        </w:tc>
        <w:tc>
          <w:tcPr>
            <w:tcW w:w="624" w:type="dxa"/>
          </w:tcPr>
          <w:p w14:paraId="4BA97625" w14:textId="77777777" w:rsidR="00036F52" w:rsidRDefault="00036F52" w:rsidP="00303A9A">
            <w:pPr>
              <w:pStyle w:val="TableText"/>
            </w:pPr>
          </w:p>
        </w:tc>
        <w:tc>
          <w:tcPr>
            <w:tcW w:w="624" w:type="dxa"/>
          </w:tcPr>
          <w:p w14:paraId="3F263844" w14:textId="77777777" w:rsidR="00036F52" w:rsidRDefault="00036F52" w:rsidP="00303A9A">
            <w:pPr>
              <w:pStyle w:val="TableText"/>
              <w:rPr>
                <w:rtl/>
              </w:rPr>
            </w:pPr>
          </w:p>
        </w:tc>
        <w:tc>
          <w:tcPr>
            <w:tcW w:w="6519" w:type="dxa"/>
            <w:gridSpan w:val="2"/>
          </w:tcPr>
          <w:p w14:paraId="384965D7" w14:textId="77777777" w:rsidR="00036F52" w:rsidRDefault="00036F52" w:rsidP="005B3008">
            <w:pPr>
              <w:pStyle w:val="TableBlock"/>
              <w:rPr>
                <w:rtl/>
              </w:rPr>
            </w:pPr>
            <w:r>
              <w:rPr>
                <w:rFonts w:hint="cs"/>
                <w:rtl/>
              </w:rPr>
              <w:t>(2)</w:t>
            </w:r>
            <w:r>
              <w:rPr>
                <w:rtl/>
              </w:rPr>
              <w:tab/>
            </w:r>
            <w:r>
              <w:rPr>
                <w:rFonts w:hint="cs"/>
                <w:rtl/>
              </w:rPr>
              <w:t xml:space="preserve">היה אחד מהגופים האמורים בפסקה (1) בעל חוב </w:t>
            </w:r>
            <w:r w:rsidRPr="00B977B8">
              <w:rPr>
                <w:rFonts w:hint="eastAsia"/>
                <w:rtl/>
              </w:rPr>
              <w:t>לרשות</w:t>
            </w:r>
            <w:r w:rsidRPr="00B977B8">
              <w:rPr>
                <w:rtl/>
              </w:rPr>
              <w:t xml:space="preserve"> </w:t>
            </w:r>
            <w:r w:rsidRPr="00B977B8">
              <w:rPr>
                <w:rFonts w:hint="eastAsia"/>
                <w:rtl/>
              </w:rPr>
              <w:t>השנייה</w:t>
            </w:r>
            <w:r w:rsidRPr="00B977B8">
              <w:rPr>
                <w:rtl/>
              </w:rPr>
              <w:t>,</w:t>
            </w:r>
            <w:r>
              <w:rPr>
                <w:rFonts w:hint="cs"/>
                <w:rtl/>
              </w:rPr>
              <w:t xml:space="preserve"> לא תימנע עלייתו לשידורים </w:t>
            </w:r>
            <w:proofErr w:type="spellStart"/>
            <w:r>
              <w:rPr>
                <w:rFonts w:hint="cs"/>
                <w:rtl/>
              </w:rPr>
              <w:t>במרבב</w:t>
            </w:r>
            <w:proofErr w:type="spellEnd"/>
            <w:r>
              <w:rPr>
                <w:rFonts w:hint="cs"/>
                <w:rtl/>
              </w:rPr>
              <w:t xml:space="preserve"> בשל אותו חוב; </w:t>
            </w:r>
            <w:r w:rsidRPr="00DE7541">
              <w:rPr>
                <w:rFonts w:hint="eastAsia"/>
                <w:rtl/>
              </w:rPr>
              <w:t>אין</w:t>
            </w:r>
            <w:r w:rsidRPr="00DE7541">
              <w:rPr>
                <w:rtl/>
              </w:rPr>
              <w:t xml:space="preserve"> </w:t>
            </w:r>
            <w:r w:rsidRPr="00DE7541">
              <w:rPr>
                <w:rFonts w:hint="eastAsia"/>
                <w:rtl/>
              </w:rPr>
              <w:t>בהוראות</w:t>
            </w:r>
            <w:r w:rsidRPr="00FF10BB">
              <w:rPr>
                <w:rtl/>
              </w:rPr>
              <w:t xml:space="preserve"> </w:t>
            </w:r>
            <w:r w:rsidRPr="00FF10BB">
              <w:rPr>
                <w:rFonts w:hint="eastAsia"/>
                <w:rtl/>
              </w:rPr>
              <w:t>פסקה</w:t>
            </w:r>
            <w:r w:rsidRPr="00FF10BB">
              <w:rPr>
                <w:rtl/>
              </w:rPr>
              <w:t xml:space="preserve"> </w:t>
            </w:r>
            <w:r w:rsidRPr="00FF10BB">
              <w:rPr>
                <w:rFonts w:hint="eastAsia"/>
                <w:rtl/>
              </w:rPr>
              <w:t>זו</w:t>
            </w:r>
            <w:r w:rsidRPr="00FF10BB">
              <w:rPr>
                <w:rtl/>
              </w:rPr>
              <w:t xml:space="preserve"> </w:t>
            </w:r>
            <w:r w:rsidRPr="00FF10BB">
              <w:rPr>
                <w:rFonts w:hint="eastAsia"/>
                <w:rtl/>
              </w:rPr>
              <w:t>כדי</w:t>
            </w:r>
            <w:r w:rsidRPr="00DE7541">
              <w:rPr>
                <w:rtl/>
              </w:rPr>
              <w:t xml:space="preserve"> </w:t>
            </w:r>
            <w:r w:rsidRPr="00DE7541">
              <w:rPr>
                <w:rFonts w:hint="eastAsia"/>
                <w:rtl/>
              </w:rPr>
              <w:t>לגרוע</w:t>
            </w:r>
            <w:r w:rsidRPr="00DE7541">
              <w:rPr>
                <w:rtl/>
              </w:rPr>
              <w:t xml:space="preserve"> </w:t>
            </w:r>
            <w:r w:rsidRPr="00DE7541">
              <w:rPr>
                <w:rFonts w:hint="eastAsia"/>
                <w:rtl/>
              </w:rPr>
              <w:t>מסמכות</w:t>
            </w:r>
            <w:r w:rsidRPr="00DE7541">
              <w:rPr>
                <w:rtl/>
              </w:rPr>
              <w:t xml:space="preserve"> </w:t>
            </w:r>
            <w:r w:rsidRPr="00DE7541">
              <w:rPr>
                <w:rFonts w:hint="eastAsia"/>
                <w:rtl/>
              </w:rPr>
              <w:t>לגבות</w:t>
            </w:r>
            <w:r w:rsidRPr="00DE7541">
              <w:rPr>
                <w:rtl/>
              </w:rPr>
              <w:t xml:space="preserve"> </w:t>
            </w:r>
            <w:r w:rsidRPr="00DE7541">
              <w:rPr>
                <w:rFonts w:hint="eastAsia"/>
                <w:rtl/>
              </w:rPr>
              <w:t>חוב</w:t>
            </w:r>
            <w:r w:rsidRPr="00DE7541">
              <w:rPr>
                <w:rtl/>
              </w:rPr>
              <w:t xml:space="preserve"> </w:t>
            </w:r>
            <w:r w:rsidRPr="00DE7541">
              <w:rPr>
                <w:rFonts w:hint="eastAsia"/>
                <w:rtl/>
              </w:rPr>
              <w:t>כאמור</w:t>
            </w:r>
            <w:r w:rsidRPr="00DE7541">
              <w:rPr>
                <w:rtl/>
              </w:rPr>
              <w:t xml:space="preserve"> </w:t>
            </w:r>
            <w:r w:rsidRPr="00DE7541">
              <w:rPr>
                <w:rFonts w:hint="eastAsia"/>
                <w:rtl/>
              </w:rPr>
              <w:t>לפי</w:t>
            </w:r>
            <w:r w:rsidRPr="00DE7541">
              <w:rPr>
                <w:rtl/>
              </w:rPr>
              <w:t xml:space="preserve"> </w:t>
            </w:r>
            <w:r w:rsidRPr="00DE7541">
              <w:rPr>
                <w:rFonts w:hint="eastAsia"/>
                <w:rtl/>
              </w:rPr>
              <w:t>כל</w:t>
            </w:r>
            <w:r w:rsidRPr="00DE7541">
              <w:rPr>
                <w:rtl/>
              </w:rPr>
              <w:t xml:space="preserve"> </w:t>
            </w:r>
            <w:r w:rsidRPr="00DE7541">
              <w:rPr>
                <w:rFonts w:hint="eastAsia"/>
                <w:rtl/>
              </w:rPr>
              <w:t>דין</w:t>
            </w:r>
            <w:r w:rsidRPr="00DE7541">
              <w:rPr>
                <w:rtl/>
              </w:rPr>
              <w:t>."</w:t>
            </w:r>
          </w:p>
        </w:tc>
      </w:tr>
      <w:tr w:rsidR="00036F52" w14:paraId="02FE2D77" w14:textId="77777777" w:rsidTr="005B3008">
        <w:trPr>
          <w:cantSplit/>
        </w:trPr>
        <w:tc>
          <w:tcPr>
            <w:tcW w:w="1870" w:type="dxa"/>
          </w:tcPr>
          <w:p w14:paraId="6602BE33" w14:textId="77777777" w:rsidR="00036F52" w:rsidRDefault="00036F52" w:rsidP="00303A9A">
            <w:pPr>
              <w:pStyle w:val="TableSideHeading"/>
              <w:keepLines w:val="0"/>
            </w:pPr>
            <w:r>
              <w:rPr>
                <w:rFonts w:hint="cs"/>
                <w:rtl/>
              </w:rPr>
              <w:t xml:space="preserve">תיקון </w:t>
            </w:r>
            <w:r>
              <w:rPr>
                <w:rtl/>
              </w:rPr>
              <w:t>חוק השידור הציבורי הישראלי</w:t>
            </w:r>
          </w:p>
        </w:tc>
        <w:tc>
          <w:tcPr>
            <w:tcW w:w="624" w:type="dxa"/>
          </w:tcPr>
          <w:p w14:paraId="12478951" w14:textId="77777777" w:rsidR="00036F52" w:rsidRDefault="00036F52" w:rsidP="00303A9A">
            <w:pPr>
              <w:pStyle w:val="TableText"/>
              <w:keepLines w:val="0"/>
            </w:pPr>
            <w:r>
              <w:rPr>
                <w:rFonts w:hint="cs"/>
                <w:rtl/>
              </w:rPr>
              <w:t>2.</w:t>
            </w:r>
          </w:p>
        </w:tc>
        <w:tc>
          <w:tcPr>
            <w:tcW w:w="7143" w:type="dxa"/>
            <w:gridSpan w:val="3"/>
          </w:tcPr>
          <w:p w14:paraId="5D6B9349" w14:textId="77777777" w:rsidR="00036F52" w:rsidRDefault="00036F52" w:rsidP="005B3008">
            <w:pPr>
              <w:pStyle w:val="TableBlock"/>
              <w:rPr>
                <w:rtl/>
              </w:rPr>
            </w:pPr>
            <w:r>
              <w:rPr>
                <w:rFonts w:hint="cs"/>
                <w:rtl/>
              </w:rPr>
              <w:t>ב</w:t>
            </w:r>
            <w:r>
              <w:rPr>
                <w:rtl/>
              </w:rPr>
              <w:t xml:space="preserve">חוק השידור הציבורי הישראלי, </w:t>
            </w:r>
            <w:r>
              <w:rPr>
                <w:rFonts w:hint="cs"/>
                <w:rtl/>
              </w:rPr>
              <w:t>ה</w:t>
            </w:r>
            <w:r>
              <w:rPr>
                <w:rtl/>
              </w:rPr>
              <w:t>תשע"ד</w:t>
            </w:r>
            <w:r>
              <w:rPr>
                <w:rFonts w:hint="cs"/>
                <w:rtl/>
              </w:rPr>
              <w:t>–</w:t>
            </w:r>
            <w:r>
              <w:rPr>
                <w:rtl/>
              </w:rPr>
              <w:t>2014</w:t>
            </w:r>
            <w:r w:rsidRPr="005B3008">
              <w:rPr>
                <w:rStyle w:val="a5"/>
                <w:rFonts w:ascii="David" w:hAnsi="David"/>
                <w:sz w:val="26"/>
                <w:rtl/>
              </w:rPr>
              <w:footnoteReference w:id="3"/>
            </w:r>
            <w:r>
              <w:rPr>
                <w:rFonts w:hint="cs"/>
                <w:rtl/>
              </w:rPr>
              <w:t xml:space="preserve">, בסעיף 67(ג)  </w:t>
            </w:r>
            <w:r>
              <w:rPr>
                <w:rFonts w:hint="eastAsia"/>
                <w:rtl/>
              </w:rPr>
              <w:t>–</w:t>
            </w:r>
          </w:p>
        </w:tc>
      </w:tr>
      <w:tr w:rsidR="00036F52" w14:paraId="7BFD57EA" w14:textId="77777777" w:rsidTr="005B3008">
        <w:trPr>
          <w:cantSplit/>
        </w:trPr>
        <w:tc>
          <w:tcPr>
            <w:tcW w:w="1870" w:type="dxa"/>
          </w:tcPr>
          <w:p w14:paraId="6C22EED1" w14:textId="77777777" w:rsidR="00036F52" w:rsidRDefault="00036F52" w:rsidP="00303A9A">
            <w:pPr>
              <w:pStyle w:val="TableSideHeading"/>
            </w:pPr>
          </w:p>
        </w:tc>
        <w:tc>
          <w:tcPr>
            <w:tcW w:w="624" w:type="dxa"/>
          </w:tcPr>
          <w:p w14:paraId="1330B7CD" w14:textId="77777777" w:rsidR="00036F52" w:rsidRDefault="00036F52" w:rsidP="00303A9A">
            <w:pPr>
              <w:pStyle w:val="TableText"/>
            </w:pPr>
          </w:p>
        </w:tc>
        <w:tc>
          <w:tcPr>
            <w:tcW w:w="7143" w:type="dxa"/>
            <w:gridSpan w:val="3"/>
          </w:tcPr>
          <w:p w14:paraId="4F07DEDB" w14:textId="77777777" w:rsidR="00036F52" w:rsidRDefault="00036F52" w:rsidP="005B3008">
            <w:pPr>
              <w:pStyle w:val="TableBlock"/>
            </w:pPr>
            <w:r>
              <w:rPr>
                <w:rFonts w:hint="cs"/>
                <w:rtl/>
              </w:rPr>
              <w:t>(1)</w:t>
            </w:r>
            <w:r>
              <w:rPr>
                <w:rtl/>
              </w:rPr>
              <w:tab/>
            </w:r>
            <w:r>
              <w:rPr>
                <w:rFonts w:hint="cs"/>
                <w:rtl/>
              </w:rPr>
              <w:t>במקום פסקה (1) יבוא:</w:t>
            </w:r>
          </w:p>
        </w:tc>
      </w:tr>
      <w:tr w:rsidR="00036F52" w14:paraId="06084580" w14:textId="77777777" w:rsidTr="005B3008">
        <w:trPr>
          <w:cantSplit/>
        </w:trPr>
        <w:tc>
          <w:tcPr>
            <w:tcW w:w="1870" w:type="dxa"/>
          </w:tcPr>
          <w:p w14:paraId="41229C7A" w14:textId="77777777" w:rsidR="00036F52" w:rsidRDefault="00036F52" w:rsidP="00303A9A">
            <w:pPr>
              <w:pStyle w:val="TableSideHeading"/>
            </w:pPr>
          </w:p>
        </w:tc>
        <w:tc>
          <w:tcPr>
            <w:tcW w:w="624" w:type="dxa"/>
          </w:tcPr>
          <w:p w14:paraId="67D9C085" w14:textId="77777777" w:rsidR="00036F52" w:rsidRDefault="00036F52" w:rsidP="00303A9A">
            <w:pPr>
              <w:pStyle w:val="TableText"/>
            </w:pPr>
          </w:p>
        </w:tc>
        <w:tc>
          <w:tcPr>
            <w:tcW w:w="624" w:type="dxa"/>
          </w:tcPr>
          <w:p w14:paraId="27BBA41B" w14:textId="77777777" w:rsidR="00036F52" w:rsidRDefault="00036F52" w:rsidP="00303A9A">
            <w:pPr>
              <w:pStyle w:val="TableText"/>
            </w:pPr>
          </w:p>
        </w:tc>
        <w:tc>
          <w:tcPr>
            <w:tcW w:w="6519" w:type="dxa"/>
            <w:gridSpan w:val="2"/>
          </w:tcPr>
          <w:p w14:paraId="649367F6" w14:textId="77777777" w:rsidR="00036F52" w:rsidRDefault="00036F52" w:rsidP="005B3008">
            <w:pPr>
              <w:pStyle w:val="TableBlock"/>
              <w:rPr>
                <w:rtl/>
              </w:rPr>
            </w:pPr>
            <w:r>
              <w:rPr>
                <w:rFonts w:hint="cs"/>
                <w:rtl/>
              </w:rPr>
              <w:t>"(1)</w:t>
            </w:r>
            <w:r>
              <w:rPr>
                <w:rtl/>
              </w:rPr>
              <w:tab/>
            </w:r>
            <w:r>
              <w:rPr>
                <w:rFonts w:hint="cs"/>
                <w:rtl/>
              </w:rPr>
              <w:t xml:space="preserve">על אף האמור </w:t>
            </w:r>
            <w:r>
              <w:rPr>
                <w:rtl/>
              </w:rPr>
              <w:t>בסעיף קטן (ב) ובלי לגרוע מההוראות לפי סעיף 65(ג), תאגיד השידור הישראלי יאפשר שימוש</w:t>
            </w:r>
            <w:r>
              <w:rPr>
                <w:rFonts w:hint="cs"/>
                <w:rtl/>
              </w:rPr>
              <w:t xml:space="preserve"> פרטי או מסחרי,</w:t>
            </w:r>
            <w:r>
              <w:rPr>
                <w:rtl/>
              </w:rPr>
              <w:t xml:space="preserve"> בקטע מחומר ארכיוני שנשמר ותועד לפי סעיף קטן (א)</w:t>
            </w:r>
            <w:r>
              <w:rPr>
                <w:rFonts w:hint="cs"/>
                <w:rtl/>
              </w:rPr>
              <w:t>,</w:t>
            </w:r>
            <w:r>
              <w:rPr>
                <w:rtl/>
              </w:rPr>
              <w:t xml:space="preserve"> ויהיה רשאי לגבות תעריפים </w:t>
            </w:r>
            <w:r>
              <w:rPr>
                <w:rFonts w:hint="cs"/>
                <w:rtl/>
              </w:rPr>
              <w:t xml:space="preserve">בעד שימוש כאמור, </w:t>
            </w:r>
            <w:r>
              <w:rPr>
                <w:rtl/>
              </w:rPr>
              <w:t>שישקפו את עלויות התפעול השוטף של העמדת החומר שנשמר ותועד לפי סעיף זה</w:t>
            </w:r>
            <w:r>
              <w:rPr>
                <w:rFonts w:hint="cs"/>
                <w:rtl/>
              </w:rPr>
              <w:t>,</w:t>
            </w:r>
            <w:r>
              <w:rPr>
                <w:rtl/>
              </w:rPr>
              <w:t xml:space="preserve"> בלבד;</w:t>
            </w:r>
            <w:r>
              <w:rPr>
                <w:rFonts w:hint="cs"/>
                <w:rtl/>
              </w:rPr>
              <w:t xml:space="preserve"> השר, בהתייעצות עם המועצה, יקבע את </w:t>
            </w:r>
            <w:r>
              <w:rPr>
                <w:rtl/>
              </w:rPr>
              <w:t xml:space="preserve">התעריפים </w:t>
            </w:r>
            <w:r>
              <w:rPr>
                <w:rFonts w:hint="cs"/>
                <w:rtl/>
              </w:rPr>
              <w:t xml:space="preserve">כאמור, והם </w:t>
            </w:r>
            <w:r>
              <w:rPr>
                <w:rtl/>
              </w:rPr>
              <w:t>יפורסמו באתר האינטרנט של תאגיד השידור הישראלי.</w:t>
            </w:r>
            <w:r>
              <w:rPr>
                <w:rFonts w:hint="cs"/>
                <w:rtl/>
              </w:rPr>
              <w:t>";</w:t>
            </w:r>
          </w:p>
        </w:tc>
      </w:tr>
      <w:tr w:rsidR="00036F52" w14:paraId="5DC7CDC3" w14:textId="77777777" w:rsidTr="005B3008">
        <w:trPr>
          <w:cantSplit/>
        </w:trPr>
        <w:tc>
          <w:tcPr>
            <w:tcW w:w="1870" w:type="dxa"/>
          </w:tcPr>
          <w:p w14:paraId="065F0004" w14:textId="77777777" w:rsidR="00036F52" w:rsidRDefault="00036F52" w:rsidP="00303A9A">
            <w:pPr>
              <w:pStyle w:val="TableSideHeading"/>
            </w:pPr>
          </w:p>
        </w:tc>
        <w:tc>
          <w:tcPr>
            <w:tcW w:w="624" w:type="dxa"/>
          </w:tcPr>
          <w:p w14:paraId="05905BFE" w14:textId="77777777" w:rsidR="00036F52" w:rsidRDefault="00036F52" w:rsidP="00303A9A">
            <w:pPr>
              <w:pStyle w:val="TableText"/>
            </w:pPr>
          </w:p>
        </w:tc>
        <w:tc>
          <w:tcPr>
            <w:tcW w:w="7143" w:type="dxa"/>
            <w:gridSpan w:val="3"/>
          </w:tcPr>
          <w:p w14:paraId="0E25DE24" w14:textId="77777777" w:rsidR="00036F52" w:rsidRDefault="00036F52" w:rsidP="005B3008">
            <w:pPr>
              <w:pStyle w:val="TableBlock"/>
              <w:rPr>
                <w:rtl/>
              </w:rPr>
            </w:pPr>
            <w:r>
              <w:rPr>
                <w:rFonts w:hint="cs"/>
                <w:rtl/>
              </w:rPr>
              <w:t>(2)</w:t>
            </w:r>
            <w:r>
              <w:rPr>
                <w:rtl/>
              </w:rPr>
              <w:tab/>
            </w:r>
            <w:r>
              <w:rPr>
                <w:rFonts w:hint="cs"/>
                <w:rtl/>
              </w:rPr>
              <w:t>אחרי פסקה (2) יבוא:</w:t>
            </w:r>
          </w:p>
        </w:tc>
      </w:tr>
      <w:tr w:rsidR="00036F52" w14:paraId="5AD2B479" w14:textId="77777777" w:rsidTr="005B3008">
        <w:trPr>
          <w:cantSplit/>
        </w:trPr>
        <w:tc>
          <w:tcPr>
            <w:tcW w:w="1870" w:type="dxa"/>
          </w:tcPr>
          <w:p w14:paraId="552DA501" w14:textId="77777777" w:rsidR="00036F52" w:rsidRDefault="00036F52" w:rsidP="00303A9A">
            <w:pPr>
              <w:pStyle w:val="TableSideHeading"/>
            </w:pPr>
          </w:p>
        </w:tc>
        <w:tc>
          <w:tcPr>
            <w:tcW w:w="624" w:type="dxa"/>
          </w:tcPr>
          <w:p w14:paraId="531FF82B" w14:textId="77777777" w:rsidR="00036F52" w:rsidRDefault="00036F52" w:rsidP="00303A9A">
            <w:pPr>
              <w:pStyle w:val="TableText"/>
            </w:pPr>
          </w:p>
        </w:tc>
        <w:tc>
          <w:tcPr>
            <w:tcW w:w="624" w:type="dxa"/>
          </w:tcPr>
          <w:p w14:paraId="0C807D8A" w14:textId="77777777" w:rsidR="00036F52" w:rsidRDefault="00036F52" w:rsidP="00303A9A">
            <w:pPr>
              <w:pStyle w:val="TableText"/>
            </w:pPr>
          </w:p>
        </w:tc>
        <w:tc>
          <w:tcPr>
            <w:tcW w:w="6519" w:type="dxa"/>
            <w:gridSpan w:val="2"/>
          </w:tcPr>
          <w:p w14:paraId="385CCA89" w14:textId="77777777" w:rsidR="00036F52" w:rsidRDefault="00036F52" w:rsidP="005B3008">
            <w:pPr>
              <w:pStyle w:val="TableBlock"/>
              <w:rPr>
                <w:rtl/>
              </w:rPr>
            </w:pPr>
            <w:r>
              <w:rPr>
                <w:rFonts w:hint="cs"/>
                <w:rtl/>
              </w:rPr>
              <w:t>"(3)</w:t>
            </w:r>
            <w:r>
              <w:rPr>
                <w:rtl/>
              </w:rPr>
              <w:tab/>
            </w:r>
            <w:r>
              <w:rPr>
                <w:rFonts w:hint="cs"/>
                <w:rtl/>
              </w:rPr>
              <w:t xml:space="preserve"> מורשה לשידורים כהגדרתו בחוק </w:t>
            </w:r>
            <w:r w:rsidRPr="0048702E">
              <w:rPr>
                <w:rtl/>
              </w:rPr>
              <w:t>הרשות השנ</w:t>
            </w:r>
            <w:r>
              <w:rPr>
                <w:rFonts w:hint="cs"/>
                <w:rtl/>
              </w:rPr>
              <w:t>י</w:t>
            </w:r>
            <w:r w:rsidRPr="0048702E">
              <w:rPr>
                <w:rtl/>
              </w:rPr>
              <w:t>יה לטל</w:t>
            </w:r>
            <w:r>
              <w:rPr>
                <w:rFonts w:hint="cs"/>
                <w:rtl/>
              </w:rPr>
              <w:t>ו</w:t>
            </w:r>
            <w:r w:rsidRPr="0048702E">
              <w:rPr>
                <w:rtl/>
              </w:rPr>
              <w:t xml:space="preserve">ויזיה ורדיו, </w:t>
            </w:r>
            <w:proofErr w:type="spellStart"/>
            <w:r>
              <w:rPr>
                <w:rFonts w:hint="cs"/>
                <w:rtl/>
              </w:rPr>
              <w:t>ה</w:t>
            </w:r>
            <w:r w:rsidRPr="0048702E">
              <w:rPr>
                <w:rtl/>
              </w:rPr>
              <w:t>תש"ן</w:t>
            </w:r>
            <w:proofErr w:type="spellEnd"/>
            <w:r>
              <w:rPr>
                <w:rFonts w:hint="cs"/>
                <w:rtl/>
              </w:rPr>
              <w:t>–</w:t>
            </w:r>
            <w:r w:rsidRPr="0048702E">
              <w:rPr>
                <w:rtl/>
              </w:rPr>
              <w:t>1990</w:t>
            </w:r>
            <w:r>
              <w:rPr>
                <w:rFonts w:hint="cs"/>
                <w:rtl/>
              </w:rPr>
              <w:t>, המשתמש בחומר ארכיוני כאמור בפסקה (1), אינו רשאי לגבות תשלום כלשהו בעד שימוש בחומר כאמור."</w:t>
            </w:r>
          </w:p>
        </w:tc>
      </w:tr>
    </w:tbl>
    <w:p w14:paraId="398EC072" w14:textId="77777777" w:rsidR="00036F52" w:rsidRDefault="00036F52" w:rsidP="00036F52">
      <w:pPr>
        <w:pStyle w:val="HeadDivreiHesber"/>
      </w:pPr>
      <w:r w:rsidRPr="0027450A">
        <w:rPr>
          <w:rFonts w:hint="cs"/>
          <w:rtl/>
        </w:rPr>
        <w:t>דברי הסבר</w:t>
      </w:r>
    </w:p>
    <w:p w14:paraId="3479A4B0" w14:textId="68E782EF" w:rsidR="00036F52" w:rsidRDefault="00036F52" w:rsidP="005B3008">
      <w:pPr>
        <w:pStyle w:val="Hesber1st"/>
        <w:tabs>
          <w:tab w:val="clear" w:pos="680"/>
        </w:tabs>
        <w:spacing w:line="240" w:lineRule="auto"/>
        <w:rPr>
          <w:rtl/>
        </w:rPr>
      </w:pPr>
      <w:r>
        <w:rPr>
          <w:rFonts w:hint="cs"/>
          <w:rtl/>
        </w:rPr>
        <w:t xml:space="preserve">בשנת 2014 מונתה על ידי שר התקשורת הוועדה ליישום הוראות החוק בדבר הפקות מקור בערוצים מסחריים. בדוח ביניים של הוועדה נכתב כי </w:t>
      </w:r>
      <w:r w:rsidRPr="00F53060">
        <w:rPr>
          <w:rFonts w:hint="cs"/>
          <w:rtl/>
        </w:rPr>
        <w:t xml:space="preserve">עולם השידורים בישראל </w:t>
      </w:r>
      <w:r>
        <w:rPr>
          <w:rFonts w:hint="cs"/>
          <w:rtl/>
        </w:rPr>
        <w:t>מתאפיין בריכוזיות משמעותית. עוד צוין כי שליטתם של שחקנ</w:t>
      </w:r>
      <w:r w:rsidR="005B3008">
        <w:rPr>
          <w:rFonts w:hint="cs"/>
          <w:rtl/>
        </w:rPr>
        <w:t>ים קיימים בעולם השידורים בישראל</w:t>
      </w:r>
      <w:r>
        <w:rPr>
          <w:rFonts w:hint="cs"/>
          <w:rtl/>
        </w:rPr>
        <w:t xml:space="preserve"> מהווה חסם כניסה לגופים חדשים או קטנים שרוצים להיכנס לשוק.</w:t>
      </w:r>
    </w:p>
    <w:p w14:paraId="39AFD485" w14:textId="14AD80EC" w:rsidR="00036F52" w:rsidRPr="005B3008" w:rsidRDefault="00036F52" w:rsidP="005B3008">
      <w:pPr>
        <w:pStyle w:val="Hesber"/>
        <w:spacing w:line="240" w:lineRule="auto"/>
        <w:rPr>
          <w:rtl/>
        </w:rPr>
      </w:pPr>
      <w:r w:rsidRPr="005B3008">
        <w:rPr>
          <w:rFonts w:hint="cs"/>
          <w:rtl/>
        </w:rPr>
        <w:t xml:space="preserve">אחד ממערכי שידורי הטלוויזיה המובילים בניסיון </w:t>
      </w:r>
      <w:r w:rsidR="005B3008">
        <w:rPr>
          <w:rFonts w:hint="cs"/>
          <w:rtl/>
        </w:rPr>
        <w:t xml:space="preserve">להילחם בריכוזיות עולם השידורים </w:t>
      </w:r>
      <w:r w:rsidRPr="005B3008">
        <w:rPr>
          <w:rFonts w:hint="cs"/>
          <w:rtl/>
        </w:rPr>
        <w:t xml:space="preserve">הוא "עידן+" (להלן </w:t>
      </w:r>
      <w:r w:rsidRPr="005B3008">
        <w:rPr>
          <w:rtl/>
        </w:rPr>
        <w:t>–</w:t>
      </w:r>
      <w:r w:rsidRPr="005B3008">
        <w:rPr>
          <w:rFonts w:hint="cs"/>
          <w:rtl/>
        </w:rPr>
        <w:t xml:space="preserve"> עידן פלוס). עידן פלוס הוא מערך שידור טלוויזיה דיגיטלי קרקעי (</w:t>
      </w:r>
      <w:r w:rsidRPr="005B3008">
        <w:t>DTT</w:t>
      </w:r>
      <w:r w:rsidRPr="005B3008">
        <w:rPr>
          <w:rFonts w:hint="cs"/>
          <w:rtl/>
        </w:rPr>
        <w:t>). השידורים מופעלים על ידי הרשות השנייה לטלוויזיה ולרדיו, ניתנים ללא עלות ומופצים לקליטה בכל מדינת ישראל.</w:t>
      </w:r>
    </w:p>
    <w:p w14:paraId="2978D154" w14:textId="77777777" w:rsidR="00036F52" w:rsidRPr="005B3008" w:rsidRDefault="00036F52" w:rsidP="005B3008">
      <w:pPr>
        <w:pStyle w:val="Hesber"/>
        <w:spacing w:line="240" w:lineRule="auto"/>
        <w:rPr>
          <w:rtl/>
        </w:rPr>
      </w:pPr>
      <w:r w:rsidRPr="005B3008">
        <w:rPr>
          <w:rFonts w:hint="cs"/>
          <w:rtl/>
        </w:rPr>
        <w:t xml:space="preserve">מטרת הצעת חוק זו היא לסייע לערוצים קטנים ותחנות רדיו להיות משודרים ולפרוץ את חסם הכניסה כאמור. מוצע כי בעל רישיון לערוץ זעיר, בעל רישיון זעיר ייעודי כהגדרתם בחוק הרשות השנייה לטלוויזיה ורדיו, </w:t>
      </w:r>
      <w:proofErr w:type="spellStart"/>
      <w:r w:rsidRPr="005B3008">
        <w:rPr>
          <w:rFonts w:hint="cs"/>
          <w:rtl/>
        </w:rPr>
        <w:t>התש"ן</w:t>
      </w:r>
      <w:proofErr w:type="spellEnd"/>
      <w:r w:rsidRPr="005B3008">
        <w:rPr>
          <w:rFonts w:hint="eastAsia"/>
          <w:rtl/>
        </w:rPr>
        <w:t>–</w:t>
      </w:r>
      <w:r w:rsidRPr="005B3008">
        <w:rPr>
          <w:rFonts w:hint="cs"/>
          <w:rtl/>
        </w:rPr>
        <w:t xml:space="preserve">1990, ובעל זיכיון לשידורי רדיו, ישלמו דמי הפצה בסכום שלא יעלה על 15,000 שקלים חדשים בשנה. </w:t>
      </w:r>
    </w:p>
    <w:p w14:paraId="1B034348" w14:textId="77777777" w:rsidR="00036F52" w:rsidRPr="005B3008" w:rsidRDefault="00036F52" w:rsidP="005B3008">
      <w:pPr>
        <w:pStyle w:val="Hesber"/>
        <w:spacing w:line="240" w:lineRule="auto"/>
        <w:rPr>
          <w:rtl/>
        </w:rPr>
      </w:pPr>
      <w:r w:rsidRPr="005B3008">
        <w:rPr>
          <w:rFonts w:hint="cs"/>
          <w:rtl/>
        </w:rPr>
        <w:t>הגבלת עלות דמי ההפצה לגופים כאמור בהכרח תקל על ערוצים נוספים להיות משודרים בעידן פלוס ולהגביר את התחרות והמגוון שניתן יהיה לצפייה ללא עלות.</w:t>
      </w:r>
    </w:p>
    <w:p w14:paraId="6738EABC" w14:textId="7BD8D61D" w:rsidR="00036F52" w:rsidRPr="005B3008" w:rsidRDefault="00036F52" w:rsidP="005B3008">
      <w:pPr>
        <w:pStyle w:val="Hesber"/>
        <w:spacing w:line="240" w:lineRule="auto"/>
        <w:rPr>
          <w:rtl/>
        </w:rPr>
      </w:pPr>
      <w:r w:rsidRPr="005B3008">
        <w:rPr>
          <w:rFonts w:hint="cs"/>
          <w:rtl/>
        </w:rPr>
        <w:t>עוד</w:t>
      </w:r>
      <w:r w:rsidR="005B3008">
        <w:rPr>
          <w:rFonts w:hint="cs"/>
          <w:rtl/>
        </w:rPr>
        <w:t xml:space="preserve"> מוצע כי כדי </w:t>
      </w:r>
      <w:r w:rsidRPr="005B3008">
        <w:rPr>
          <w:rFonts w:hint="cs"/>
          <w:rtl/>
        </w:rPr>
        <w:t xml:space="preserve">לא לפגוע בצרכנים במקרה של אי תשלום דמי ההפצה כאמור, הרשות השנייה לא תוכל להוריד ערוץ משידור או למנוע את עלייתו לשידור. </w:t>
      </w:r>
    </w:p>
    <w:p w14:paraId="0D921660" w14:textId="23E2D022" w:rsidR="00036F52" w:rsidRPr="005B3008" w:rsidRDefault="00036F52" w:rsidP="005B3008">
      <w:pPr>
        <w:pStyle w:val="Hesber"/>
        <w:spacing w:line="240" w:lineRule="auto"/>
        <w:rPr>
          <w:rtl/>
        </w:rPr>
      </w:pPr>
      <w:r w:rsidRPr="005B3008">
        <w:rPr>
          <w:rFonts w:hint="cs"/>
          <w:rtl/>
        </w:rPr>
        <w:t xml:space="preserve">כמו כן, מוצע לתקן את חוק </w:t>
      </w:r>
      <w:r w:rsidRPr="005B3008">
        <w:rPr>
          <w:rtl/>
        </w:rPr>
        <w:t xml:space="preserve">השידור הציבורי הישראלי, </w:t>
      </w:r>
      <w:proofErr w:type="spellStart"/>
      <w:r w:rsidRPr="005B3008">
        <w:rPr>
          <w:rFonts w:hint="cs"/>
          <w:rtl/>
        </w:rPr>
        <w:t>ה</w:t>
      </w:r>
      <w:r w:rsidRPr="005B3008">
        <w:rPr>
          <w:rtl/>
        </w:rPr>
        <w:t>תשע"ד</w:t>
      </w:r>
      <w:proofErr w:type="spellEnd"/>
      <w:r w:rsidRPr="005B3008">
        <w:rPr>
          <w:rFonts w:hint="cs"/>
          <w:rtl/>
        </w:rPr>
        <w:t>–</w:t>
      </w:r>
      <w:r w:rsidRPr="005B3008">
        <w:rPr>
          <w:rtl/>
        </w:rPr>
        <w:t>2014</w:t>
      </w:r>
      <w:r w:rsidR="005B3008">
        <w:rPr>
          <w:rFonts w:hint="cs"/>
          <w:rtl/>
        </w:rPr>
        <w:t xml:space="preserve">, </w:t>
      </w:r>
      <w:r w:rsidRPr="005B3008">
        <w:rPr>
          <w:rFonts w:hint="cs"/>
          <w:rtl/>
        </w:rPr>
        <w:t>ולקבוע כי תאגיד השידור הישראלי יאפשר לרכוש את תכני הארכיון שלו לשימוש פרטי ומסחרי בתעריף</w:t>
      </w:r>
      <w:r w:rsidRPr="005B3008">
        <w:rPr>
          <w:rtl/>
        </w:rPr>
        <w:t xml:space="preserve"> </w:t>
      </w:r>
      <w:r w:rsidRPr="005B3008">
        <w:rPr>
          <w:rFonts w:hint="cs"/>
          <w:rtl/>
        </w:rPr>
        <w:t>שיקבע שר התקשורת בהתייעצות עם מועצת תאגיד השידור הישראלי,</w:t>
      </w:r>
      <w:r w:rsidR="005B3008">
        <w:rPr>
          <w:rFonts w:hint="cs"/>
          <w:rtl/>
        </w:rPr>
        <w:t xml:space="preserve"> וזאת כדי</w:t>
      </w:r>
      <w:r w:rsidRPr="005B3008">
        <w:rPr>
          <w:rFonts w:hint="cs"/>
          <w:rtl/>
        </w:rPr>
        <w:t xml:space="preserve"> לאפשר גישה לתכנים אלו לציבור </w:t>
      </w:r>
      <w:r w:rsidR="005B3008">
        <w:rPr>
          <w:rFonts w:hint="cs"/>
          <w:rtl/>
        </w:rPr>
        <w:t>המשתמשים בפלטפורמות, כגון</w:t>
      </w:r>
      <w:r w:rsidRPr="005B3008">
        <w:rPr>
          <w:rFonts w:hint="cs"/>
          <w:rtl/>
        </w:rPr>
        <w:t xml:space="preserve"> עידן פלוס. </w:t>
      </w:r>
    </w:p>
    <w:p w14:paraId="38711FD1" w14:textId="77777777" w:rsidR="00036F52" w:rsidRDefault="00036F52" w:rsidP="005B3008">
      <w:pPr>
        <w:pStyle w:val="Hesber"/>
        <w:spacing w:line="240" w:lineRule="auto"/>
        <w:rPr>
          <w:rtl/>
        </w:rPr>
      </w:pPr>
      <w:r w:rsidRPr="005B3008">
        <w:rPr>
          <w:rFonts w:hint="cs"/>
          <w:rtl/>
        </w:rPr>
        <w:t>התיקונים המוצעים יגבירו את התחרות והמגוון בשוק השידורים לטובת הציבור בישראל.</w:t>
      </w:r>
    </w:p>
    <w:p w14:paraId="180A314D" w14:textId="77777777" w:rsidR="005B3008" w:rsidRPr="005B3008" w:rsidRDefault="005B3008" w:rsidP="005B3008">
      <w:pPr>
        <w:pStyle w:val="Hesber"/>
        <w:spacing w:line="240" w:lineRule="auto"/>
        <w:rPr>
          <w:rtl/>
        </w:rPr>
      </w:pPr>
    </w:p>
    <w:p w14:paraId="7F6961CB" w14:textId="77777777" w:rsidR="00E13C27" w:rsidRDefault="00E13C27" w:rsidP="005B3008">
      <w:pPr>
        <w:pStyle w:val="Hesber"/>
        <w:spacing w:line="240" w:lineRule="auto"/>
        <w:rPr>
          <w:rtl/>
        </w:rPr>
      </w:pPr>
    </w:p>
    <w:p w14:paraId="2FD6921F" w14:textId="77777777" w:rsidR="002C3714" w:rsidRDefault="005B3008" w:rsidP="005B3008">
      <w:pPr>
        <w:spacing w:line="240" w:lineRule="auto"/>
        <w:jc w:val="left"/>
      </w:pPr>
      <w:bookmarkStart w:id="9" w:name="selectedDocDateB"/>
      <w:bookmarkEnd w:id="9"/>
      <w:r>
        <w:rPr>
          <w:rFonts w:eastAsia="David" w:hint="cs"/>
          <w:sz w:val="26"/>
          <w:szCs w:val="26"/>
          <w:rtl/>
        </w:rPr>
        <w:t>--------------------------------</w:t>
      </w:r>
    </w:p>
    <w:p w14:paraId="55B070C0" w14:textId="77777777" w:rsidR="002C3714" w:rsidRDefault="005B3008" w:rsidP="005B3008">
      <w:pPr>
        <w:spacing w:line="240" w:lineRule="auto"/>
        <w:jc w:val="left"/>
      </w:pPr>
      <w:r>
        <w:rPr>
          <w:rFonts w:eastAsia="David" w:hint="cs"/>
          <w:sz w:val="26"/>
          <w:szCs w:val="26"/>
          <w:rtl/>
        </w:rPr>
        <w:t>הוגשה ליו"ר הכנסת והסגנים</w:t>
      </w:r>
    </w:p>
    <w:p w14:paraId="6CE24625" w14:textId="77777777" w:rsidR="002C3714" w:rsidRDefault="005B3008" w:rsidP="005B3008">
      <w:pPr>
        <w:spacing w:line="240" w:lineRule="auto"/>
        <w:jc w:val="left"/>
      </w:pPr>
      <w:r>
        <w:rPr>
          <w:rFonts w:eastAsia="David" w:hint="cs"/>
          <w:sz w:val="26"/>
          <w:szCs w:val="26"/>
          <w:rtl/>
        </w:rPr>
        <w:t>והונחה על שולחן הכנסת ביום</w:t>
      </w:r>
    </w:p>
    <w:p w14:paraId="3FA9F5D3" w14:textId="77777777" w:rsidR="002C3714" w:rsidRDefault="005B3008" w:rsidP="005B3008">
      <w:pPr>
        <w:spacing w:line="240" w:lineRule="auto"/>
        <w:jc w:val="left"/>
      </w:pPr>
      <w:r>
        <w:rPr>
          <w:rFonts w:eastAsia="David" w:hint="cs"/>
          <w:sz w:val="26"/>
          <w:szCs w:val="26"/>
          <w:rtl/>
        </w:rPr>
        <w:t xml:space="preserve">י"ד בתמוז התשפ"ג (03.07.2023) </w:t>
      </w:r>
    </w:p>
    <w:p w14:paraId="2D083B45" w14:textId="77777777" w:rsidR="002C3714" w:rsidRDefault="002C3714">
      <w:pPr>
        <w:spacing w:line="276" w:lineRule="auto"/>
        <w:jc w:val="left"/>
      </w:pPr>
    </w:p>
    <w:sectPr w:rsidR="002C3714" w:rsidSect="005B300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B3008">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B300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6DE5E94" w14:textId="77777777" w:rsidR="00036F52" w:rsidRPr="00051D55" w:rsidRDefault="00036F52" w:rsidP="00036F52">
      <w:pPr>
        <w:pStyle w:val="a4"/>
        <w:rPr>
          <w:highlight w:val="yellow"/>
        </w:rPr>
      </w:pPr>
      <w:r w:rsidRPr="00882B7D">
        <w:rPr>
          <w:rStyle w:val="a5"/>
        </w:rPr>
        <w:footnoteRef/>
      </w:r>
      <w:r w:rsidRPr="00882B7D">
        <w:rPr>
          <w:rtl/>
        </w:rPr>
        <w:t xml:space="preserve"> </w:t>
      </w:r>
      <w:r w:rsidRPr="00882B7D">
        <w:rPr>
          <w:rFonts w:hint="eastAsia"/>
          <w:rtl/>
        </w:rPr>
        <w:t>ס</w:t>
      </w:r>
      <w:r w:rsidRPr="00882B7D">
        <w:rPr>
          <w:rtl/>
        </w:rPr>
        <w:t>"ח</w:t>
      </w:r>
      <w:r w:rsidRPr="00882B7D">
        <w:rPr>
          <w:rFonts w:hint="cs"/>
          <w:rtl/>
        </w:rPr>
        <w:t xml:space="preserve"> </w:t>
      </w:r>
      <w:proofErr w:type="spellStart"/>
      <w:r w:rsidRPr="00882B7D">
        <w:rPr>
          <w:rFonts w:hint="cs"/>
          <w:rtl/>
        </w:rPr>
        <w:t>התשע"ב</w:t>
      </w:r>
      <w:proofErr w:type="spellEnd"/>
      <w:r w:rsidRPr="00882B7D">
        <w:rPr>
          <w:rFonts w:hint="cs"/>
          <w:rtl/>
        </w:rPr>
        <w:t>,</w:t>
      </w:r>
      <w:r w:rsidRPr="00882B7D">
        <w:rPr>
          <w:rtl/>
        </w:rPr>
        <w:t xml:space="preserve"> </w:t>
      </w:r>
      <w:r w:rsidRPr="00882B7D">
        <w:rPr>
          <w:rFonts w:hint="eastAsia"/>
          <w:rtl/>
        </w:rPr>
        <w:t>עמ</w:t>
      </w:r>
      <w:r w:rsidRPr="00882B7D">
        <w:rPr>
          <w:rtl/>
        </w:rPr>
        <w:t>' 286</w:t>
      </w:r>
    </w:p>
  </w:footnote>
  <w:footnote w:id="3">
    <w:p w14:paraId="7BDF42CE" w14:textId="77777777" w:rsidR="00036F52" w:rsidRDefault="00036F52" w:rsidP="00036F52">
      <w:pPr>
        <w:pStyle w:val="a4"/>
      </w:pPr>
      <w:r>
        <w:rPr>
          <w:rStyle w:val="a5"/>
        </w:rPr>
        <w:footnoteRef/>
      </w:r>
      <w:r>
        <w:rPr>
          <w:rtl/>
        </w:rPr>
        <w:t xml:space="preserve"> </w:t>
      </w:r>
      <w:r>
        <w:rPr>
          <w:rFonts w:hint="cs"/>
          <w:rtl/>
        </w:rPr>
        <w:t>ס"ח התשע"ד, עמ' 778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6F52"/>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C3714"/>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3008"/>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C18"/>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419E"/>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B6B95AA-238F-4671-AE5B-EA9D5672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00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B300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B300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B300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B300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B3008"/>
    <w:pPr>
      <w:spacing w:line="259" w:lineRule="auto"/>
      <w:outlineLvl w:val="4"/>
    </w:pPr>
    <w:rPr>
      <w:color w:val="000000" w:themeColor="text1"/>
    </w:rPr>
  </w:style>
  <w:style w:type="character" w:default="1" w:styleId="a0">
    <w:name w:val="Default Paragraph Font"/>
    <w:uiPriority w:val="1"/>
    <w:semiHidden/>
    <w:unhideWhenUsed/>
    <w:rsid w:val="005B300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B300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B300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B3008"/>
    <w:rPr>
      <w:sz w:val="36"/>
      <w:szCs w:val="52"/>
    </w:rPr>
  </w:style>
  <w:style w:type="paragraph" w:customStyle="1" w:styleId="Cover3-Haknesset">
    <w:name w:val="Cover 3-Haknesset"/>
    <w:basedOn w:val="Cover1-Reshumot"/>
    <w:rsid w:val="005B3008"/>
    <w:rPr>
      <w:b/>
      <w:bCs/>
      <w:spacing w:val="60"/>
    </w:rPr>
  </w:style>
  <w:style w:type="paragraph" w:customStyle="1" w:styleId="Cover4-Date">
    <w:name w:val="Cover 4-Date"/>
    <w:basedOn w:val="a"/>
    <w:rsid w:val="005B300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B300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B300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B3008"/>
    <w:pPr>
      <w:spacing w:before="120" w:after="120"/>
    </w:pPr>
    <w:rPr>
      <w:color w:val="FF0000"/>
      <w:w w:val="80"/>
    </w:rPr>
  </w:style>
  <w:style w:type="paragraph" w:styleId="a3">
    <w:name w:val="endnote text"/>
    <w:basedOn w:val="a"/>
    <w:semiHidden/>
    <w:rsid w:val="005B3008"/>
    <w:pPr>
      <w:ind w:left="227" w:hanging="227"/>
    </w:pPr>
    <w:rPr>
      <w:sz w:val="14"/>
      <w:szCs w:val="22"/>
    </w:rPr>
  </w:style>
  <w:style w:type="paragraph" w:customStyle="1" w:styleId="TableText">
    <w:name w:val="Table Text"/>
    <w:basedOn w:val="a"/>
    <w:rsid w:val="005B300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B3008"/>
    <w:pPr>
      <w:outlineLvl w:val="2"/>
    </w:pPr>
  </w:style>
  <w:style w:type="paragraph" w:customStyle="1" w:styleId="TableBlock">
    <w:name w:val="Table Block"/>
    <w:basedOn w:val="TableText"/>
    <w:rsid w:val="005B3008"/>
    <w:pPr>
      <w:jc w:val="both"/>
    </w:pPr>
  </w:style>
  <w:style w:type="paragraph" w:customStyle="1" w:styleId="TableHead">
    <w:name w:val="Table Head"/>
    <w:basedOn w:val="TableText"/>
    <w:rsid w:val="005B300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B3008"/>
    <w:pPr>
      <w:outlineLvl w:val="9"/>
    </w:pPr>
  </w:style>
  <w:style w:type="paragraph" w:customStyle="1" w:styleId="Hesber">
    <w:name w:val="Hesber"/>
    <w:basedOn w:val="a"/>
    <w:rsid w:val="005B300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B300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B3008"/>
    <w:rPr>
      <w:vertAlign w:val="superscript"/>
    </w:rPr>
  </w:style>
  <w:style w:type="paragraph" w:customStyle="1" w:styleId="HesberHeading">
    <w:name w:val="Hesber Heading"/>
    <w:basedOn w:val="Hesber"/>
    <w:rsid w:val="005B3008"/>
    <w:pPr>
      <w:tabs>
        <w:tab w:val="left" w:pos="624"/>
        <w:tab w:val="left" w:pos="1247"/>
      </w:tabs>
    </w:pPr>
    <w:rPr>
      <w:b/>
      <w:bCs/>
    </w:rPr>
  </w:style>
  <w:style w:type="paragraph" w:customStyle="1" w:styleId="HesberWriters">
    <w:name w:val="Hesber Writers"/>
    <w:basedOn w:val="Hesber"/>
    <w:rsid w:val="005B3008"/>
    <w:pPr>
      <w:spacing w:before="120" w:after="120"/>
      <w:ind w:left="1418"/>
      <w:jc w:val="right"/>
    </w:pPr>
    <w:rPr>
      <w:b/>
      <w:bCs/>
    </w:rPr>
  </w:style>
  <w:style w:type="paragraph" w:customStyle="1" w:styleId="Hesber1st">
    <w:name w:val="Hesber 1st"/>
    <w:basedOn w:val="Hesber"/>
    <w:rsid w:val="005B3008"/>
    <w:pPr>
      <w:tabs>
        <w:tab w:val="left" w:pos="680"/>
        <w:tab w:val="left" w:pos="1020"/>
      </w:tabs>
      <w:ind w:firstLine="0"/>
    </w:pPr>
  </w:style>
  <w:style w:type="character" w:styleId="a6">
    <w:name w:val="endnote reference"/>
    <w:basedOn w:val="a0"/>
    <w:semiHidden/>
    <w:rsid w:val="005B3008"/>
    <w:rPr>
      <w:vertAlign w:val="superscript"/>
    </w:rPr>
  </w:style>
  <w:style w:type="paragraph" w:customStyle="1" w:styleId="TableBlockOutdent">
    <w:name w:val="Table BlockOutdent"/>
    <w:basedOn w:val="TableBlock"/>
    <w:rsid w:val="005B3008"/>
    <w:pPr>
      <w:ind w:left="624" w:hanging="624"/>
    </w:pPr>
  </w:style>
  <w:style w:type="paragraph" w:styleId="a7">
    <w:name w:val="header"/>
    <w:basedOn w:val="a"/>
    <w:rsid w:val="005B3008"/>
    <w:pPr>
      <w:tabs>
        <w:tab w:val="center" w:pos="4153"/>
        <w:tab w:val="right" w:pos="8306"/>
      </w:tabs>
    </w:pPr>
  </w:style>
  <w:style w:type="paragraph" w:styleId="a8">
    <w:name w:val="footer"/>
    <w:basedOn w:val="a"/>
    <w:rsid w:val="005B3008"/>
    <w:pPr>
      <w:tabs>
        <w:tab w:val="center" w:pos="4153"/>
        <w:tab w:val="right" w:pos="8306"/>
      </w:tabs>
    </w:pPr>
  </w:style>
  <w:style w:type="paragraph" w:customStyle="1" w:styleId="HeadDivreiHesber">
    <w:name w:val="Head DivreiHesber"/>
    <w:basedOn w:val="a"/>
    <w:rsid w:val="005B300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B300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B300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B3008"/>
    <w:rPr>
      <w:rFonts w:asciiTheme="majorHAnsi" w:eastAsiaTheme="majorEastAsia" w:hAnsiTheme="majorHAnsi" w:cs="David"/>
      <w:bCs/>
      <w:sz w:val="32"/>
      <w:szCs w:val="36"/>
    </w:rPr>
  </w:style>
  <w:style w:type="character" w:customStyle="1" w:styleId="20">
    <w:name w:val="כותרת 2 תו"/>
    <w:basedOn w:val="a0"/>
    <w:link w:val="2"/>
    <w:rsid w:val="005B3008"/>
    <w:rPr>
      <w:rFonts w:asciiTheme="majorHAnsi" w:eastAsiaTheme="majorEastAsia" w:hAnsiTheme="majorHAnsi" w:cs="David"/>
      <w:bCs/>
      <w:sz w:val="26"/>
      <w:szCs w:val="36"/>
      <w:u w:val="single"/>
    </w:rPr>
  </w:style>
  <w:style w:type="character" w:customStyle="1" w:styleId="30">
    <w:name w:val="כותרת 3 תו"/>
    <w:basedOn w:val="a0"/>
    <w:link w:val="3"/>
    <w:rsid w:val="005B3008"/>
    <w:rPr>
      <w:rFonts w:asciiTheme="majorHAnsi" w:eastAsiaTheme="majorEastAsia" w:hAnsiTheme="majorHAnsi" w:cs="David"/>
      <w:sz w:val="24"/>
      <w:szCs w:val="28"/>
      <w:u w:val="double"/>
    </w:rPr>
  </w:style>
  <w:style w:type="character" w:customStyle="1" w:styleId="40">
    <w:name w:val="כותרת 4 תו"/>
    <w:basedOn w:val="a0"/>
    <w:link w:val="4"/>
    <w:uiPriority w:val="9"/>
    <w:rsid w:val="005B300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B300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B3008"/>
    <w:pPr>
      <w:widowControl/>
      <w:spacing w:before="120" w:after="120"/>
      <w:outlineLvl w:val="9"/>
    </w:pPr>
    <w:rPr>
      <w:rtl/>
      <w:cs/>
    </w:rPr>
  </w:style>
  <w:style w:type="paragraph" w:styleId="TOC1">
    <w:name w:val="toc 1"/>
    <w:basedOn w:val="a"/>
    <w:next w:val="a"/>
    <w:autoRedefine/>
    <w:uiPriority w:val="39"/>
    <w:unhideWhenUsed/>
    <w:rsid w:val="005B3008"/>
    <w:pPr>
      <w:tabs>
        <w:tab w:val="right" w:leader="dot" w:pos="9629"/>
      </w:tabs>
      <w:spacing w:after="100"/>
    </w:pPr>
    <w:rPr>
      <w:bCs/>
      <w:szCs w:val="22"/>
    </w:rPr>
  </w:style>
  <w:style w:type="paragraph" w:styleId="TOC2">
    <w:name w:val="toc 2"/>
    <w:basedOn w:val="a"/>
    <w:next w:val="a"/>
    <w:uiPriority w:val="39"/>
    <w:unhideWhenUsed/>
    <w:rsid w:val="005B3008"/>
    <w:pPr>
      <w:tabs>
        <w:tab w:val="right" w:leader="dot" w:pos="9628"/>
      </w:tabs>
      <w:spacing w:after="100"/>
    </w:pPr>
    <w:rPr>
      <w:szCs w:val="22"/>
    </w:rPr>
  </w:style>
  <w:style w:type="character" w:styleId="Hyperlink">
    <w:name w:val="Hyperlink"/>
    <w:basedOn w:val="a0"/>
    <w:uiPriority w:val="99"/>
    <w:unhideWhenUsed/>
    <w:rsid w:val="005B3008"/>
    <w:rPr>
      <w:color w:val="0000FF" w:themeColor="hyperlink"/>
      <w:u w:val="single"/>
    </w:rPr>
  </w:style>
  <w:style w:type="paragraph" w:styleId="TOC3">
    <w:name w:val="toc 3"/>
    <w:basedOn w:val="a"/>
    <w:next w:val="a"/>
    <w:uiPriority w:val="39"/>
    <w:unhideWhenUsed/>
    <w:rsid w:val="005B3008"/>
    <w:pPr>
      <w:tabs>
        <w:tab w:val="right" w:leader="dot" w:pos="9629"/>
      </w:tabs>
      <w:spacing w:after="100"/>
      <w:ind w:left="567"/>
    </w:pPr>
    <w:rPr>
      <w:szCs w:val="22"/>
    </w:rPr>
  </w:style>
  <w:style w:type="paragraph" w:styleId="TOC4">
    <w:name w:val="toc 4"/>
    <w:basedOn w:val="a"/>
    <w:next w:val="a"/>
    <w:autoRedefine/>
    <w:unhideWhenUsed/>
    <w:qFormat/>
    <w:rsid w:val="005B300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B3008"/>
    <w:pPr>
      <w:tabs>
        <w:tab w:val="right" w:leader="dot" w:pos="9628"/>
      </w:tabs>
      <w:spacing w:after="100"/>
      <w:ind w:left="567"/>
    </w:pPr>
    <w:rPr>
      <w:szCs w:val="22"/>
    </w:rPr>
  </w:style>
  <w:style w:type="paragraph" w:styleId="TOC6">
    <w:name w:val="toc 6"/>
    <w:basedOn w:val="a"/>
    <w:next w:val="a"/>
    <w:autoRedefine/>
    <w:semiHidden/>
    <w:unhideWhenUsed/>
    <w:rsid w:val="005B3008"/>
    <w:pPr>
      <w:spacing w:after="100"/>
      <w:ind w:left="850"/>
    </w:pPr>
  </w:style>
  <w:style w:type="paragraph" w:styleId="TOC7">
    <w:name w:val="toc 7"/>
    <w:basedOn w:val="a"/>
    <w:next w:val="a"/>
    <w:autoRedefine/>
    <w:semiHidden/>
    <w:unhideWhenUsed/>
    <w:rsid w:val="005B3008"/>
    <w:pPr>
      <w:spacing w:after="100"/>
      <w:ind w:left="1020"/>
    </w:pPr>
  </w:style>
  <w:style w:type="paragraph" w:styleId="TOC8">
    <w:name w:val="toc 8"/>
    <w:basedOn w:val="a"/>
    <w:next w:val="a"/>
    <w:autoRedefine/>
    <w:semiHidden/>
    <w:unhideWhenUsed/>
    <w:rsid w:val="005B3008"/>
    <w:pPr>
      <w:spacing w:after="100"/>
      <w:ind w:left="1190"/>
    </w:pPr>
  </w:style>
  <w:style w:type="paragraph" w:styleId="TOC9">
    <w:name w:val="toc 9"/>
    <w:basedOn w:val="a"/>
    <w:next w:val="a"/>
    <w:autoRedefine/>
    <w:semiHidden/>
    <w:unhideWhenUsed/>
    <w:rsid w:val="005B3008"/>
    <w:pPr>
      <w:spacing w:after="100"/>
      <w:ind w:left="1360"/>
    </w:pPr>
  </w:style>
  <w:style w:type="paragraph" w:customStyle="1" w:styleId="TableHead2">
    <w:name w:val="Table Head2"/>
    <w:basedOn w:val="TableHead"/>
    <w:qFormat/>
    <w:rsid w:val="005B3008"/>
    <w:pPr>
      <w:outlineLvl w:val="9"/>
    </w:pPr>
  </w:style>
  <w:style w:type="paragraph" w:customStyle="1" w:styleId="TableSideHeading2">
    <w:name w:val="Table SideHeading2"/>
    <w:basedOn w:val="TableSideHeading"/>
    <w:autoRedefine/>
    <w:qFormat/>
    <w:rsid w:val="005B3008"/>
    <w:pPr>
      <w:keepLines w:val="0"/>
      <w:outlineLvl w:val="9"/>
    </w:pPr>
  </w:style>
  <w:style w:type="paragraph" w:customStyle="1" w:styleId="0">
    <w:name w:val="סגנון שורה ראשונה:  0  ס''מ"/>
    <w:basedOn w:val="2"/>
    <w:rsid w:val="005B3008"/>
    <w:rPr>
      <w:rFonts w:eastAsia="Times New Roman"/>
    </w:rPr>
  </w:style>
  <w:style w:type="paragraph" w:styleId="ae">
    <w:name w:val="List Paragraph"/>
    <w:basedOn w:val="a"/>
    <w:uiPriority w:val="34"/>
    <w:qFormat/>
    <w:rsid w:val="005B3008"/>
    <w:pPr>
      <w:widowControl/>
      <w:spacing w:line="259" w:lineRule="auto"/>
    </w:pPr>
    <w:rPr>
      <w:rFonts w:asciiTheme="minorHAnsi" w:hAnsiTheme="minorHAnsi"/>
      <w:sz w:val="22"/>
    </w:rPr>
  </w:style>
  <w:style w:type="table" w:styleId="af">
    <w:name w:val="Table Grid"/>
    <w:basedOn w:val="a1"/>
    <w:rsid w:val="005B3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B30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B30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B300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B300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6AE77E5E-61EC-40D1-860F-8F98410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6E09A8A-706B-4830-80E4-EAE96E9B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525</Words>
  <Characters>2627</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בת אל עראקי</cp:lastModifiedBy>
  <cp:revision>6</cp:revision>
  <cp:lastPrinted>2013-07-04T08:25:00Z</cp:lastPrinted>
  <dcterms:created xsi:type="dcterms:W3CDTF">2015-04-20T09:58:00Z</dcterms:created>
  <dcterms:modified xsi:type="dcterms:W3CDTF">2023-06-28T07:50:00Z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2207777</vt:r8>
  </property>
</Properties>
</file>