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2204021</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וחמש</w:t>
      </w:r>
      <w:bookmarkEnd w:id="1"/>
    </w:p>
    <w:p w14:paraId="7F6961A3" w14:textId="77777777" w:rsidR="00E13C27" w:rsidRPr="00F67051" w:rsidRDefault="00E13C27" w:rsidP="00E13C27">
      <w:pPr>
        <w:rPr>
          <w:b/>
          <w:bCs/>
          <w:sz w:val="26"/>
          <w:szCs w:val="26"/>
          <w:rtl/>
        </w:rPr>
      </w:pPr>
    </w:p>
    <w:p w14:paraId="7F6961AA" w14:textId="3778FF3E" w:rsidR="00E13C27" w:rsidRPr="00CF1AA2" w:rsidRDefault="008F6665" w:rsidP="00421703">
      <w:pPr>
        <w:pStyle w:val="David"/>
        <w:ind w:left="3544"/>
        <w:rPr>
          <w:b/>
          <w:bCs/>
          <w:sz w:val="16"/>
          <w:szCs w:val="16"/>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צביקה פוגל</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C" w14:textId="71D0C74E" w:rsidR="00E13C27" w:rsidRDefault="00904591" w:rsidP="00AA3AA4">
      <w:pPr>
        <w:pStyle w:val="David"/>
        <w:spacing w:line="240" w:lineRule="auto"/>
        <w:ind w:left="3544"/>
        <w:rPr>
          <w:rtl/>
        </w:rPr>
      </w:pPr>
      <w:r>
        <w:t xml:space="preserve">                                   </w:t>
      </w:r>
      <w:r w:rsidR="00421703">
        <w:rPr>
          <w:rtl/>
        </w:rPr>
        <w:tab/>
      </w:r>
      <w:r w:rsidR="00D6741E">
        <w:rPr>
          <w:rtl/>
        </w:rPr>
        <w:tab/>
      </w:r>
      <w:r w:rsidR="00421703">
        <w:rPr>
          <w:rFonts w:hint="cs"/>
          <w:rtl/>
        </w:rPr>
        <w:t>פ/3328/25</w:t>
      </w:r>
    </w:p>
    <w:p w14:paraId="0B4CB571" w14:textId="77777777" w:rsidR="00421703" w:rsidRDefault="00421703" w:rsidP="00AA3AA4">
      <w:pPr>
        <w:pStyle w:val="David"/>
        <w:spacing w:line="240" w:lineRule="auto"/>
        <w:ind w:left="3544"/>
        <w:rPr>
          <w:rtl/>
        </w:rPr>
      </w:pPr>
    </w:p>
    <w:p w14:paraId="7F6961AE" w14:textId="1013176C" w:rsidR="00E13C27" w:rsidRDefault="00A443CF" w:rsidP="00421703">
      <w:pPr>
        <w:pStyle w:val="HeadHatzaotHok"/>
        <w:rPr>
          <w:rtl/>
        </w:rPr>
      </w:pPr>
      <w:bookmarkStart w:id="6" w:name="LGS_Subject"/>
      <w:r>
        <w:rPr>
          <w:rFonts w:hint="cs"/>
          <w:rtl/>
        </w:rPr>
        <w:t xml:space="preserve">הצעת חוק שירות הביטחון הכללי (תיקון </w:t>
      </w:r>
      <w:r w:rsidR="00421703">
        <w:rPr>
          <w:rFonts w:hint="eastAsia"/>
          <w:rtl/>
        </w:rPr>
        <w:t>–</w:t>
      </w:r>
      <w:r>
        <w:rPr>
          <w:rFonts w:hint="cs"/>
          <w:rtl/>
        </w:rPr>
        <w:t xml:space="preserve"> סיוע בטיפול בפשיעה פלילית חמורה), </w:t>
      </w:r>
      <w:proofErr w:type="spellStart"/>
      <w:r>
        <w:rPr>
          <w:rFonts w:hint="cs"/>
          <w:rtl/>
        </w:rPr>
        <w:t>התשפ"ג</w:t>
      </w:r>
      <w:proofErr w:type="spellEnd"/>
      <w:r>
        <w:rPr>
          <w:rFonts w:hint="cs"/>
          <w:rtl/>
        </w:rPr>
        <w:t>–2023</w:t>
      </w:r>
      <w:bookmarkEnd w:id="6"/>
    </w:p>
    <w:tbl>
      <w:tblPr>
        <w:bidiVisual/>
        <w:tblW w:w="9638"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7143"/>
      </w:tblGrid>
      <w:tr w:rsidR="00AA3AA4" w14:paraId="078FF229" w14:textId="77777777" w:rsidTr="00D6741E">
        <w:trPr>
          <w:cantSplit/>
        </w:trPr>
        <w:tc>
          <w:tcPr>
            <w:tcW w:w="1871" w:type="dxa"/>
          </w:tcPr>
          <w:p w14:paraId="365F6C0B" w14:textId="77777777" w:rsidR="00AA3AA4" w:rsidRPr="006104A3" w:rsidRDefault="00AA3AA4" w:rsidP="00377659">
            <w:pPr>
              <w:pStyle w:val="TableSideHeading"/>
              <w:keepLines w:val="0"/>
              <w:rPr>
                <w:sz w:val="26"/>
              </w:rPr>
            </w:pPr>
            <w:r>
              <w:rPr>
                <w:rFonts w:hint="cs"/>
                <w:sz w:val="26"/>
                <w:rtl/>
              </w:rPr>
              <w:t>תיקון סעיף 7</w:t>
            </w:r>
          </w:p>
        </w:tc>
        <w:tc>
          <w:tcPr>
            <w:tcW w:w="624" w:type="dxa"/>
          </w:tcPr>
          <w:p w14:paraId="05C0AF53" w14:textId="77777777" w:rsidR="00AA3AA4" w:rsidRDefault="00AA3AA4" w:rsidP="00377659">
            <w:pPr>
              <w:pStyle w:val="TableText"/>
              <w:keepLines w:val="0"/>
            </w:pPr>
            <w:r>
              <w:rPr>
                <w:sz w:val="26"/>
                <w:rtl/>
              </w:rPr>
              <w:t>1.</w:t>
            </w:r>
          </w:p>
        </w:tc>
        <w:tc>
          <w:tcPr>
            <w:tcW w:w="7143" w:type="dxa"/>
          </w:tcPr>
          <w:p w14:paraId="4C12C803" w14:textId="77777777" w:rsidR="00AA3AA4" w:rsidRDefault="00AA3AA4" w:rsidP="00D6741E">
            <w:pPr>
              <w:pStyle w:val="TableBlock"/>
            </w:pPr>
            <w:r>
              <w:rPr>
                <w:sz w:val="26"/>
                <w:rtl/>
              </w:rPr>
              <w:t xml:space="preserve">בחוק שירות הביטחון הכללי, </w:t>
            </w:r>
            <w:proofErr w:type="spellStart"/>
            <w:r>
              <w:rPr>
                <w:sz w:val="26"/>
                <w:rtl/>
              </w:rPr>
              <w:t>התשס"ב</w:t>
            </w:r>
            <w:proofErr w:type="spellEnd"/>
            <w:r>
              <w:rPr>
                <w:sz w:val="26"/>
                <w:rtl/>
              </w:rPr>
              <w:t>–2002</w:t>
            </w:r>
            <w:r w:rsidRPr="00D6741E">
              <w:rPr>
                <w:rStyle w:val="a6"/>
                <w:rFonts w:ascii="David" w:hAnsi="David"/>
                <w:sz w:val="26"/>
                <w:rtl/>
              </w:rPr>
              <w:footnoteReference w:id="2"/>
            </w:r>
            <w:r>
              <w:rPr>
                <w:rFonts w:hint="cs"/>
                <w:sz w:val="26"/>
                <w:rtl/>
              </w:rPr>
              <w:t xml:space="preserve"> (להלן </w:t>
            </w:r>
            <w:r>
              <w:rPr>
                <w:sz w:val="26"/>
                <w:rtl/>
              </w:rPr>
              <w:t>–</w:t>
            </w:r>
            <w:r>
              <w:rPr>
                <w:rFonts w:hint="cs"/>
                <w:sz w:val="26"/>
                <w:rtl/>
              </w:rPr>
              <w:t xml:space="preserve"> החוק העיקרי)</w:t>
            </w:r>
            <w:r>
              <w:rPr>
                <w:sz w:val="26"/>
                <w:rtl/>
              </w:rPr>
              <w:t xml:space="preserve">, בסעיף 7(ב), </w:t>
            </w:r>
            <w:r>
              <w:rPr>
                <w:rFonts w:hint="cs"/>
                <w:sz w:val="26"/>
                <w:rtl/>
              </w:rPr>
              <w:t>אחרי פסקה</w:t>
            </w:r>
            <w:r>
              <w:rPr>
                <w:sz w:val="26"/>
                <w:rtl/>
              </w:rPr>
              <w:t xml:space="preserve"> </w:t>
            </w:r>
            <w:r>
              <w:rPr>
                <w:rFonts w:hint="cs"/>
                <w:sz w:val="26"/>
                <w:rtl/>
              </w:rPr>
              <w:t>(5</w:t>
            </w:r>
            <w:r>
              <w:rPr>
                <w:sz w:val="26"/>
                <w:rtl/>
              </w:rPr>
              <w:t>) יבוא:</w:t>
            </w:r>
          </w:p>
        </w:tc>
      </w:tr>
      <w:tr w:rsidR="00AA3AA4" w14:paraId="27E7E65A" w14:textId="77777777" w:rsidTr="00D6741E">
        <w:trPr>
          <w:cantSplit/>
        </w:trPr>
        <w:tc>
          <w:tcPr>
            <w:tcW w:w="1871" w:type="dxa"/>
          </w:tcPr>
          <w:p w14:paraId="3849C4EB" w14:textId="77777777" w:rsidR="00AA3AA4" w:rsidRDefault="00AA3AA4" w:rsidP="00377659">
            <w:pPr>
              <w:pStyle w:val="TableSideHeading"/>
            </w:pPr>
          </w:p>
        </w:tc>
        <w:tc>
          <w:tcPr>
            <w:tcW w:w="624" w:type="dxa"/>
          </w:tcPr>
          <w:p w14:paraId="011443CA" w14:textId="77777777" w:rsidR="00AA3AA4" w:rsidRDefault="00AA3AA4" w:rsidP="00377659">
            <w:pPr>
              <w:pStyle w:val="TableText"/>
            </w:pPr>
          </w:p>
        </w:tc>
        <w:tc>
          <w:tcPr>
            <w:tcW w:w="7143" w:type="dxa"/>
          </w:tcPr>
          <w:p w14:paraId="01795CC0" w14:textId="77777777" w:rsidR="00AA3AA4" w:rsidRDefault="00AA3AA4" w:rsidP="00D6741E">
            <w:pPr>
              <w:pStyle w:val="TableBlock"/>
            </w:pPr>
            <w:r>
              <w:rPr>
                <w:rFonts w:hint="cs"/>
                <w:rtl/>
              </w:rPr>
              <w:t>"(5א)</w:t>
            </w:r>
            <w:r>
              <w:rPr>
                <w:rtl/>
              </w:rPr>
              <w:tab/>
            </w:r>
            <w:r w:rsidRPr="00CC483C">
              <w:rPr>
                <w:rtl/>
              </w:rPr>
              <w:t xml:space="preserve">סיוע למשטרת ישראל במניעה ובחקירה של פשיעה פלילית חמורה בהתאם לכללים </w:t>
            </w:r>
            <w:r>
              <w:rPr>
                <w:rFonts w:hint="cs"/>
                <w:rtl/>
              </w:rPr>
              <w:t>שיקבע ראש הממשלה, לאחר התייעצות עם</w:t>
            </w:r>
            <w:r w:rsidRPr="00CC483C">
              <w:rPr>
                <w:rtl/>
              </w:rPr>
              <w:t xml:space="preserve"> </w:t>
            </w:r>
            <w:r>
              <w:rPr>
                <w:rFonts w:hint="cs"/>
                <w:rtl/>
              </w:rPr>
              <w:t>המפקח הכללי</w:t>
            </w:r>
            <w:r w:rsidRPr="00CC483C">
              <w:rPr>
                <w:rtl/>
              </w:rPr>
              <w:t xml:space="preserve"> </w:t>
            </w:r>
            <w:r>
              <w:rPr>
                <w:rFonts w:hint="cs"/>
                <w:rtl/>
              </w:rPr>
              <w:t>של משטרת ישראל</w:t>
            </w:r>
            <w:r w:rsidRPr="00CC483C">
              <w:rPr>
                <w:rtl/>
              </w:rPr>
              <w:t xml:space="preserve"> </w:t>
            </w:r>
            <w:r w:rsidRPr="00784CF5">
              <w:rPr>
                <w:rtl/>
              </w:rPr>
              <w:t>ו</w:t>
            </w:r>
            <w:r w:rsidRPr="00784CF5">
              <w:rPr>
                <w:rFonts w:hint="cs"/>
                <w:rtl/>
              </w:rPr>
              <w:t>באישור</w:t>
            </w:r>
            <w:r w:rsidRPr="00784CF5">
              <w:rPr>
                <w:rtl/>
              </w:rPr>
              <w:t xml:space="preserve"> </w:t>
            </w:r>
            <w:r>
              <w:rPr>
                <w:rFonts w:hint="cs"/>
                <w:rtl/>
              </w:rPr>
              <w:t xml:space="preserve">ועדת השרים לענייני השירות </w:t>
            </w:r>
            <w:r w:rsidRPr="00CC483C">
              <w:rPr>
                <w:rtl/>
              </w:rPr>
              <w:t>וועדת הכנסת לענייני השירות</w:t>
            </w:r>
            <w:r>
              <w:rPr>
                <w:rFonts w:hint="cs"/>
                <w:rtl/>
              </w:rPr>
              <w:t>;"</w:t>
            </w:r>
            <w:r w:rsidRPr="00CC483C">
              <w:rPr>
                <w:rtl/>
              </w:rPr>
              <w:t>.</w:t>
            </w:r>
          </w:p>
        </w:tc>
      </w:tr>
      <w:tr w:rsidR="00AA3AA4" w14:paraId="155E8251" w14:textId="77777777" w:rsidTr="00D6741E">
        <w:trPr>
          <w:cantSplit/>
        </w:trPr>
        <w:tc>
          <w:tcPr>
            <w:tcW w:w="1871" w:type="dxa"/>
          </w:tcPr>
          <w:p w14:paraId="067CDD4E" w14:textId="77777777" w:rsidR="00AA3AA4" w:rsidRDefault="00AA3AA4" w:rsidP="00377659">
            <w:pPr>
              <w:pStyle w:val="TableSideHeading"/>
            </w:pPr>
            <w:r>
              <w:rPr>
                <w:rFonts w:hint="cs"/>
                <w:rtl/>
              </w:rPr>
              <w:t>תיקון סעיף 8</w:t>
            </w:r>
          </w:p>
        </w:tc>
        <w:tc>
          <w:tcPr>
            <w:tcW w:w="624" w:type="dxa"/>
          </w:tcPr>
          <w:p w14:paraId="7F42B2EA" w14:textId="77777777" w:rsidR="00AA3AA4" w:rsidRDefault="00AA3AA4" w:rsidP="00377659">
            <w:pPr>
              <w:pStyle w:val="TableText"/>
            </w:pPr>
            <w:r>
              <w:rPr>
                <w:rFonts w:hint="cs"/>
                <w:rtl/>
              </w:rPr>
              <w:t>2.</w:t>
            </w:r>
          </w:p>
        </w:tc>
        <w:tc>
          <w:tcPr>
            <w:tcW w:w="7143" w:type="dxa"/>
          </w:tcPr>
          <w:p w14:paraId="3CD6BEB2" w14:textId="77777777" w:rsidR="00AA3AA4" w:rsidRDefault="00AA3AA4" w:rsidP="00D6741E">
            <w:pPr>
              <w:pStyle w:val="TableBlock"/>
            </w:pPr>
            <w:r>
              <w:rPr>
                <w:rFonts w:hint="cs"/>
                <w:rtl/>
              </w:rPr>
              <w:t>בסעיף 8(א)(3) לחוק העיקרי, אחרי "7(ב)(1)" יבוא "או 7(ב)(5א)".</w:t>
            </w:r>
          </w:p>
        </w:tc>
      </w:tr>
    </w:tbl>
    <w:p w14:paraId="7F6961CA" w14:textId="77777777" w:rsidR="002D1EE3" w:rsidRDefault="002D1EE3" w:rsidP="002D1EE3">
      <w:pPr>
        <w:pStyle w:val="HeadDivreiHesber"/>
        <w:rPr>
          <w:rtl/>
        </w:rPr>
      </w:pPr>
      <w:r w:rsidRPr="0027450A">
        <w:rPr>
          <w:rFonts w:hint="cs"/>
          <w:rtl/>
        </w:rPr>
        <w:t>דברי הסבר</w:t>
      </w:r>
    </w:p>
    <w:p w14:paraId="0BC05241" w14:textId="77777777" w:rsidR="00AA3AA4" w:rsidRPr="00441C24" w:rsidRDefault="00AA3AA4" w:rsidP="00421703">
      <w:pPr>
        <w:pStyle w:val="Hesber1st"/>
        <w:tabs>
          <w:tab w:val="clear" w:pos="680"/>
        </w:tabs>
        <w:spacing w:line="240" w:lineRule="auto"/>
        <w:rPr>
          <w:rtl/>
        </w:rPr>
      </w:pPr>
      <w:r w:rsidRPr="00441C24">
        <w:rPr>
          <w:rFonts w:hint="cs"/>
          <w:rtl/>
        </w:rPr>
        <w:t xml:space="preserve">הפשיעה הפלילית החמורה, בייחוד בחברה הערבית, הפכה למכת מדינה ועלתה לסדר היום הציבורי בשנים האחרונות. לפי נתוני "יוזמות אברהם", בחברה הערבית בשנת 2021 היו 126 נרצחים ורק 29 מקרים פוענחו, בשנת 2022 היו 116 נרצחים ורק 25 מקרים פוענחו. מדובר בשיעור נמוך מ-25%. לפי נתונים שנמסרו ממשטרת ישראל ופורסמו ב"מעריב", בחברה הכללית, בין השנים 2021-2013, כ-45% ממקרי הרצח לא פוענחו. משטרת ישראל פועלת ללא לאות על מנת לחקור ולעצור את הפושעים ובייחוד הפושעים אשר ביצעו עבירות חמורות, אך זו נתקלת בחוסר משאבים, בריבוי עבירות ובשיטת הפעלה אשר לא מותאמת לחברה הערבית. זאת ועוד, למשטרה חסר את המודיעין האיכותי והמדויק על מנת לאתר את מחוללי הפשע ובפרט את סוחרי הנשק, המבריחים, ארגוני הפשיעה ועוד. </w:t>
      </w:r>
    </w:p>
    <w:p w14:paraId="6C20426E" w14:textId="77777777" w:rsidR="00AA3AA4" w:rsidRPr="00441C24" w:rsidRDefault="00AA3AA4" w:rsidP="00421703">
      <w:pPr>
        <w:pStyle w:val="Hesber"/>
        <w:spacing w:line="240" w:lineRule="auto"/>
        <w:rPr>
          <w:rtl/>
        </w:rPr>
      </w:pPr>
      <w:r w:rsidRPr="00441C24">
        <w:rPr>
          <w:rFonts w:hint="cs"/>
          <w:rtl/>
        </w:rPr>
        <w:t xml:space="preserve">הצעת חוק זו באה לעגן את סמכות שירות הביטחון הכללי לסייע למשטרת ישראל במניעה ובחקירה של פשיעה פלילית חמורה. שירות הביטחון הכללי, הפועל מתוקף חוק במדינת ישראל, מצויד בכלים ובידע על מנת לסייע ככל שיידרש כדי לגדוע את הפשיעה הפלילית החמורה. הצעת חוק זו מוסיפה את הסמכות הנדרשת, אך לאור רגישות הנושא ומורכבותו, כללי התערבות </w:t>
      </w:r>
      <w:proofErr w:type="spellStart"/>
      <w:r w:rsidRPr="00441C24">
        <w:rPr>
          <w:rFonts w:hint="cs"/>
          <w:rtl/>
        </w:rPr>
        <w:t>השב''כ</w:t>
      </w:r>
      <w:proofErr w:type="spellEnd"/>
      <w:r w:rsidRPr="00441C24">
        <w:rPr>
          <w:rFonts w:hint="cs"/>
          <w:rtl/>
        </w:rPr>
        <w:t xml:space="preserve"> ייקבעו על ידי ראש הממשלה, בהתייעצות עם המפקח הכללי של המשטרה, ובאישור ועדת השרים לענייני השירות ו</w:t>
      </w:r>
      <w:r w:rsidRPr="00441C24">
        <w:rPr>
          <w:rtl/>
        </w:rPr>
        <w:t>ועדת המשנה למודיעין ולשירותים חשאיים של ועדת החוץ והביטחון של הכנסת</w:t>
      </w:r>
      <w:r w:rsidRPr="00441C24">
        <w:rPr>
          <w:rFonts w:hint="cs"/>
          <w:rtl/>
        </w:rPr>
        <w:t>.</w:t>
      </w:r>
    </w:p>
    <w:p w14:paraId="2CA1665B" w14:textId="01CF422E" w:rsidR="00AA3AA4" w:rsidRPr="00441C24" w:rsidRDefault="00AA3AA4" w:rsidP="00421703">
      <w:pPr>
        <w:pStyle w:val="Hesber"/>
        <w:spacing w:line="240" w:lineRule="auto"/>
        <w:rPr>
          <w:rtl/>
        </w:rPr>
      </w:pPr>
      <w:r w:rsidRPr="00441C24">
        <w:rPr>
          <w:rFonts w:hint="cs"/>
          <w:rtl/>
        </w:rPr>
        <w:t>הצעת חוק זהה הונחה</w:t>
      </w:r>
      <w:r w:rsidR="003824AC" w:rsidRPr="00441C24">
        <w:rPr>
          <w:rFonts w:hint="cs"/>
          <w:rtl/>
        </w:rPr>
        <w:t xml:space="preserve"> על שולחן הכנסת העשרים וחמש על ידי </w:t>
      </w:r>
      <w:r w:rsidRPr="00441C24">
        <w:rPr>
          <w:rFonts w:hint="cs"/>
          <w:rtl/>
        </w:rPr>
        <w:t>חבר הכנסת אליהו רביבו (פ/2388/25).</w:t>
      </w:r>
    </w:p>
    <w:p w14:paraId="072A8CCC" w14:textId="717AE642" w:rsidR="003824AC" w:rsidRDefault="003824AC" w:rsidP="00421703">
      <w:pPr>
        <w:pStyle w:val="Hesber"/>
        <w:spacing w:line="240" w:lineRule="auto"/>
        <w:rPr>
          <w:rtl/>
        </w:rPr>
      </w:pPr>
      <w:r w:rsidRPr="00441C24">
        <w:rPr>
          <w:rFonts w:hint="cs"/>
          <w:rtl/>
        </w:rPr>
        <w:t xml:space="preserve">הצעת החוק זהה </w:t>
      </w:r>
      <w:proofErr w:type="spellStart"/>
      <w:r w:rsidRPr="00441C24">
        <w:rPr>
          <w:rFonts w:hint="cs"/>
          <w:rtl/>
        </w:rPr>
        <w:t>לפ</w:t>
      </w:r>
      <w:proofErr w:type="spellEnd"/>
      <w:r w:rsidRPr="00441C24">
        <w:rPr>
          <w:rFonts w:hint="cs"/>
          <w:rtl/>
        </w:rPr>
        <w:t>/23</w:t>
      </w:r>
      <w:r w:rsidR="00D6741E">
        <w:rPr>
          <w:rFonts w:hint="cs"/>
          <w:rtl/>
        </w:rPr>
        <w:t>8</w:t>
      </w:r>
      <w:r w:rsidRPr="00441C24">
        <w:rPr>
          <w:rFonts w:hint="cs"/>
          <w:rtl/>
        </w:rPr>
        <w:t xml:space="preserve">8/25 ולפיכך לא נבדקה מחדש על ידי הלשכה המשפטית של הכנסת. </w:t>
      </w:r>
    </w:p>
    <w:p w14:paraId="57666A6E" w14:textId="77777777" w:rsidR="008132FF" w:rsidRDefault="00421703" w:rsidP="00D6741E">
      <w:pPr>
        <w:spacing w:line="240" w:lineRule="auto"/>
        <w:jc w:val="left"/>
      </w:pPr>
      <w:bookmarkStart w:id="7" w:name="selectedDocDateB"/>
      <w:bookmarkStart w:id="8" w:name="_GoBack"/>
      <w:bookmarkEnd w:id="7"/>
      <w:bookmarkEnd w:id="8"/>
      <w:r>
        <w:rPr>
          <w:rFonts w:eastAsia="David" w:hint="cs"/>
          <w:sz w:val="26"/>
          <w:szCs w:val="26"/>
          <w:rtl/>
        </w:rPr>
        <w:t>--------------------------------</w:t>
      </w:r>
    </w:p>
    <w:p w14:paraId="0F0DDF25" w14:textId="77777777" w:rsidR="008132FF" w:rsidRDefault="00421703" w:rsidP="00D6741E">
      <w:pPr>
        <w:spacing w:line="240" w:lineRule="auto"/>
        <w:jc w:val="left"/>
      </w:pPr>
      <w:r>
        <w:rPr>
          <w:rFonts w:eastAsia="David" w:hint="cs"/>
          <w:sz w:val="26"/>
          <w:szCs w:val="26"/>
          <w:rtl/>
        </w:rPr>
        <w:t>הוגשה ליו"ר הכנסת והסגנים</w:t>
      </w:r>
    </w:p>
    <w:p w14:paraId="22365879" w14:textId="77777777" w:rsidR="008132FF" w:rsidRDefault="00421703" w:rsidP="00D6741E">
      <w:pPr>
        <w:spacing w:line="240" w:lineRule="auto"/>
        <w:jc w:val="left"/>
      </w:pPr>
      <w:r>
        <w:rPr>
          <w:rFonts w:eastAsia="David" w:hint="cs"/>
          <w:sz w:val="26"/>
          <w:szCs w:val="26"/>
          <w:rtl/>
        </w:rPr>
        <w:t>והונחה על שולחן הכנסת ביום</w:t>
      </w:r>
    </w:p>
    <w:p w14:paraId="0C2A8CC0" w14:textId="18D9701E" w:rsidR="008132FF" w:rsidRDefault="00421703" w:rsidP="00D6741E">
      <w:pPr>
        <w:spacing w:line="240" w:lineRule="auto"/>
        <w:jc w:val="left"/>
      </w:pPr>
      <w:r>
        <w:rPr>
          <w:rFonts w:eastAsia="David" w:hint="cs"/>
          <w:sz w:val="26"/>
          <w:szCs w:val="26"/>
          <w:rtl/>
        </w:rPr>
        <w:t xml:space="preserve">כ"ד באייר </w:t>
      </w:r>
      <w:proofErr w:type="spellStart"/>
      <w:r>
        <w:rPr>
          <w:rFonts w:eastAsia="David" w:hint="cs"/>
          <w:sz w:val="26"/>
          <w:szCs w:val="26"/>
          <w:rtl/>
        </w:rPr>
        <w:t>התשפ"ג</w:t>
      </w:r>
      <w:proofErr w:type="spellEnd"/>
      <w:r>
        <w:rPr>
          <w:rFonts w:eastAsia="David" w:hint="cs"/>
          <w:sz w:val="26"/>
          <w:szCs w:val="26"/>
          <w:rtl/>
        </w:rPr>
        <w:t xml:space="preserve"> (15.05.2023) </w:t>
      </w:r>
    </w:p>
    <w:sectPr w:rsidR="008132FF" w:rsidSect="00D6741E">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D6741E">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D6741E">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65BA141F" w14:textId="77777777" w:rsidR="00AA3AA4" w:rsidRDefault="00AA3AA4" w:rsidP="00AA3AA4">
      <w:pPr>
        <w:pStyle w:val="a4"/>
      </w:pPr>
      <w:r>
        <w:rPr>
          <w:rStyle w:val="a6"/>
        </w:rPr>
        <w:footnoteRef/>
      </w:r>
      <w:r>
        <w:rPr>
          <w:sz w:val="20"/>
          <w:rtl/>
        </w:rPr>
        <w:t xml:space="preserve"> ס"ח </w:t>
      </w:r>
      <w:proofErr w:type="spellStart"/>
      <w:r>
        <w:rPr>
          <w:sz w:val="20"/>
          <w:rtl/>
        </w:rPr>
        <w:t>התשס"ב</w:t>
      </w:r>
      <w:proofErr w:type="spellEnd"/>
      <w:r>
        <w:rPr>
          <w:sz w:val="20"/>
          <w:rtl/>
        </w:rPr>
        <w:t>, עמ' 179.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145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A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907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128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AEAC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60E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03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5460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303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A7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24AC"/>
    <w:rsid w:val="00386E88"/>
    <w:rsid w:val="00396585"/>
    <w:rsid w:val="003D6E38"/>
    <w:rsid w:val="003D74A0"/>
    <w:rsid w:val="004033D8"/>
    <w:rsid w:val="004073F0"/>
    <w:rsid w:val="00412A7D"/>
    <w:rsid w:val="00416B4D"/>
    <w:rsid w:val="00417CFC"/>
    <w:rsid w:val="00421703"/>
    <w:rsid w:val="00441C24"/>
    <w:rsid w:val="004938F4"/>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32FF"/>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A3AA4"/>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6741E"/>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 w:val="00FC49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0150119C-5F0E-4041-83DB-9C9C7C58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41E"/>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D6741E"/>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D6741E"/>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D6741E"/>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D6741E"/>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D6741E"/>
    <w:pPr>
      <w:spacing w:line="259" w:lineRule="auto"/>
      <w:outlineLvl w:val="4"/>
    </w:pPr>
    <w:rPr>
      <w:color w:val="000000" w:themeColor="text1"/>
    </w:rPr>
  </w:style>
  <w:style w:type="character" w:default="1" w:styleId="a0">
    <w:name w:val="Default Paragraph Font"/>
    <w:uiPriority w:val="1"/>
    <w:semiHidden/>
    <w:unhideWhenUsed/>
    <w:rsid w:val="00D6741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6741E"/>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D6741E"/>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D6741E"/>
    <w:rPr>
      <w:sz w:val="36"/>
      <w:szCs w:val="52"/>
    </w:rPr>
  </w:style>
  <w:style w:type="paragraph" w:customStyle="1" w:styleId="Cover3-Haknesset">
    <w:name w:val="Cover 3-Haknesset"/>
    <w:basedOn w:val="Cover1-Reshumot"/>
    <w:rsid w:val="00D6741E"/>
    <w:rPr>
      <w:b/>
      <w:bCs/>
      <w:spacing w:val="60"/>
    </w:rPr>
  </w:style>
  <w:style w:type="paragraph" w:customStyle="1" w:styleId="Cover4-Date">
    <w:name w:val="Cover 4-Date"/>
    <w:basedOn w:val="a"/>
    <w:rsid w:val="00D6741E"/>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D6741E"/>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D6741E"/>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D6741E"/>
    <w:pPr>
      <w:spacing w:before="120" w:after="120"/>
    </w:pPr>
    <w:rPr>
      <w:color w:val="FF0000"/>
      <w:w w:val="80"/>
    </w:rPr>
  </w:style>
  <w:style w:type="paragraph" w:styleId="a3">
    <w:name w:val="endnote text"/>
    <w:basedOn w:val="a"/>
    <w:semiHidden/>
    <w:rsid w:val="00D6741E"/>
    <w:pPr>
      <w:ind w:left="227" w:hanging="227"/>
    </w:pPr>
    <w:rPr>
      <w:sz w:val="14"/>
      <w:szCs w:val="22"/>
    </w:rPr>
  </w:style>
  <w:style w:type="paragraph" w:customStyle="1" w:styleId="TableText">
    <w:name w:val="Table Text"/>
    <w:basedOn w:val="a"/>
    <w:rsid w:val="00D6741E"/>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D6741E"/>
    <w:pPr>
      <w:outlineLvl w:val="2"/>
    </w:pPr>
  </w:style>
  <w:style w:type="paragraph" w:customStyle="1" w:styleId="TableBlock">
    <w:name w:val="Table Block"/>
    <w:basedOn w:val="TableText"/>
    <w:rsid w:val="00D6741E"/>
    <w:pPr>
      <w:jc w:val="both"/>
    </w:pPr>
  </w:style>
  <w:style w:type="paragraph" w:customStyle="1" w:styleId="TableHead">
    <w:name w:val="Table Head"/>
    <w:basedOn w:val="TableText"/>
    <w:rsid w:val="00D6741E"/>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D6741E"/>
    <w:pPr>
      <w:outlineLvl w:val="9"/>
    </w:pPr>
  </w:style>
  <w:style w:type="paragraph" w:customStyle="1" w:styleId="Hesber">
    <w:name w:val="Hesber"/>
    <w:basedOn w:val="a"/>
    <w:rsid w:val="00D6741E"/>
    <w:pPr>
      <w:snapToGrid w:val="0"/>
      <w:ind w:left="0" w:firstLine="340"/>
    </w:pPr>
    <w:rPr>
      <w:rFonts w:ascii="Arial" w:eastAsia="Arial Unicode MS" w:hAnsi="Arial"/>
      <w:snapToGrid w:val="0"/>
      <w:sz w:val="20"/>
      <w:szCs w:val="26"/>
    </w:rPr>
  </w:style>
  <w:style w:type="paragraph" w:styleId="a4">
    <w:name w:val="footnote text"/>
    <w:basedOn w:val="a"/>
    <w:link w:val="a5"/>
    <w:autoRedefine/>
    <w:rsid w:val="00D6741E"/>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rsid w:val="00D6741E"/>
    <w:rPr>
      <w:vertAlign w:val="superscript"/>
    </w:rPr>
  </w:style>
  <w:style w:type="paragraph" w:customStyle="1" w:styleId="HesberHeading">
    <w:name w:val="Hesber Heading"/>
    <w:basedOn w:val="Hesber"/>
    <w:rsid w:val="00D6741E"/>
    <w:pPr>
      <w:tabs>
        <w:tab w:val="left" w:pos="624"/>
        <w:tab w:val="left" w:pos="1247"/>
      </w:tabs>
    </w:pPr>
    <w:rPr>
      <w:b/>
      <w:bCs/>
    </w:rPr>
  </w:style>
  <w:style w:type="paragraph" w:customStyle="1" w:styleId="HesberWriters">
    <w:name w:val="Hesber Writers"/>
    <w:basedOn w:val="Hesber"/>
    <w:rsid w:val="00D6741E"/>
    <w:pPr>
      <w:spacing w:before="120" w:after="120"/>
      <w:ind w:left="1418"/>
      <w:jc w:val="right"/>
    </w:pPr>
    <w:rPr>
      <w:b/>
      <w:bCs/>
    </w:rPr>
  </w:style>
  <w:style w:type="paragraph" w:customStyle="1" w:styleId="Hesber1st">
    <w:name w:val="Hesber 1st"/>
    <w:basedOn w:val="Hesber"/>
    <w:rsid w:val="00D6741E"/>
    <w:pPr>
      <w:tabs>
        <w:tab w:val="left" w:pos="680"/>
        <w:tab w:val="left" w:pos="1020"/>
      </w:tabs>
      <w:ind w:firstLine="0"/>
    </w:pPr>
  </w:style>
  <w:style w:type="character" w:styleId="a7">
    <w:name w:val="endnote reference"/>
    <w:basedOn w:val="a0"/>
    <w:semiHidden/>
    <w:rsid w:val="00D6741E"/>
    <w:rPr>
      <w:vertAlign w:val="superscript"/>
    </w:rPr>
  </w:style>
  <w:style w:type="paragraph" w:customStyle="1" w:styleId="TableBlockOutdent">
    <w:name w:val="Table BlockOutdent"/>
    <w:basedOn w:val="TableBlock"/>
    <w:rsid w:val="00D6741E"/>
    <w:pPr>
      <w:ind w:left="624" w:hanging="624"/>
    </w:pPr>
  </w:style>
  <w:style w:type="paragraph" w:styleId="a8">
    <w:name w:val="header"/>
    <w:basedOn w:val="a"/>
    <w:rsid w:val="00D6741E"/>
    <w:pPr>
      <w:tabs>
        <w:tab w:val="center" w:pos="4153"/>
        <w:tab w:val="right" w:pos="8306"/>
      </w:tabs>
    </w:pPr>
  </w:style>
  <w:style w:type="paragraph" w:styleId="a9">
    <w:name w:val="footer"/>
    <w:basedOn w:val="a"/>
    <w:rsid w:val="00D6741E"/>
    <w:pPr>
      <w:tabs>
        <w:tab w:val="center" w:pos="4153"/>
        <w:tab w:val="right" w:pos="8306"/>
      </w:tabs>
    </w:pPr>
  </w:style>
  <w:style w:type="paragraph" w:customStyle="1" w:styleId="HeadDivreiHesber">
    <w:name w:val="Head DivreiHesber"/>
    <w:basedOn w:val="a"/>
    <w:rsid w:val="00D6741E"/>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D6741E"/>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D6741E"/>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locked/>
    <w:rsid w:val="00AA3AA4"/>
    <w:rPr>
      <w:rFonts w:ascii="Arial" w:eastAsia="Arial Unicode MS" w:hAnsi="Arial" w:cs="David"/>
      <w:snapToGrid w:val="0"/>
      <w:sz w:val="14"/>
    </w:rPr>
  </w:style>
  <w:style w:type="character" w:customStyle="1" w:styleId="10">
    <w:name w:val="כותרת 1 תו"/>
    <w:basedOn w:val="a0"/>
    <w:link w:val="1"/>
    <w:uiPriority w:val="9"/>
    <w:rsid w:val="00D6741E"/>
    <w:rPr>
      <w:rFonts w:asciiTheme="majorHAnsi" w:eastAsiaTheme="majorEastAsia" w:hAnsiTheme="majorHAnsi" w:cs="David"/>
      <w:bCs/>
      <w:sz w:val="32"/>
      <w:szCs w:val="36"/>
    </w:rPr>
  </w:style>
  <w:style w:type="character" w:customStyle="1" w:styleId="20">
    <w:name w:val="כותרת 2 תו"/>
    <w:basedOn w:val="a0"/>
    <w:link w:val="2"/>
    <w:rsid w:val="00D6741E"/>
    <w:rPr>
      <w:rFonts w:asciiTheme="majorHAnsi" w:eastAsiaTheme="majorEastAsia" w:hAnsiTheme="majorHAnsi" w:cs="David"/>
      <w:bCs/>
      <w:sz w:val="26"/>
      <w:szCs w:val="36"/>
      <w:u w:val="single"/>
    </w:rPr>
  </w:style>
  <w:style w:type="character" w:customStyle="1" w:styleId="30">
    <w:name w:val="כותרת 3 תו"/>
    <w:basedOn w:val="a0"/>
    <w:link w:val="3"/>
    <w:rsid w:val="00D6741E"/>
    <w:rPr>
      <w:rFonts w:asciiTheme="majorHAnsi" w:eastAsiaTheme="majorEastAsia" w:hAnsiTheme="majorHAnsi" w:cs="David"/>
      <w:sz w:val="24"/>
      <w:szCs w:val="28"/>
      <w:u w:val="double"/>
    </w:rPr>
  </w:style>
  <w:style w:type="character" w:customStyle="1" w:styleId="40">
    <w:name w:val="כותרת 4 תו"/>
    <w:basedOn w:val="a0"/>
    <w:link w:val="4"/>
    <w:uiPriority w:val="9"/>
    <w:rsid w:val="00D6741E"/>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D6741E"/>
    <w:rPr>
      <w:rFonts w:ascii="David" w:eastAsiaTheme="minorHAnsi" w:hAnsi="David" w:cs="David"/>
      <w:color w:val="000000" w:themeColor="text1"/>
      <w:sz w:val="24"/>
      <w:szCs w:val="24"/>
    </w:rPr>
  </w:style>
  <w:style w:type="paragraph" w:styleId="ae">
    <w:name w:val="TOC Heading"/>
    <w:basedOn w:val="1"/>
    <w:next w:val="a"/>
    <w:uiPriority w:val="39"/>
    <w:unhideWhenUsed/>
    <w:qFormat/>
    <w:rsid w:val="00D6741E"/>
    <w:pPr>
      <w:widowControl/>
      <w:spacing w:before="120" w:after="120"/>
      <w:outlineLvl w:val="9"/>
    </w:pPr>
    <w:rPr>
      <w:rtl/>
      <w:cs/>
    </w:rPr>
  </w:style>
  <w:style w:type="paragraph" w:styleId="TOC1">
    <w:name w:val="toc 1"/>
    <w:basedOn w:val="a"/>
    <w:next w:val="a"/>
    <w:autoRedefine/>
    <w:uiPriority w:val="39"/>
    <w:unhideWhenUsed/>
    <w:rsid w:val="00D6741E"/>
    <w:pPr>
      <w:tabs>
        <w:tab w:val="right" w:leader="dot" w:pos="9629"/>
      </w:tabs>
      <w:spacing w:after="100"/>
    </w:pPr>
    <w:rPr>
      <w:bCs/>
      <w:szCs w:val="22"/>
    </w:rPr>
  </w:style>
  <w:style w:type="paragraph" w:styleId="TOC2">
    <w:name w:val="toc 2"/>
    <w:basedOn w:val="a"/>
    <w:next w:val="a"/>
    <w:uiPriority w:val="39"/>
    <w:unhideWhenUsed/>
    <w:rsid w:val="00D6741E"/>
    <w:pPr>
      <w:tabs>
        <w:tab w:val="right" w:leader="dot" w:pos="9628"/>
      </w:tabs>
      <w:spacing w:after="100"/>
    </w:pPr>
    <w:rPr>
      <w:szCs w:val="22"/>
    </w:rPr>
  </w:style>
  <w:style w:type="character" w:styleId="Hyperlink">
    <w:name w:val="Hyperlink"/>
    <w:basedOn w:val="a0"/>
    <w:uiPriority w:val="99"/>
    <w:unhideWhenUsed/>
    <w:rsid w:val="00D6741E"/>
    <w:rPr>
      <w:color w:val="0000FF" w:themeColor="hyperlink"/>
      <w:u w:val="single"/>
    </w:rPr>
  </w:style>
  <w:style w:type="paragraph" w:styleId="TOC3">
    <w:name w:val="toc 3"/>
    <w:basedOn w:val="a"/>
    <w:next w:val="a"/>
    <w:uiPriority w:val="39"/>
    <w:unhideWhenUsed/>
    <w:rsid w:val="00D6741E"/>
    <w:pPr>
      <w:tabs>
        <w:tab w:val="right" w:leader="dot" w:pos="9629"/>
      </w:tabs>
      <w:spacing w:after="100"/>
      <w:ind w:left="567"/>
    </w:pPr>
    <w:rPr>
      <w:szCs w:val="22"/>
    </w:rPr>
  </w:style>
  <w:style w:type="paragraph" w:styleId="TOC4">
    <w:name w:val="toc 4"/>
    <w:basedOn w:val="a"/>
    <w:next w:val="a"/>
    <w:autoRedefine/>
    <w:unhideWhenUsed/>
    <w:qFormat/>
    <w:rsid w:val="00D6741E"/>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D6741E"/>
    <w:pPr>
      <w:tabs>
        <w:tab w:val="right" w:leader="dot" w:pos="9628"/>
      </w:tabs>
      <w:spacing w:after="100"/>
      <w:ind w:left="567"/>
    </w:pPr>
    <w:rPr>
      <w:szCs w:val="22"/>
    </w:rPr>
  </w:style>
  <w:style w:type="paragraph" w:styleId="TOC6">
    <w:name w:val="toc 6"/>
    <w:basedOn w:val="a"/>
    <w:next w:val="a"/>
    <w:autoRedefine/>
    <w:semiHidden/>
    <w:unhideWhenUsed/>
    <w:rsid w:val="00D6741E"/>
    <w:pPr>
      <w:spacing w:after="100"/>
      <w:ind w:left="850"/>
    </w:pPr>
  </w:style>
  <w:style w:type="paragraph" w:styleId="TOC7">
    <w:name w:val="toc 7"/>
    <w:basedOn w:val="a"/>
    <w:next w:val="a"/>
    <w:autoRedefine/>
    <w:semiHidden/>
    <w:unhideWhenUsed/>
    <w:rsid w:val="00D6741E"/>
    <w:pPr>
      <w:spacing w:after="100"/>
      <w:ind w:left="1020"/>
    </w:pPr>
  </w:style>
  <w:style w:type="paragraph" w:styleId="TOC8">
    <w:name w:val="toc 8"/>
    <w:basedOn w:val="a"/>
    <w:next w:val="a"/>
    <w:autoRedefine/>
    <w:semiHidden/>
    <w:unhideWhenUsed/>
    <w:rsid w:val="00D6741E"/>
    <w:pPr>
      <w:spacing w:after="100"/>
      <w:ind w:left="1190"/>
    </w:pPr>
  </w:style>
  <w:style w:type="paragraph" w:styleId="TOC9">
    <w:name w:val="toc 9"/>
    <w:basedOn w:val="a"/>
    <w:next w:val="a"/>
    <w:autoRedefine/>
    <w:semiHidden/>
    <w:unhideWhenUsed/>
    <w:rsid w:val="00D6741E"/>
    <w:pPr>
      <w:spacing w:after="100"/>
      <w:ind w:left="1360"/>
    </w:pPr>
  </w:style>
  <w:style w:type="paragraph" w:customStyle="1" w:styleId="TableHead2">
    <w:name w:val="Table Head2"/>
    <w:basedOn w:val="TableHead"/>
    <w:qFormat/>
    <w:rsid w:val="00D6741E"/>
    <w:pPr>
      <w:outlineLvl w:val="9"/>
    </w:pPr>
  </w:style>
  <w:style w:type="paragraph" w:customStyle="1" w:styleId="TableSideHeading2">
    <w:name w:val="Table SideHeading2"/>
    <w:basedOn w:val="TableSideHeading"/>
    <w:autoRedefine/>
    <w:qFormat/>
    <w:rsid w:val="00D6741E"/>
    <w:pPr>
      <w:keepLines w:val="0"/>
      <w:outlineLvl w:val="9"/>
    </w:pPr>
  </w:style>
  <w:style w:type="paragraph" w:customStyle="1" w:styleId="0">
    <w:name w:val="סגנון שורה ראשונה:  0  ס''מ"/>
    <w:basedOn w:val="2"/>
    <w:rsid w:val="00D6741E"/>
    <w:rPr>
      <w:rFonts w:eastAsia="Times New Roman"/>
    </w:rPr>
  </w:style>
  <w:style w:type="paragraph" w:styleId="af">
    <w:name w:val="List Paragraph"/>
    <w:basedOn w:val="a"/>
    <w:uiPriority w:val="34"/>
    <w:qFormat/>
    <w:rsid w:val="00D6741E"/>
    <w:pPr>
      <w:widowControl/>
      <w:spacing w:line="259" w:lineRule="auto"/>
    </w:pPr>
    <w:rPr>
      <w:rFonts w:asciiTheme="minorHAnsi" w:hAnsiTheme="minorHAnsi"/>
      <w:sz w:val="22"/>
    </w:rPr>
  </w:style>
  <w:style w:type="table" w:styleId="af0">
    <w:name w:val="Table Grid"/>
    <w:basedOn w:val="a1"/>
    <w:rsid w:val="00D6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D674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D674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D6741E"/>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D6741E"/>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E21C28B32ECF49ADBB6A5BBBCCB3CD" ma:contentTypeVersion="" ma:contentTypeDescription="צור מסמך חדש." ma:contentTypeScope="" ma:versionID="f81d89568b860eeaa06327f0f2d2f14b">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F3A88-152C-4F65-8A70-A7942FD5C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4AFE3-9455-419C-8851-785A55F44517}">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90d5b49-c690-4c6f-bbb9-1e50dab33eee"/>
    <ds:schemaRef ds:uri="http://purl.org/dc/dcmitype/"/>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EEFF16D8-0323-428C-93E1-21BB604E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316</Words>
  <Characters>1805</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10</cp:revision>
  <cp:lastPrinted>2023-05-10T11:18:00Z</cp:lastPrinted>
  <dcterms:created xsi:type="dcterms:W3CDTF">2015-04-20T09:58:00Z</dcterms:created>
  <dcterms:modified xsi:type="dcterms:W3CDTF">2023-05-10T11:20:00Z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0x01010054E21C28B32ECF49ADBB6A5BBBCCB3CD</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2204021</vt:r8>
  </property>
</Properties>
</file>