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bookmarkStart w:id="0" w:name="_GoBack"/>
      <w:bookmarkEnd w:id="0"/>
      <w:r w:rsidRPr="00E635A2">
        <w:rPr>
          <w:rFonts w:cs="David" w:hint="cs"/>
          <w:sz w:val="20"/>
          <w:szCs w:val="20"/>
          <w:rtl/>
        </w:rPr>
        <w:t xml:space="preserve">מספר פנימי: </w:t>
      </w:r>
      <w:bookmarkStart w:id="1" w:name="LGS_Internal_ID"/>
      <w:r>
        <w:rPr>
          <w:rFonts w:cs="David" w:hint="cs"/>
          <w:sz w:val="20"/>
          <w:szCs w:val="20"/>
          <w:rtl/>
        </w:rPr>
        <w:t>2203295</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וחמש</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יוזם:</w:t>
      </w:r>
      <w:r>
        <w:tab/>
      </w:r>
      <w:r>
        <w:rPr>
          <w:b/>
          <w:bCs/>
          <w:rtl/>
        </w:rPr>
        <w:t xml:space="preserve">      חבר הכנסת</w:t>
      </w:r>
      <w:bookmarkEnd w:id="3"/>
      <w:r w:rsidR="00B35784" w:rsidRPr="00F67051">
        <w:rPr>
          <w:b/>
          <w:bCs/>
        </w:rPr>
        <w:tab/>
      </w:r>
      <w:bookmarkStart w:id="4" w:name="LGS_PM_Names"/>
      <w:r>
        <w:rPr>
          <w:rFonts w:hint="cs"/>
          <w:b/>
          <w:bCs/>
          <w:rtl/>
        </w:rPr>
        <w:t>יונתן מישרקי</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פ/2940/25</w:t>
      </w:r>
      <w:bookmarkEnd w:id="7"/>
    </w:p>
    <w:p w14:paraId="7F6961AC" w14:textId="77777777" w:rsidR="00E13C27" w:rsidRDefault="00E13C27" w:rsidP="00E13C27">
      <w:pPr>
        <w:spacing w:before="0" w:line="360" w:lineRule="auto"/>
        <w:ind w:left="2880" w:firstLine="720"/>
        <w:rPr>
          <w:rFonts w:cs="David"/>
          <w:sz w:val="26"/>
          <w:szCs w:val="26"/>
          <w:rtl/>
        </w:rPr>
      </w:pPr>
    </w:p>
    <w:p w14:paraId="7F6961AE" w14:textId="5FCB969A" w:rsidR="00E13C27" w:rsidRDefault="00A443CF" w:rsidP="00E75640">
      <w:pPr>
        <w:pStyle w:val="HeadHatzaotHok"/>
        <w:rPr>
          <w:rtl/>
        </w:rPr>
      </w:pPr>
      <w:bookmarkStart w:id="8" w:name="LGS_Subject"/>
      <w:r>
        <w:rPr>
          <w:rFonts w:hint="cs"/>
          <w:rtl/>
        </w:rPr>
        <w:t>הצעת חוק הגנת הצרכן (תיקון – חובת פרסום שם יצרן ודגם מוצר), התשפ"ג–2023</w:t>
      </w:r>
      <w:bookmarkEnd w:id="8"/>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6"/>
      </w:tblGrid>
      <w:tr w:rsidR="0027485F" w:rsidRPr="008A5115" w14:paraId="0F71AE55" w14:textId="77777777" w:rsidTr="00A06033">
        <w:trPr>
          <w:cantSplit/>
        </w:trPr>
        <w:tc>
          <w:tcPr>
            <w:tcW w:w="1871" w:type="dxa"/>
            <w:tcBorders>
              <w:top w:val="nil"/>
              <w:left w:val="nil"/>
              <w:bottom w:val="nil"/>
              <w:right w:val="nil"/>
            </w:tcBorders>
          </w:tcPr>
          <w:p w14:paraId="18D3393C" w14:textId="77777777" w:rsidR="0027485F" w:rsidRPr="008A5115" w:rsidRDefault="0027485F" w:rsidP="00A06033">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Pr>
                <w:rFonts w:cs="David" w:hint="cs"/>
                <w:spacing w:val="0"/>
                <w:sz w:val="26"/>
                <w:szCs w:val="26"/>
                <w:rtl/>
              </w:rPr>
              <w:t>תיקון סעיף 17ד</w:t>
            </w:r>
          </w:p>
        </w:tc>
        <w:tc>
          <w:tcPr>
            <w:tcW w:w="624" w:type="dxa"/>
            <w:tcBorders>
              <w:top w:val="nil"/>
              <w:left w:val="nil"/>
              <w:bottom w:val="nil"/>
              <w:right w:val="nil"/>
            </w:tcBorders>
          </w:tcPr>
          <w:p w14:paraId="7A476080" w14:textId="77777777" w:rsidR="0027485F" w:rsidRPr="008A5115" w:rsidRDefault="0027485F" w:rsidP="00A06033">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8A5115">
              <w:rPr>
                <w:rFonts w:cs="David"/>
                <w:spacing w:val="0"/>
                <w:sz w:val="26"/>
                <w:szCs w:val="26"/>
                <w:rtl/>
              </w:rPr>
              <w:t>1.</w:t>
            </w:r>
          </w:p>
        </w:tc>
        <w:tc>
          <w:tcPr>
            <w:tcW w:w="7146" w:type="dxa"/>
            <w:tcBorders>
              <w:top w:val="nil"/>
              <w:left w:val="nil"/>
              <w:bottom w:val="nil"/>
              <w:right w:val="nil"/>
            </w:tcBorders>
          </w:tcPr>
          <w:p w14:paraId="1F4E0710" w14:textId="77777777" w:rsidR="0027485F" w:rsidRPr="003A5884" w:rsidRDefault="0027485F" w:rsidP="00A06033">
            <w:pPr>
              <w:keepLines/>
              <w:tabs>
                <w:tab w:val="left" w:pos="624"/>
                <w:tab w:val="left" w:pos="1247"/>
              </w:tabs>
              <w:snapToGrid w:val="0"/>
              <w:spacing w:before="0" w:line="360" w:lineRule="auto"/>
              <w:ind w:firstLine="0"/>
              <w:rPr>
                <w:rFonts w:cs="David"/>
                <w:spacing w:val="0"/>
                <w:sz w:val="26"/>
                <w:szCs w:val="26"/>
              </w:rPr>
            </w:pPr>
            <w:r w:rsidRPr="00827FF8">
              <w:rPr>
                <w:rFonts w:cs="David" w:hint="cs"/>
                <w:spacing w:val="0"/>
                <w:sz w:val="26"/>
                <w:szCs w:val="26"/>
                <w:rtl/>
              </w:rPr>
              <w:t>בחוק</w:t>
            </w:r>
            <w:r w:rsidRPr="00827FF8">
              <w:rPr>
                <w:rFonts w:cs="David"/>
                <w:spacing w:val="0"/>
                <w:sz w:val="26"/>
                <w:szCs w:val="26"/>
                <w:rtl/>
              </w:rPr>
              <w:t xml:space="preserve"> </w:t>
            </w:r>
            <w:r w:rsidRPr="00827FF8">
              <w:rPr>
                <w:rFonts w:cs="David" w:hint="cs"/>
                <w:spacing w:val="0"/>
                <w:sz w:val="26"/>
                <w:szCs w:val="26"/>
                <w:rtl/>
              </w:rPr>
              <w:t>הגנת</w:t>
            </w:r>
            <w:r w:rsidRPr="00827FF8">
              <w:rPr>
                <w:rFonts w:cs="David"/>
                <w:spacing w:val="0"/>
                <w:sz w:val="26"/>
                <w:szCs w:val="26"/>
                <w:rtl/>
              </w:rPr>
              <w:t xml:space="preserve"> </w:t>
            </w:r>
            <w:r w:rsidRPr="00827FF8">
              <w:rPr>
                <w:rFonts w:cs="David" w:hint="cs"/>
                <w:spacing w:val="0"/>
                <w:sz w:val="26"/>
                <w:szCs w:val="26"/>
                <w:rtl/>
              </w:rPr>
              <w:t>הצרכן</w:t>
            </w:r>
            <w:r w:rsidRPr="00827FF8">
              <w:rPr>
                <w:rFonts w:cs="David"/>
                <w:spacing w:val="0"/>
                <w:sz w:val="26"/>
                <w:szCs w:val="26"/>
                <w:rtl/>
              </w:rPr>
              <w:t xml:space="preserve">, </w:t>
            </w:r>
            <w:r w:rsidRPr="00827FF8">
              <w:rPr>
                <w:rFonts w:cs="David" w:hint="cs"/>
                <w:spacing w:val="0"/>
                <w:sz w:val="26"/>
                <w:szCs w:val="26"/>
                <w:rtl/>
              </w:rPr>
              <w:t>התשמ</w:t>
            </w:r>
            <w:r w:rsidRPr="00827FF8">
              <w:rPr>
                <w:rFonts w:cs="David"/>
                <w:spacing w:val="0"/>
                <w:sz w:val="26"/>
                <w:szCs w:val="26"/>
                <w:rtl/>
              </w:rPr>
              <w:t>"</w:t>
            </w:r>
            <w:r w:rsidRPr="00827FF8">
              <w:rPr>
                <w:rFonts w:cs="David" w:hint="cs"/>
                <w:spacing w:val="0"/>
                <w:sz w:val="26"/>
                <w:szCs w:val="26"/>
                <w:rtl/>
              </w:rPr>
              <w:t>א</w:t>
            </w:r>
            <w:r>
              <w:rPr>
                <w:rFonts w:cs="David" w:hint="eastAsia"/>
                <w:spacing w:val="0"/>
                <w:sz w:val="26"/>
                <w:szCs w:val="26"/>
                <w:rtl/>
              </w:rPr>
              <w:t>–</w:t>
            </w:r>
            <w:r>
              <w:rPr>
                <w:rFonts w:cs="David" w:hint="cs"/>
                <w:spacing w:val="0"/>
                <w:sz w:val="26"/>
                <w:szCs w:val="26"/>
                <w:rtl/>
              </w:rPr>
              <w:t>1981</w:t>
            </w:r>
            <w:r w:rsidRPr="003A5884">
              <w:rPr>
                <w:rtl/>
              </w:rPr>
              <w:footnoteReference w:id="2"/>
            </w:r>
            <w:r w:rsidRPr="00827FF8">
              <w:rPr>
                <w:rFonts w:cs="David"/>
                <w:spacing w:val="0"/>
                <w:sz w:val="26"/>
                <w:szCs w:val="26"/>
                <w:rtl/>
              </w:rPr>
              <w:t xml:space="preserve"> </w:t>
            </w:r>
            <w:r>
              <w:rPr>
                <w:rFonts w:cs="David" w:hint="cs"/>
                <w:spacing w:val="0"/>
                <w:sz w:val="26"/>
                <w:szCs w:val="26"/>
                <w:rtl/>
              </w:rPr>
              <w:t xml:space="preserve">(להלן </w:t>
            </w:r>
            <w:r>
              <w:rPr>
                <w:rFonts w:cs="David" w:hint="eastAsia"/>
                <w:spacing w:val="0"/>
                <w:sz w:val="26"/>
                <w:szCs w:val="26"/>
                <w:rtl/>
              </w:rPr>
              <w:t xml:space="preserve">– </w:t>
            </w:r>
            <w:r>
              <w:rPr>
                <w:rFonts w:cs="David" w:hint="cs"/>
                <w:spacing w:val="0"/>
                <w:sz w:val="26"/>
                <w:szCs w:val="26"/>
                <w:rtl/>
              </w:rPr>
              <w:t xml:space="preserve">החוק העיקרי), בסעיף 17ד, בסופו יבוא </w:t>
            </w:r>
            <w:r w:rsidRPr="003A5884">
              <w:rPr>
                <w:rFonts w:cs="David" w:hint="cs"/>
                <w:spacing w:val="0"/>
                <w:sz w:val="26"/>
                <w:szCs w:val="26"/>
                <w:rtl/>
              </w:rPr>
              <w:t>"פרסם עוסק מחיר של נכס כאמור, יציין בפרסומת, לצד המחיר, גם את שם היצרן ואת מספר הדגם של הנכס, אם קיים."</w:t>
            </w:r>
          </w:p>
        </w:tc>
      </w:tr>
      <w:tr w:rsidR="0027485F" w:rsidRPr="0014282C" w14:paraId="0BA5F090" w14:textId="77777777" w:rsidTr="00A06033">
        <w:trPr>
          <w:cantSplit/>
        </w:trPr>
        <w:tc>
          <w:tcPr>
            <w:tcW w:w="1871" w:type="dxa"/>
            <w:tcBorders>
              <w:top w:val="nil"/>
              <w:left w:val="nil"/>
              <w:bottom w:val="nil"/>
              <w:right w:val="nil"/>
            </w:tcBorders>
          </w:tcPr>
          <w:p w14:paraId="1739AB3A" w14:textId="77777777" w:rsidR="0027485F" w:rsidRDefault="0027485F" w:rsidP="00A06033">
            <w:pPr>
              <w:keepLines/>
              <w:tabs>
                <w:tab w:val="left" w:pos="624"/>
                <w:tab w:val="left" w:pos="1247"/>
              </w:tabs>
              <w:snapToGrid w:val="0"/>
              <w:spacing w:before="0" w:line="360" w:lineRule="auto"/>
              <w:ind w:right="57" w:firstLine="0"/>
              <w:jc w:val="left"/>
              <w:rPr>
                <w:rFonts w:cs="David"/>
                <w:spacing w:val="0"/>
                <w:sz w:val="26"/>
                <w:szCs w:val="26"/>
                <w:rtl/>
              </w:rPr>
            </w:pPr>
            <w:r>
              <w:rPr>
                <w:rFonts w:cs="David" w:hint="cs"/>
                <w:spacing w:val="0"/>
                <w:sz w:val="26"/>
                <w:szCs w:val="26"/>
                <w:rtl/>
              </w:rPr>
              <w:t>תיקון סעיף 31א</w:t>
            </w:r>
          </w:p>
        </w:tc>
        <w:tc>
          <w:tcPr>
            <w:tcW w:w="624" w:type="dxa"/>
            <w:tcBorders>
              <w:top w:val="nil"/>
              <w:left w:val="nil"/>
              <w:bottom w:val="nil"/>
              <w:right w:val="nil"/>
            </w:tcBorders>
          </w:tcPr>
          <w:p w14:paraId="1A6A9A54" w14:textId="77777777" w:rsidR="0027485F" w:rsidRDefault="0027485F" w:rsidP="00A06033">
            <w:pPr>
              <w:pStyle w:val="TableText"/>
              <w:rPr>
                <w:rtl/>
              </w:rPr>
            </w:pPr>
            <w:r>
              <w:rPr>
                <w:rFonts w:hint="cs"/>
                <w:rtl/>
              </w:rPr>
              <w:t>2.</w:t>
            </w:r>
          </w:p>
        </w:tc>
        <w:tc>
          <w:tcPr>
            <w:tcW w:w="7146" w:type="dxa"/>
            <w:tcBorders>
              <w:top w:val="nil"/>
              <w:left w:val="nil"/>
              <w:bottom w:val="nil"/>
              <w:right w:val="nil"/>
            </w:tcBorders>
          </w:tcPr>
          <w:p w14:paraId="06AF3C38" w14:textId="77777777" w:rsidR="0027485F" w:rsidRPr="007A52EA" w:rsidRDefault="0027485F" w:rsidP="00A06033">
            <w:pPr>
              <w:pStyle w:val="TableBlock"/>
              <w:rPr>
                <w:rtl/>
              </w:rPr>
            </w:pPr>
            <w:r>
              <w:rPr>
                <w:rFonts w:hint="cs"/>
                <w:rtl/>
              </w:rPr>
              <w:t xml:space="preserve">בסעיף 31א לחוק העיקרי, אחרי סעיף קטן (א) יבוא: </w:t>
            </w:r>
          </w:p>
        </w:tc>
      </w:tr>
      <w:tr w:rsidR="0027485F" w:rsidRPr="0014282C" w14:paraId="5B7EAFBE" w14:textId="77777777" w:rsidTr="00A06033">
        <w:trPr>
          <w:cantSplit/>
        </w:trPr>
        <w:tc>
          <w:tcPr>
            <w:tcW w:w="1871" w:type="dxa"/>
            <w:tcBorders>
              <w:top w:val="nil"/>
              <w:left w:val="nil"/>
              <w:bottom w:val="nil"/>
              <w:right w:val="nil"/>
            </w:tcBorders>
          </w:tcPr>
          <w:p w14:paraId="780A6AF9" w14:textId="77777777" w:rsidR="0027485F" w:rsidRDefault="0027485F" w:rsidP="00A06033">
            <w:pPr>
              <w:keepLines/>
              <w:tabs>
                <w:tab w:val="left" w:pos="624"/>
                <w:tab w:val="left" w:pos="1247"/>
              </w:tabs>
              <w:snapToGrid w:val="0"/>
              <w:spacing w:before="0" w:line="360" w:lineRule="auto"/>
              <w:ind w:right="57" w:firstLine="0"/>
              <w:jc w:val="left"/>
              <w:rPr>
                <w:rFonts w:cs="David"/>
                <w:spacing w:val="0"/>
                <w:sz w:val="26"/>
                <w:szCs w:val="26"/>
                <w:rtl/>
              </w:rPr>
            </w:pPr>
          </w:p>
        </w:tc>
        <w:tc>
          <w:tcPr>
            <w:tcW w:w="624" w:type="dxa"/>
            <w:tcBorders>
              <w:top w:val="nil"/>
              <w:left w:val="nil"/>
              <w:bottom w:val="nil"/>
              <w:right w:val="nil"/>
            </w:tcBorders>
          </w:tcPr>
          <w:p w14:paraId="42B6C82B" w14:textId="77777777" w:rsidR="0027485F" w:rsidRDefault="0027485F" w:rsidP="00A06033">
            <w:pPr>
              <w:pStyle w:val="TableText"/>
              <w:rPr>
                <w:rtl/>
              </w:rPr>
            </w:pPr>
          </w:p>
        </w:tc>
        <w:tc>
          <w:tcPr>
            <w:tcW w:w="7146" w:type="dxa"/>
            <w:tcBorders>
              <w:top w:val="nil"/>
              <w:left w:val="nil"/>
              <w:bottom w:val="nil"/>
              <w:right w:val="nil"/>
            </w:tcBorders>
          </w:tcPr>
          <w:p w14:paraId="792A013E" w14:textId="77777777" w:rsidR="0027485F" w:rsidRDefault="0027485F" w:rsidP="00A06033">
            <w:pPr>
              <w:pStyle w:val="TableBlock"/>
              <w:rPr>
                <w:rtl/>
              </w:rPr>
            </w:pPr>
            <w:r>
              <w:rPr>
                <w:rFonts w:hint="cs"/>
                <w:rtl/>
              </w:rPr>
              <w:t>"(א1)</w:t>
            </w:r>
            <w:r>
              <w:rPr>
                <w:rtl/>
              </w:rPr>
              <w:tab/>
            </w:r>
            <w:r>
              <w:rPr>
                <w:rFonts w:hint="cs"/>
                <w:rtl/>
              </w:rPr>
              <w:t>הפר עוסק הוראה לעניין חובת ציון שם יצרן או מספר דגם בפרסומת</w:t>
            </w:r>
            <w:r w:rsidRPr="00716D0B">
              <w:rPr>
                <w:rtl/>
              </w:rPr>
              <w:t>,</w:t>
            </w:r>
            <w:r>
              <w:rPr>
                <w:rFonts w:hint="cs"/>
                <w:rtl/>
              </w:rPr>
              <w:t xml:space="preserve"> בניגוד להוראות סעיף 17ד,</w:t>
            </w:r>
            <w:r w:rsidRPr="00716D0B">
              <w:rPr>
                <w:rtl/>
              </w:rPr>
              <w:t xml:space="preserve"> </w:t>
            </w:r>
            <w:r w:rsidRPr="00716D0B">
              <w:rPr>
                <w:rFonts w:hint="cs"/>
                <w:rtl/>
              </w:rPr>
              <w:t>רשאי</w:t>
            </w:r>
            <w:r w:rsidRPr="00716D0B">
              <w:rPr>
                <w:rtl/>
              </w:rPr>
              <w:t xml:space="preserve"> </w:t>
            </w:r>
            <w:r w:rsidRPr="00716D0B">
              <w:rPr>
                <w:rFonts w:hint="cs"/>
                <w:rtl/>
              </w:rPr>
              <w:t>בית</w:t>
            </w:r>
            <w:r w:rsidRPr="00716D0B">
              <w:rPr>
                <w:rtl/>
              </w:rPr>
              <w:t xml:space="preserve"> </w:t>
            </w:r>
            <w:r w:rsidRPr="00716D0B">
              <w:rPr>
                <w:rFonts w:hint="cs"/>
                <w:rtl/>
              </w:rPr>
              <w:t>המשפט</w:t>
            </w:r>
            <w:r w:rsidRPr="00716D0B">
              <w:rPr>
                <w:rtl/>
              </w:rPr>
              <w:t xml:space="preserve"> </w:t>
            </w:r>
            <w:r w:rsidRPr="00716D0B">
              <w:rPr>
                <w:rFonts w:hint="cs"/>
                <w:rtl/>
              </w:rPr>
              <w:t>לפסוק</w:t>
            </w:r>
            <w:r w:rsidRPr="00716D0B">
              <w:rPr>
                <w:rtl/>
              </w:rPr>
              <w:t xml:space="preserve">, </w:t>
            </w:r>
            <w:r w:rsidRPr="00716D0B">
              <w:rPr>
                <w:rFonts w:hint="cs"/>
                <w:rtl/>
              </w:rPr>
              <w:t>בשל</w:t>
            </w:r>
            <w:r w:rsidRPr="00716D0B">
              <w:rPr>
                <w:rtl/>
              </w:rPr>
              <w:t xml:space="preserve"> </w:t>
            </w:r>
            <w:r w:rsidRPr="00716D0B">
              <w:rPr>
                <w:rFonts w:hint="cs"/>
                <w:rtl/>
              </w:rPr>
              <w:t>אותה</w:t>
            </w:r>
            <w:r w:rsidRPr="00716D0B">
              <w:rPr>
                <w:rtl/>
              </w:rPr>
              <w:t xml:space="preserve"> </w:t>
            </w:r>
            <w:r w:rsidRPr="00716D0B">
              <w:rPr>
                <w:rFonts w:hint="cs"/>
                <w:rtl/>
              </w:rPr>
              <w:t>הפרה</w:t>
            </w:r>
            <w:r w:rsidRPr="00716D0B">
              <w:rPr>
                <w:rtl/>
              </w:rPr>
              <w:t xml:space="preserve">, </w:t>
            </w:r>
            <w:r w:rsidRPr="00716D0B">
              <w:rPr>
                <w:rFonts w:hint="cs"/>
                <w:rtl/>
              </w:rPr>
              <w:t>פיצויים</w:t>
            </w:r>
            <w:r w:rsidRPr="00716D0B">
              <w:rPr>
                <w:rtl/>
              </w:rPr>
              <w:t xml:space="preserve"> </w:t>
            </w:r>
            <w:r>
              <w:rPr>
                <w:rFonts w:hint="cs"/>
                <w:rtl/>
              </w:rPr>
              <w:t>לדוגמה</w:t>
            </w:r>
            <w:r w:rsidRPr="00716D0B">
              <w:rPr>
                <w:rtl/>
              </w:rPr>
              <w:t xml:space="preserve">, </w:t>
            </w:r>
            <w:r w:rsidRPr="00716D0B">
              <w:rPr>
                <w:rFonts w:hint="cs"/>
                <w:rtl/>
              </w:rPr>
              <w:t>בסכום</w:t>
            </w:r>
            <w:r w:rsidRPr="00716D0B">
              <w:rPr>
                <w:rtl/>
              </w:rPr>
              <w:t xml:space="preserve"> </w:t>
            </w:r>
            <w:r w:rsidRPr="00716D0B">
              <w:rPr>
                <w:rFonts w:hint="cs"/>
                <w:rtl/>
              </w:rPr>
              <w:t>שלא</w:t>
            </w:r>
            <w:r w:rsidRPr="00716D0B">
              <w:rPr>
                <w:rtl/>
              </w:rPr>
              <w:t xml:space="preserve"> </w:t>
            </w:r>
            <w:r w:rsidRPr="00716D0B">
              <w:rPr>
                <w:rFonts w:hint="cs"/>
                <w:rtl/>
              </w:rPr>
              <w:t>יעלה</w:t>
            </w:r>
            <w:r w:rsidRPr="00716D0B">
              <w:rPr>
                <w:rtl/>
              </w:rPr>
              <w:t xml:space="preserve"> </w:t>
            </w:r>
            <w:r w:rsidRPr="00716D0B">
              <w:rPr>
                <w:rFonts w:hint="cs"/>
                <w:rtl/>
              </w:rPr>
              <w:t>על</w:t>
            </w:r>
            <w:r w:rsidRPr="00716D0B">
              <w:rPr>
                <w:rtl/>
              </w:rPr>
              <w:t xml:space="preserve"> </w:t>
            </w:r>
            <w:r>
              <w:rPr>
                <w:rFonts w:hint="cs"/>
                <w:rtl/>
              </w:rPr>
              <w:t>2,500</w:t>
            </w:r>
            <w:r w:rsidRPr="00716D0B">
              <w:rPr>
                <w:rtl/>
              </w:rPr>
              <w:t xml:space="preserve"> </w:t>
            </w:r>
            <w:r w:rsidRPr="00716D0B">
              <w:rPr>
                <w:rFonts w:hint="cs"/>
                <w:rtl/>
              </w:rPr>
              <w:t>שקלים</w:t>
            </w:r>
            <w:r w:rsidRPr="00716D0B">
              <w:rPr>
                <w:rtl/>
              </w:rPr>
              <w:t xml:space="preserve"> </w:t>
            </w:r>
            <w:r w:rsidRPr="00716D0B">
              <w:rPr>
                <w:rFonts w:hint="cs"/>
                <w:rtl/>
              </w:rPr>
              <w:t>חדשים</w:t>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6927C868" w14:textId="77777777" w:rsidR="0027485F" w:rsidRPr="00043E09" w:rsidRDefault="0027485F" w:rsidP="0027485F">
      <w:pPr>
        <w:pStyle w:val="Hesber"/>
        <w:spacing w:line="240" w:lineRule="auto"/>
        <w:rPr>
          <w:rtl/>
        </w:rPr>
      </w:pPr>
      <w:r w:rsidRPr="00043E09">
        <w:rPr>
          <w:rFonts w:hint="cs"/>
          <w:rtl/>
        </w:rPr>
        <w:t xml:space="preserve">בשנים האחרונות נפוץ השימוש </w:t>
      </w:r>
      <w:r w:rsidRPr="00DC1A9B">
        <w:rPr>
          <w:rFonts w:hint="cs"/>
          <w:rtl/>
        </w:rPr>
        <w:t>באתרי</w:t>
      </w:r>
      <w:r w:rsidRPr="00043E09">
        <w:rPr>
          <w:rFonts w:hint="cs"/>
          <w:rtl/>
        </w:rPr>
        <w:t xml:space="preserve"> השוואת מחירים ובאתרי מכירות באינטרנט דוגמת "</w:t>
      </w:r>
      <w:r w:rsidRPr="00043E09">
        <w:rPr>
          <w:rFonts w:hint="cs"/>
        </w:rPr>
        <w:t>ZAP</w:t>
      </w:r>
      <w:r w:rsidRPr="00043E09">
        <w:rPr>
          <w:rFonts w:hint="cs"/>
          <w:rtl/>
        </w:rPr>
        <w:t>" "</w:t>
      </w:r>
      <w:r w:rsidRPr="00043E09">
        <w:rPr>
          <w:rFonts w:hint="cs"/>
        </w:rPr>
        <w:t>PRICIZ</w:t>
      </w:r>
      <w:r w:rsidRPr="00043E09">
        <w:rPr>
          <w:rFonts w:hint="cs"/>
          <w:rtl/>
        </w:rPr>
        <w:t xml:space="preserve">" או </w:t>
      </w:r>
      <w:r w:rsidRPr="00043E09">
        <w:t>"</w:t>
      </w:r>
      <w:r w:rsidRPr="00043E09">
        <w:rPr>
          <w:rFonts w:hint="cs"/>
        </w:rPr>
        <w:t>EBAY</w:t>
      </w:r>
      <w:r w:rsidRPr="00043E09">
        <w:t>"</w:t>
      </w:r>
      <w:r>
        <w:rPr>
          <w:rFonts w:hint="cs"/>
          <w:rtl/>
        </w:rPr>
        <w:t xml:space="preserve"> לשם בדיקה </w:t>
      </w:r>
      <w:r w:rsidRPr="00043E09">
        <w:rPr>
          <w:rFonts w:hint="cs"/>
          <w:rtl/>
        </w:rPr>
        <w:t xml:space="preserve">אם מחירו של מוצר הוא אכן "מחיר מבצע" כפי שפורסם. עוסקים רבים, ובעיקר רשתות שיווק גדולות, מפרסמים מוצרים שונים במחירי מבצע או בהנחה מיוחדת, ללא ציון פרטיו המדויקים של המוצר. במקרים רבים, מטרת פרסומים אלה היא לגרום למשיכת קונים פוטנציאלים לבקר בבית העסק, כדי שירכשו מוצר דומה או מוצרים נוספים שנמכרים בבית העסק. </w:t>
      </w:r>
    </w:p>
    <w:p w14:paraId="36401A05" w14:textId="77777777" w:rsidR="0027485F" w:rsidRPr="00043E09" w:rsidRDefault="0027485F" w:rsidP="0027485F">
      <w:pPr>
        <w:pStyle w:val="Hesber"/>
        <w:spacing w:line="240" w:lineRule="auto"/>
        <w:rPr>
          <w:rtl/>
        </w:rPr>
      </w:pPr>
      <w:r w:rsidRPr="00413CAC">
        <w:rPr>
          <w:rFonts w:hint="cs"/>
          <w:rtl/>
        </w:rPr>
        <w:t>עוסקים</w:t>
      </w:r>
      <w:r w:rsidRPr="00413CAC">
        <w:rPr>
          <w:rtl/>
        </w:rPr>
        <w:t xml:space="preserve"> רבים מנצלים לרעה </w:t>
      </w:r>
      <w:r>
        <w:rPr>
          <w:rFonts w:hint="cs"/>
          <w:rtl/>
        </w:rPr>
        <w:t>שיטת</w:t>
      </w:r>
      <w:r w:rsidRPr="00413CAC">
        <w:rPr>
          <w:rFonts w:hint="cs"/>
          <w:rtl/>
        </w:rPr>
        <w:t xml:space="preserve"> </w:t>
      </w:r>
      <w:r>
        <w:rPr>
          <w:rtl/>
        </w:rPr>
        <w:t>פרסו</w:t>
      </w:r>
      <w:r>
        <w:rPr>
          <w:rFonts w:hint="cs"/>
          <w:rtl/>
        </w:rPr>
        <w:t>ם זו</w:t>
      </w:r>
      <w:r w:rsidRPr="00413CAC">
        <w:rPr>
          <w:rtl/>
        </w:rPr>
        <w:t xml:space="preserve">, </w:t>
      </w:r>
      <w:r w:rsidRPr="00413CAC">
        <w:rPr>
          <w:rFonts w:hint="cs"/>
          <w:rtl/>
        </w:rPr>
        <w:t>ו</w:t>
      </w:r>
      <w:r w:rsidRPr="00413CAC">
        <w:rPr>
          <w:rtl/>
        </w:rPr>
        <w:t xml:space="preserve">בפרסומת </w:t>
      </w:r>
      <w:r w:rsidRPr="00413CAC">
        <w:rPr>
          <w:rFonts w:hint="cs"/>
          <w:rtl/>
        </w:rPr>
        <w:t xml:space="preserve">הם מציינים את מחיר המוצרים </w:t>
      </w:r>
      <w:r>
        <w:rPr>
          <w:rFonts w:hint="cs"/>
          <w:rtl/>
        </w:rPr>
        <w:t>מ</w:t>
      </w:r>
      <w:r w:rsidRPr="00413CAC">
        <w:rPr>
          <w:rFonts w:hint="cs"/>
          <w:rtl/>
        </w:rPr>
        <w:t xml:space="preserve">בלי לציין </w:t>
      </w:r>
      <w:r w:rsidRPr="00043E09">
        <w:rPr>
          <w:rFonts w:hint="cs"/>
          <w:rtl/>
        </w:rPr>
        <w:t xml:space="preserve">את הדגם המדויק, או מוסיפים ציון כאמור שאינו מלא, כך שלא ניתן לדעת באיזה מוצר בדיוק מדובר, מיהו היצרן ומהו הדגם. </w:t>
      </w:r>
      <w:r w:rsidRPr="00043E09">
        <w:rPr>
          <w:rtl/>
        </w:rPr>
        <w:t>שיט</w:t>
      </w:r>
      <w:r w:rsidRPr="00043E09">
        <w:rPr>
          <w:rFonts w:hint="cs"/>
          <w:rtl/>
        </w:rPr>
        <w:t xml:space="preserve">ת פרסום זו </w:t>
      </w:r>
      <w:r w:rsidRPr="00043E09">
        <w:rPr>
          <w:rtl/>
        </w:rPr>
        <w:t>גובלת בהטעיה ובחוסר תום לב, כאשר צרכ</w:t>
      </w:r>
      <w:r w:rsidRPr="00043E09">
        <w:rPr>
          <w:rFonts w:hint="cs"/>
          <w:rtl/>
        </w:rPr>
        <w:t>נים</w:t>
      </w:r>
      <w:r w:rsidRPr="00043E09">
        <w:rPr>
          <w:rtl/>
        </w:rPr>
        <w:t xml:space="preserve"> </w:t>
      </w:r>
      <w:r w:rsidRPr="00043E09">
        <w:rPr>
          <w:rFonts w:hint="cs"/>
          <w:rtl/>
        </w:rPr>
        <w:t>טורחים להגיע לבית העסק ורק שם הם</w:t>
      </w:r>
      <w:r w:rsidRPr="00043E09">
        <w:rPr>
          <w:rtl/>
        </w:rPr>
        <w:t xml:space="preserve"> מ</w:t>
      </w:r>
      <w:r w:rsidRPr="00043E09">
        <w:rPr>
          <w:rFonts w:hint="cs"/>
          <w:rtl/>
        </w:rPr>
        <w:t xml:space="preserve">גלים כי </w:t>
      </w:r>
      <w:r w:rsidRPr="00043E09">
        <w:rPr>
          <w:rtl/>
        </w:rPr>
        <w:t xml:space="preserve">המוצר </w:t>
      </w:r>
      <w:r w:rsidRPr="00043E09">
        <w:rPr>
          <w:rFonts w:hint="cs"/>
          <w:rtl/>
        </w:rPr>
        <w:t>שפורסם הוא מוצר אחר.</w:t>
      </w:r>
    </w:p>
    <w:p w14:paraId="5432FC4B" w14:textId="77777777" w:rsidR="0027485F" w:rsidRPr="00043E09" w:rsidRDefault="0027485F" w:rsidP="0027485F">
      <w:pPr>
        <w:pStyle w:val="Hesber"/>
        <w:spacing w:line="240" w:lineRule="auto"/>
        <w:rPr>
          <w:rtl/>
        </w:rPr>
      </w:pPr>
      <w:r w:rsidRPr="00043E09">
        <w:rPr>
          <w:rFonts w:hint="cs"/>
          <w:rtl/>
        </w:rPr>
        <w:t xml:space="preserve">לפיכך, מוצע לחייב עוסק המפרסם מוצרים לציין לצד מחיר המוצר גם את פרטי היצרן ואת מספר הדגם של אותו מוצר. חובה זו תביא לכך שהצרכן ידע בעת הצפייה בפרסומת מהו הדגם המדויק המוצע למכירה, תאפשר לצרכן לערוך השוואה יעילה ומדויקת יותר באתרי השוואת מחירים לגבי מחירי המוצרים שבמבצע, ותסייע לצרכן לוודא כי מחיר המוצר המופיע בפרסום אכן משתלם. </w:t>
      </w:r>
    </w:p>
    <w:p w14:paraId="5938810B" w14:textId="398B34A8" w:rsidR="00D473AA" w:rsidRDefault="00D473AA" w:rsidP="00D473AA">
      <w:pPr>
        <w:pStyle w:val="Hesber"/>
        <w:spacing w:line="240" w:lineRule="auto"/>
        <w:rPr>
          <w:rtl/>
        </w:rPr>
      </w:pPr>
      <w:r>
        <w:rPr>
          <w:rtl/>
        </w:rPr>
        <w:t xml:space="preserve">הצעות חוק זהות הונחו על שולחן הכנסת העשרים </w:t>
      </w:r>
      <w:r>
        <w:rPr>
          <w:rFonts w:hint="cs"/>
          <w:rtl/>
        </w:rPr>
        <w:t xml:space="preserve">וחמש על ידי חבר הכנסת אורי מקלב וקבוצת חברי </w:t>
      </w:r>
      <w:r w:rsidR="00E75640">
        <w:rPr>
          <w:rFonts w:hint="cs"/>
          <w:rtl/>
        </w:rPr>
        <w:t>ה</w:t>
      </w:r>
      <w:r>
        <w:rPr>
          <w:rFonts w:hint="cs"/>
          <w:rtl/>
        </w:rPr>
        <w:t xml:space="preserve">כנסת (פ/991/25), ועל ידי חבר </w:t>
      </w:r>
      <w:r w:rsidR="00E75640">
        <w:rPr>
          <w:rFonts w:hint="cs"/>
          <w:rtl/>
        </w:rPr>
        <w:t>ה</w:t>
      </w:r>
      <w:r>
        <w:rPr>
          <w:rFonts w:hint="cs"/>
          <w:rtl/>
        </w:rPr>
        <w:t>כנסת ואליד אלהואשלה (פ/2001/25).</w:t>
      </w:r>
    </w:p>
    <w:p w14:paraId="192D57B2" w14:textId="202F5BCC" w:rsidR="00D473AA" w:rsidRPr="00D473AA" w:rsidRDefault="00D473AA" w:rsidP="00D473AA">
      <w:pPr>
        <w:pStyle w:val="Hesber"/>
        <w:spacing w:line="240" w:lineRule="auto"/>
      </w:pPr>
      <w:r>
        <w:rPr>
          <w:rFonts w:hint="cs"/>
          <w:rtl/>
        </w:rPr>
        <w:t>הצעת החוק זהה לפ/2001/25 ולפיכך לא נבדקה מחדש על ידי הלשכה המשפטית של הכנסת.</w:t>
      </w:r>
    </w:p>
    <w:p w14:paraId="7F6961CB" w14:textId="3A1DF718" w:rsidR="00E13C27" w:rsidRPr="00D473AA" w:rsidRDefault="00E13C27" w:rsidP="00E75640">
      <w:pPr>
        <w:pStyle w:val="Hesber"/>
        <w:spacing w:line="240" w:lineRule="auto"/>
        <w:rPr>
          <w:rtl/>
        </w:rPr>
      </w:pPr>
    </w:p>
    <w:p w14:paraId="2563A2B2" w14:textId="77777777" w:rsidR="003D78EE" w:rsidRDefault="00E75640" w:rsidP="00E75640">
      <w:pPr>
        <w:spacing w:before="0" w:line="240" w:lineRule="auto"/>
        <w:jc w:val="left"/>
      </w:pPr>
      <w:bookmarkStart w:id="9" w:name="selectedDocDateB"/>
      <w:bookmarkEnd w:id="9"/>
      <w:r>
        <w:rPr>
          <w:rFonts w:ascii="David" w:eastAsia="David" w:hAnsi="David" w:cs="David" w:hint="cs"/>
          <w:sz w:val="26"/>
          <w:szCs w:val="26"/>
          <w:rtl/>
        </w:rPr>
        <w:t>--------------------------------</w:t>
      </w:r>
    </w:p>
    <w:p w14:paraId="7A6553E9" w14:textId="77777777" w:rsidR="003D78EE" w:rsidRDefault="00E75640" w:rsidP="00E75640">
      <w:pPr>
        <w:spacing w:before="0" w:line="240" w:lineRule="auto"/>
        <w:jc w:val="left"/>
      </w:pPr>
      <w:r>
        <w:rPr>
          <w:rFonts w:ascii="David" w:eastAsia="David" w:hAnsi="David" w:cs="David" w:hint="cs"/>
          <w:sz w:val="26"/>
          <w:szCs w:val="26"/>
          <w:rtl/>
        </w:rPr>
        <w:t>הוגשה ליו"ר הכנסת והסגנים</w:t>
      </w:r>
    </w:p>
    <w:p w14:paraId="1C511C44" w14:textId="77777777" w:rsidR="003D78EE" w:rsidRDefault="00E75640" w:rsidP="00E75640">
      <w:pPr>
        <w:spacing w:before="0" w:line="240" w:lineRule="auto"/>
        <w:jc w:val="left"/>
      </w:pPr>
      <w:r>
        <w:rPr>
          <w:rFonts w:ascii="David" w:eastAsia="David" w:hAnsi="David" w:cs="David" w:hint="cs"/>
          <w:sz w:val="26"/>
          <w:szCs w:val="26"/>
          <w:rtl/>
        </w:rPr>
        <w:t>והונחה על שולחן הכנסת ביום</w:t>
      </w:r>
    </w:p>
    <w:p w14:paraId="6EB611AD" w14:textId="77777777" w:rsidR="003D78EE" w:rsidRDefault="00E75640" w:rsidP="00E75640">
      <w:pPr>
        <w:spacing w:before="0" w:line="240" w:lineRule="auto"/>
        <w:jc w:val="left"/>
      </w:pPr>
      <w:r>
        <w:rPr>
          <w:rFonts w:ascii="David" w:eastAsia="David" w:hAnsi="David" w:cs="David" w:hint="cs"/>
          <w:sz w:val="26"/>
          <w:szCs w:val="26"/>
          <w:rtl/>
        </w:rPr>
        <w:t xml:space="preserve">ה' בניסן התשפ"ג (27.03.2023) </w:t>
      </w:r>
    </w:p>
    <w:p w14:paraId="59D103CC" w14:textId="77777777" w:rsidR="003D78EE" w:rsidRDefault="003D78EE"/>
    <w:sectPr w:rsidR="003D78EE"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5DC044C"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75640">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628EE8E" w14:textId="77777777" w:rsidR="0027485F" w:rsidRDefault="0027485F" w:rsidP="0027485F">
      <w:pPr>
        <w:pStyle w:val="a4"/>
        <w:rPr>
          <w:rtl/>
        </w:rPr>
      </w:pPr>
      <w:r>
        <w:rPr>
          <w:rStyle w:val="a6"/>
        </w:rPr>
        <w:footnoteRef/>
      </w:r>
      <w:r>
        <w:rPr>
          <w:rtl/>
        </w:rPr>
        <w:t xml:space="preserve"> </w:t>
      </w:r>
      <w:r>
        <w:rPr>
          <w:rFonts w:hint="cs"/>
          <w:rtl/>
        </w:rPr>
        <w:t>ס"ח התשמ"א, עמ' 248.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485F"/>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D78EE"/>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473AA"/>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75640"/>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436E612-627D-43CE-A45B-B9C1A4BC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27485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605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290d5b49-c690-4c6f-bbb9-1e50dab33ee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CFE73CCE-FD6C-44C2-ACF6-795466A20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0CC41-325C-4AF7-A465-588B5F24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357</Words>
  <Characters>1790</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2013-07-04T08:25:00Z</cp:lastPrinted>
  <dcterms:created xsi:type="dcterms:W3CDTF">2015-04-20T09:58:00Z</dcterms:created>
  <dcterms:modified xsi:type="dcterms:W3CDTF">2023-03-21T07:51:00Z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2203295</vt:r8>
  </property>
</Properties>
</file>