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2203258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אימאן ח'טיב יאסין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918A8B8" w:rsidR="00E13C27" w:rsidRPr="00E06736" w:rsidRDefault="00B73EDB" w:rsidP="00904591">
      <w:pPr>
        <w:pStyle w:val="David"/>
        <w:spacing w:line="240" w:lineRule="auto"/>
        <w:ind w:left="3544"/>
        <w:rPr>
          <w:rtl/>
        </w:rPr>
      </w:pPr>
      <w:r>
        <w:tab/>
        <w:t xml:space="preserve">     </w:t>
      </w:r>
      <w:bookmarkStart w:id="6" w:name="_GoBack"/>
      <w:bookmarkEnd w:id="6"/>
      <w:r w:rsidR="00904591">
        <w:t xml:space="preserve">                                            </w:t>
      </w:r>
      <w:r w:rsidR="008F1308">
        <w:t xml:space="preserve"> </w:t>
      </w:r>
      <w:bookmarkStart w:id="7" w:name="Private_Number"/>
      <w:r w:rsidR="00904591">
        <w:rPr>
          <w:rFonts w:hint="cs"/>
          <w:rtl/>
        </w:rPr>
        <w:t>פ/3028/25</w:t>
      </w:r>
      <w:bookmarkEnd w:id="7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>הצעת חוק מעונות יום שיקומיים (תיקון – הקדמת גיל הזכאות), התשפ"ג–2023</w:t>
      </w:r>
      <w:bookmarkEnd w:id="8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6054E0" w:rsidRPr="00BB2070" w14:paraId="087CB1F2" w14:textId="77777777" w:rsidTr="00B73EDB">
        <w:trPr>
          <w:cantSplit/>
        </w:trPr>
        <w:tc>
          <w:tcPr>
            <w:tcW w:w="1871" w:type="dxa"/>
            <w:hideMark/>
          </w:tcPr>
          <w:p w14:paraId="2C59A606" w14:textId="77777777" w:rsidR="006054E0" w:rsidRPr="00BB2070" w:rsidRDefault="006054E0" w:rsidP="00DC110F">
            <w:pPr>
              <w:pStyle w:val="TableSideHeading"/>
              <w:rPr>
                <w:rtl/>
              </w:rPr>
            </w:pPr>
            <w:r w:rsidRPr="00BB2070">
              <w:rPr>
                <w:rFonts w:hint="cs"/>
                <w:rtl/>
              </w:rPr>
              <w:t>תיקון סעיף 2</w:t>
            </w:r>
          </w:p>
        </w:tc>
        <w:tc>
          <w:tcPr>
            <w:tcW w:w="624" w:type="dxa"/>
            <w:hideMark/>
          </w:tcPr>
          <w:p w14:paraId="0642EE67" w14:textId="77777777" w:rsidR="006054E0" w:rsidRPr="00BB2070" w:rsidRDefault="006054E0" w:rsidP="00DC110F">
            <w:pPr>
              <w:pStyle w:val="TableText"/>
              <w:jc w:val="both"/>
            </w:pPr>
            <w:r w:rsidRPr="00BB2070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hideMark/>
          </w:tcPr>
          <w:p w14:paraId="50C09E10" w14:textId="77777777" w:rsidR="006054E0" w:rsidRPr="00BB2070" w:rsidRDefault="006054E0" w:rsidP="00B73EDB">
            <w:pPr>
              <w:pStyle w:val="TableBlock"/>
            </w:pPr>
            <w:r w:rsidRPr="00BB2070">
              <w:rPr>
                <w:rFonts w:hint="cs"/>
                <w:rtl/>
              </w:rPr>
              <w:t>בחוק מעונות יום שיקומיים, התש"ס</w:t>
            </w:r>
            <w:r w:rsidRPr="00BB2070">
              <w:rPr>
                <w:rFonts w:hint="eastAsia"/>
                <w:rtl/>
              </w:rPr>
              <w:t>–</w:t>
            </w:r>
            <w:r w:rsidRPr="00BB2070">
              <w:rPr>
                <w:rFonts w:hint="cs"/>
                <w:rtl/>
              </w:rPr>
              <w:t>2000</w:t>
            </w:r>
            <w:r w:rsidRPr="00B73EDB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BB2070">
              <w:rPr>
                <w:rFonts w:hint="cs"/>
                <w:rtl/>
              </w:rPr>
              <w:t>, בסעיף 2, בהגדרה "פעוט עם מוגבלות"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</w:p>
        </w:tc>
      </w:tr>
      <w:tr w:rsidR="006054E0" w:rsidRPr="00FB2813" w14:paraId="2427B58E" w14:textId="77777777" w:rsidTr="00B73EDB">
        <w:trPr>
          <w:cantSplit/>
        </w:trPr>
        <w:tc>
          <w:tcPr>
            <w:tcW w:w="1871" w:type="dxa"/>
          </w:tcPr>
          <w:p w14:paraId="32C33422" w14:textId="77777777" w:rsidR="006054E0" w:rsidRPr="00FB2813" w:rsidRDefault="006054E0" w:rsidP="00DC110F">
            <w:pPr>
              <w:pStyle w:val="TableSideHeading"/>
            </w:pPr>
          </w:p>
        </w:tc>
        <w:tc>
          <w:tcPr>
            <w:tcW w:w="624" w:type="dxa"/>
          </w:tcPr>
          <w:p w14:paraId="05B3BE11" w14:textId="77777777" w:rsidR="006054E0" w:rsidRPr="00FB2813" w:rsidRDefault="006054E0" w:rsidP="00DC110F">
            <w:pPr>
              <w:pStyle w:val="TableText"/>
            </w:pPr>
          </w:p>
        </w:tc>
        <w:tc>
          <w:tcPr>
            <w:tcW w:w="7143" w:type="dxa"/>
          </w:tcPr>
          <w:p w14:paraId="5B8F511D" w14:textId="77777777" w:rsidR="006054E0" w:rsidRPr="00FB2813" w:rsidRDefault="006054E0" w:rsidP="00B73EDB">
            <w:pPr>
              <w:pStyle w:val="TableBlock"/>
              <w:tabs>
                <w:tab w:val="left" w:pos="624"/>
                <w:tab w:val="left" w:pos="1247"/>
              </w:tabs>
            </w:pPr>
            <w:r w:rsidRPr="00FB2813">
              <w:rPr>
                <w:rFonts w:hint="cs"/>
                <w:rtl/>
              </w:rPr>
              <w:t>(1)</w:t>
            </w:r>
            <w:r w:rsidRPr="00FB2813">
              <w:rPr>
                <w:rtl/>
              </w:rPr>
              <w:tab/>
            </w:r>
            <w:r w:rsidRPr="00FB2813">
              <w:rPr>
                <w:rFonts w:hint="cs"/>
                <w:rtl/>
              </w:rPr>
              <w:t xml:space="preserve">בפסקה (1), במקום </w:t>
            </w:r>
            <w:r w:rsidRPr="00FB2813">
              <w:rPr>
                <w:rtl/>
              </w:rPr>
              <w:t>"שישה" יבוא "</w:t>
            </w:r>
            <w:r w:rsidRPr="00FB2813">
              <w:rPr>
                <w:rFonts w:hint="eastAsia"/>
                <w:rtl/>
              </w:rPr>
              <w:t>שלושה</w:t>
            </w:r>
            <w:r w:rsidRPr="00FB2813">
              <w:rPr>
                <w:rtl/>
              </w:rPr>
              <w:t>";</w:t>
            </w:r>
          </w:p>
        </w:tc>
      </w:tr>
      <w:tr w:rsidR="006054E0" w14:paraId="5BC6114B" w14:textId="77777777" w:rsidTr="00B73EDB">
        <w:trPr>
          <w:cantSplit/>
        </w:trPr>
        <w:tc>
          <w:tcPr>
            <w:tcW w:w="1871" w:type="dxa"/>
          </w:tcPr>
          <w:p w14:paraId="226CD145" w14:textId="77777777" w:rsidR="006054E0" w:rsidRPr="00FB2813" w:rsidRDefault="006054E0" w:rsidP="00DC110F">
            <w:pPr>
              <w:pStyle w:val="TableSideHeading"/>
            </w:pPr>
          </w:p>
        </w:tc>
        <w:tc>
          <w:tcPr>
            <w:tcW w:w="624" w:type="dxa"/>
          </w:tcPr>
          <w:p w14:paraId="43A4FEE3" w14:textId="77777777" w:rsidR="006054E0" w:rsidRPr="00FB2813" w:rsidRDefault="006054E0" w:rsidP="00DC110F">
            <w:pPr>
              <w:pStyle w:val="TableText"/>
            </w:pPr>
          </w:p>
        </w:tc>
        <w:tc>
          <w:tcPr>
            <w:tcW w:w="7143" w:type="dxa"/>
          </w:tcPr>
          <w:p w14:paraId="2BD3147F" w14:textId="77777777" w:rsidR="006054E0" w:rsidRDefault="006054E0" w:rsidP="00B73EDB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 w:rsidRPr="00FB2813">
              <w:rPr>
                <w:rtl/>
              </w:rPr>
              <w:t>(2)</w:t>
            </w:r>
            <w:r w:rsidRPr="00FB2813">
              <w:rPr>
                <w:rtl/>
              </w:rPr>
              <w:tab/>
              <w:t>בפסקה (2), במקום "שמלאה לו שנה אחת" יבוא "שמלאו לו</w:t>
            </w:r>
            <w:r w:rsidRPr="00FB2813">
              <w:rPr>
                <w:rFonts w:hint="cs"/>
                <w:rtl/>
              </w:rPr>
              <w:t xml:space="preserve"> שישה חודשים</w:t>
            </w:r>
            <w:r w:rsidRPr="00FB2813">
              <w:rPr>
                <w:rtl/>
              </w:rPr>
              <w:t>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AFDBA45" w14:textId="77777777" w:rsidR="006054E0" w:rsidRPr="00312B22" w:rsidRDefault="006054E0" w:rsidP="006054E0">
      <w:pPr>
        <w:pStyle w:val="Hesber"/>
        <w:rPr>
          <w:rtl/>
        </w:rPr>
      </w:pPr>
      <w:r w:rsidRPr="00312B22">
        <w:rPr>
          <w:rFonts w:hint="eastAsia"/>
          <w:rtl/>
        </w:rPr>
        <w:t>חוק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מעונות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יום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שיקומיים</w:t>
      </w:r>
      <w:r w:rsidRPr="00312B22">
        <w:rPr>
          <w:rtl/>
        </w:rPr>
        <w:t xml:space="preserve">, </w:t>
      </w:r>
      <w:r w:rsidRPr="00312B22">
        <w:rPr>
          <w:rFonts w:hint="eastAsia"/>
          <w:rtl/>
        </w:rPr>
        <w:t>התש</w:t>
      </w:r>
      <w:r w:rsidRPr="00312B22">
        <w:rPr>
          <w:rtl/>
        </w:rPr>
        <w:t>"ס</w:t>
      </w:r>
      <w:r w:rsidRPr="00312B22">
        <w:rPr>
          <w:rFonts w:hint="eastAsia"/>
          <w:rtl/>
        </w:rPr>
        <w:t>–</w:t>
      </w:r>
      <w:r w:rsidRPr="00312B22">
        <w:rPr>
          <w:rtl/>
        </w:rPr>
        <w:t>2000 (להלן – החוק), נועד להבטיח לפעוט עם מוגבלות מסגרת שיקומית, טיפולית וחינוכית נאותה. על פי ההגדרה "פעוט עם מוגבלות" שבסעיף 2 לחוק, פעוט עם מוגבלות הוא ילד הזקוק לטיפול שהתקיים בו אחד מאלה</w:t>
      </w:r>
      <w:r>
        <w:rPr>
          <w:rFonts w:hint="cs"/>
          <w:rtl/>
        </w:rPr>
        <w:t>:</w:t>
      </w:r>
    </w:p>
    <w:p w14:paraId="42DFAEE6" w14:textId="77777777" w:rsidR="006054E0" w:rsidRPr="00312B22" w:rsidRDefault="006054E0" w:rsidP="006054E0">
      <w:pPr>
        <w:pStyle w:val="Hesber"/>
        <w:rPr>
          <w:rtl/>
        </w:rPr>
      </w:pPr>
      <w:r w:rsidRPr="00312B22">
        <w:rPr>
          <w:rtl/>
        </w:rPr>
        <w:t xml:space="preserve">1. </w:t>
      </w:r>
      <w:r w:rsidRPr="00312B22">
        <w:rPr>
          <w:rFonts w:hint="eastAsia"/>
          <w:rtl/>
        </w:rPr>
        <w:t>ילד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שמלאו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לו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שישה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חודשים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ועד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שמלאו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לו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שלוש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שנים</w:t>
      </w:r>
      <w:r w:rsidRPr="00312B22">
        <w:rPr>
          <w:rtl/>
        </w:rPr>
        <w:t xml:space="preserve">, </w:t>
      </w:r>
      <w:r w:rsidRPr="00312B22">
        <w:rPr>
          <w:rFonts w:hint="eastAsia"/>
          <w:rtl/>
        </w:rPr>
        <w:t>שמשתלמת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בעדו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גמלת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ילד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נכה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לפי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חוק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הביטוח</w:t>
      </w:r>
      <w:r w:rsidRPr="00312B22">
        <w:rPr>
          <w:rtl/>
        </w:rPr>
        <w:t xml:space="preserve"> </w:t>
      </w:r>
      <w:r w:rsidRPr="00312B22">
        <w:rPr>
          <w:rFonts w:hint="eastAsia"/>
          <w:rtl/>
        </w:rPr>
        <w:t>הלאומי</w:t>
      </w:r>
      <w:r w:rsidRPr="00312B22">
        <w:rPr>
          <w:rtl/>
        </w:rPr>
        <w:t xml:space="preserve"> [נוסח </w:t>
      </w:r>
      <w:r w:rsidRPr="00312B22">
        <w:rPr>
          <w:rFonts w:hint="eastAsia"/>
          <w:rtl/>
        </w:rPr>
        <w:t>משולב</w:t>
      </w:r>
      <w:r w:rsidRPr="00312B22">
        <w:rPr>
          <w:rtl/>
        </w:rPr>
        <w:t xml:space="preserve">], </w:t>
      </w:r>
      <w:r w:rsidRPr="00312B22">
        <w:rPr>
          <w:rFonts w:hint="eastAsia"/>
          <w:rtl/>
        </w:rPr>
        <w:t>התשנ</w:t>
      </w:r>
      <w:r w:rsidRPr="00312B22">
        <w:rPr>
          <w:rtl/>
        </w:rPr>
        <w:t>"ה</w:t>
      </w:r>
      <w:r>
        <w:rPr>
          <w:rFonts w:hint="eastAsia"/>
          <w:rtl/>
        </w:rPr>
        <w:t>–</w:t>
      </w:r>
      <w:r w:rsidRPr="00312B22">
        <w:rPr>
          <w:rtl/>
        </w:rPr>
        <w:t>1995;</w:t>
      </w:r>
    </w:p>
    <w:p w14:paraId="1A45927C" w14:textId="77777777" w:rsidR="006054E0" w:rsidRPr="00312B22" w:rsidRDefault="006054E0" w:rsidP="006054E0">
      <w:pPr>
        <w:pStyle w:val="Hesber"/>
        <w:rPr>
          <w:rtl/>
        </w:rPr>
      </w:pPr>
      <w:r w:rsidRPr="00312B22">
        <w:rPr>
          <w:rtl/>
        </w:rPr>
        <w:t xml:space="preserve">2. ילד שמלאה לו שנה אחת ועד שמלאו לו שלוש שנים, והתקיים בו אחד מהתנאים הקבועים בהגדרה, למשל שוועדת אבחון מצאה שיש לו מוגבלות שכלית-התפתחותית או שמכון מוכר להתפתחות הילד קבע כי הוא פעוט עם עיכוב התפתחותי ניכר. </w:t>
      </w:r>
    </w:p>
    <w:p w14:paraId="7A116C38" w14:textId="77777777" w:rsidR="006054E0" w:rsidRPr="00312B22" w:rsidRDefault="006054E0" w:rsidP="006054E0">
      <w:pPr>
        <w:pStyle w:val="Hesber"/>
        <w:rPr>
          <w:rtl/>
        </w:rPr>
      </w:pPr>
      <w:r w:rsidRPr="00312B22">
        <w:rPr>
          <w:rFonts w:hint="eastAsia"/>
          <w:rtl/>
        </w:rPr>
        <w:t>כלומר</w:t>
      </w:r>
      <w:r w:rsidRPr="00312B22">
        <w:rPr>
          <w:rtl/>
        </w:rPr>
        <w:t xml:space="preserve">, הורה לפעוט עם מוגבלות יכול להכניסו למעון יום שיקומי מגיל חצי שנה בלבד ובמקרים אחרים מגיל שנה בלבד, דבר המקשה על חזרה של האם לעבודה בתום </w:t>
      </w:r>
      <w:r>
        <w:rPr>
          <w:rFonts w:hint="cs"/>
          <w:rtl/>
        </w:rPr>
        <w:t>שלושה חודשים</w:t>
      </w:r>
      <w:r w:rsidRPr="00312B22">
        <w:rPr>
          <w:rtl/>
        </w:rPr>
        <w:t xml:space="preserve"> של חופשת הלידה בתשלום. לפיכך, נגרם עוול למשפחה ולפעוט, שכן בנוסף לקושי בהתמודדות עם פעוט עם מוגבלות, נדרשת המשפחה להתמודד עם עול כלכלי בשל אי יכולת האם לחזור לעבודתה </w:t>
      </w:r>
      <w:r w:rsidRPr="00312B22">
        <w:rPr>
          <w:rFonts w:hint="eastAsia"/>
          <w:rtl/>
        </w:rPr>
        <w:t>בשל</w:t>
      </w:r>
      <w:r w:rsidRPr="00312B22">
        <w:rPr>
          <w:rtl/>
        </w:rPr>
        <w:t xml:space="preserve"> העדר </w:t>
      </w:r>
      <w:r w:rsidRPr="00312B22">
        <w:rPr>
          <w:rFonts w:hint="eastAsia"/>
          <w:rtl/>
        </w:rPr>
        <w:t>ה</w:t>
      </w:r>
      <w:r w:rsidRPr="00312B22">
        <w:rPr>
          <w:rtl/>
        </w:rPr>
        <w:t xml:space="preserve">מסגרת לפעוט עם המוגבלות. </w:t>
      </w:r>
      <w:r w:rsidRPr="00027C1D">
        <w:rPr>
          <w:rFonts w:hint="cs"/>
          <w:rtl/>
        </w:rPr>
        <w:t>זאת ועוד, שילוב הפעוט במסגרת לאחר תקופה כה ארוכה, משמעו היעדרם של ליווי טיפולי ומעטפת עבור ההורים, שהימצאותם קריטית בשלבי ההתפתחות המוקדמים.</w:t>
      </w:r>
    </w:p>
    <w:p w14:paraId="0971A3FF" w14:textId="77777777" w:rsidR="006054E0" w:rsidRDefault="006054E0" w:rsidP="006054E0">
      <w:pPr>
        <w:pStyle w:val="Hesber"/>
        <w:rPr>
          <w:rtl/>
        </w:rPr>
      </w:pPr>
      <w:r w:rsidRPr="00312B22">
        <w:rPr>
          <w:rtl/>
        </w:rPr>
        <w:t xml:space="preserve">לפיכך, מוצע </w:t>
      </w:r>
      <w:r w:rsidRPr="00312B22">
        <w:rPr>
          <w:rFonts w:hint="eastAsia"/>
          <w:rtl/>
        </w:rPr>
        <w:t>להקדים</w:t>
      </w:r>
      <w:r w:rsidRPr="00312B22">
        <w:rPr>
          <w:rtl/>
        </w:rPr>
        <w:t xml:space="preserve"> את גיל הזכאות של פעוט עם מוגבלות למעון יום שיקומי, כך שהזכאות תחל </w:t>
      </w:r>
      <w:r w:rsidRPr="00312B22">
        <w:rPr>
          <w:rFonts w:hint="eastAsia"/>
          <w:rtl/>
        </w:rPr>
        <w:lastRenderedPageBreak/>
        <w:t>מגיל</w:t>
      </w:r>
      <w:r w:rsidRPr="00312B22">
        <w:rPr>
          <w:rtl/>
        </w:rPr>
        <w:t xml:space="preserve"> </w:t>
      </w:r>
      <w:r w:rsidRPr="00071FC6">
        <w:rPr>
          <w:rFonts w:hint="eastAsia"/>
          <w:rtl/>
        </w:rPr>
        <w:t>שלושה</w:t>
      </w:r>
      <w:r w:rsidRPr="00071FC6">
        <w:rPr>
          <w:rtl/>
        </w:rPr>
        <w:t xml:space="preserve"> </w:t>
      </w:r>
      <w:r w:rsidRPr="00071FC6">
        <w:rPr>
          <w:rFonts w:hint="eastAsia"/>
          <w:rtl/>
        </w:rPr>
        <w:t>חודשים</w:t>
      </w:r>
      <w:r w:rsidRPr="00312B22">
        <w:rPr>
          <w:rtl/>
        </w:rPr>
        <w:t xml:space="preserve"> לגבי ילד שמשתלמת בעדו גמלת ילד נכה ומגיל </w:t>
      </w:r>
      <w:r>
        <w:rPr>
          <w:rFonts w:hint="cs"/>
          <w:rtl/>
        </w:rPr>
        <w:t>שישה חודשים</w:t>
      </w:r>
      <w:r w:rsidRPr="00312B22">
        <w:rPr>
          <w:rtl/>
        </w:rPr>
        <w:t xml:space="preserve"> במקרים האחרים המנויים בחוק, ובכך לאפשר לאמו של הפעוט לחזור לעבודה עם תום חופשת הלידה בתשלום.</w:t>
      </w:r>
    </w:p>
    <w:p w14:paraId="67AD26A8" w14:textId="77777777" w:rsidR="006054E0" w:rsidRDefault="006054E0" w:rsidP="006054E0">
      <w:pPr>
        <w:pStyle w:val="Hesber"/>
        <w:rPr>
          <w:rtl/>
        </w:rPr>
      </w:pPr>
      <w:r>
        <w:rPr>
          <w:rFonts w:hint="cs"/>
          <w:rtl/>
        </w:rPr>
        <w:t xml:space="preserve">הצעות חוק דומות בעיקרן הונחו על שולחן הכנסת העשרים וארבע ועל שולחן הכנסת העשרים וחמש על ידי חבר הכנסת אורי מקלב וקבוצת חברי הכנסת (פ/3464/24; </w:t>
      </w:r>
      <w:r w:rsidRPr="00FB2813">
        <w:rPr>
          <w:rtl/>
        </w:rPr>
        <w:t>פ/484/25</w:t>
      </w:r>
      <w:r>
        <w:rPr>
          <w:rFonts w:hint="cs"/>
          <w:rtl/>
        </w:rPr>
        <w:t>).</w:t>
      </w:r>
    </w:p>
    <w:p w14:paraId="78B0DDA2" w14:textId="0EF6F073" w:rsidR="006054E0" w:rsidRDefault="006054E0" w:rsidP="00B34576">
      <w:pPr>
        <w:pStyle w:val="Hesber"/>
        <w:rPr>
          <w:rtl/>
        </w:rPr>
      </w:pPr>
      <w:r w:rsidRPr="00FB2813">
        <w:rPr>
          <w:rFonts w:hint="eastAsia"/>
          <w:rtl/>
        </w:rPr>
        <w:t>הצעות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חוק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זהות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הונחו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על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שולחן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הכנסת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העשרים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וחמש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על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ידי</w:t>
      </w:r>
      <w:r w:rsidRPr="00FB2813">
        <w:rPr>
          <w:rtl/>
        </w:rPr>
        <w:t xml:space="preserve"> חברת הכנס</w:t>
      </w:r>
      <w:r>
        <w:rPr>
          <w:rtl/>
        </w:rPr>
        <w:t>ת מיכל מרים וולדיגר (פ/482/25)</w:t>
      </w:r>
      <w:r>
        <w:rPr>
          <w:rFonts w:hint="cs"/>
          <w:rtl/>
        </w:rPr>
        <w:t xml:space="preserve">, </w:t>
      </w:r>
      <w:r w:rsidRPr="00FB2813">
        <w:rPr>
          <w:rFonts w:hint="eastAsia"/>
          <w:rtl/>
        </w:rPr>
        <w:t>על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ידי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חבר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הכנסת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רון</w:t>
      </w:r>
      <w:r w:rsidRPr="00FB2813">
        <w:rPr>
          <w:rtl/>
        </w:rPr>
        <w:t xml:space="preserve"> </w:t>
      </w:r>
      <w:r w:rsidRPr="00FB2813">
        <w:rPr>
          <w:rFonts w:hint="eastAsia"/>
          <w:rtl/>
        </w:rPr>
        <w:t>כץ</w:t>
      </w:r>
      <w:r w:rsidRPr="00FB2813">
        <w:rPr>
          <w:rtl/>
        </w:rPr>
        <w:t xml:space="preserve"> (פ</w:t>
      </w:r>
      <w:r>
        <w:rPr>
          <w:rFonts w:hint="cs"/>
          <w:rtl/>
        </w:rPr>
        <w:t>/</w:t>
      </w:r>
      <w:r w:rsidRPr="00FB2813">
        <w:rPr>
          <w:rtl/>
        </w:rPr>
        <w:t>483/25)</w:t>
      </w:r>
      <w:r>
        <w:rPr>
          <w:rFonts w:hint="cs"/>
          <w:rtl/>
        </w:rPr>
        <w:t>, על ידי חבר הכנסת אברהם בצלאל וקבוצת חברי הכנסת (פ/1008/25)</w:t>
      </w:r>
      <w:r w:rsidR="006251D3">
        <w:rPr>
          <w:rFonts w:hint="cs"/>
          <w:rtl/>
        </w:rPr>
        <w:t>,</w:t>
      </w:r>
      <w:r>
        <w:rPr>
          <w:rFonts w:hint="cs"/>
          <w:rtl/>
        </w:rPr>
        <w:t xml:space="preserve"> על ידי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חבר הכנסת ואליד אל</w:t>
      </w:r>
      <w:r w:rsidRPr="009F01C5">
        <w:rPr>
          <w:rFonts w:hint="cs"/>
          <w:rtl/>
        </w:rPr>
        <w:t>הואשלה</w:t>
      </w:r>
      <w:r w:rsidRPr="009F01C5">
        <w:rPr>
          <w:rtl/>
        </w:rPr>
        <w:t xml:space="preserve"> </w:t>
      </w:r>
      <w:r w:rsidRPr="009F01C5">
        <w:rPr>
          <w:rFonts w:hint="cs"/>
          <w:rtl/>
        </w:rPr>
        <w:t xml:space="preserve"> </w:t>
      </w:r>
      <w:r>
        <w:rPr>
          <w:rFonts w:hint="cs"/>
          <w:rtl/>
        </w:rPr>
        <w:t>(פ/1915/25)</w:t>
      </w:r>
      <w:r w:rsidR="006251D3">
        <w:rPr>
          <w:rFonts w:hint="cs"/>
          <w:rtl/>
        </w:rPr>
        <w:t xml:space="preserve"> ועל ידי חברי הכנסת ארז מלול ויונתן מישרקי (פ/2640/25)</w:t>
      </w:r>
      <w:r>
        <w:rPr>
          <w:rFonts w:hint="cs"/>
          <w:rtl/>
        </w:rPr>
        <w:t>.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38692B6F" w14:textId="77777777" w:rsidR="00A873F0" w:rsidRDefault="00B73EDB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35B41818" w14:textId="77777777" w:rsidR="00A873F0" w:rsidRDefault="00B73EDB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590D113B" w14:textId="77777777" w:rsidR="00A873F0" w:rsidRDefault="00B73EDB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655AED55" w14:textId="77777777" w:rsidR="00A873F0" w:rsidRDefault="00B73EDB">
      <w:pPr>
        <w:jc w:val="left"/>
      </w:pPr>
      <w:r>
        <w:rPr>
          <w:rFonts w:eastAsia="David" w:hint="cs"/>
          <w:sz w:val="26"/>
          <w:szCs w:val="26"/>
          <w:rtl/>
        </w:rPr>
        <w:t xml:space="preserve">ה' בניסן התשפ"ג (27.03.2023) </w:t>
      </w:r>
    </w:p>
    <w:p w14:paraId="21864DF3" w14:textId="77777777" w:rsidR="00A873F0" w:rsidRDefault="00A873F0">
      <w:pPr>
        <w:spacing w:line="276" w:lineRule="auto"/>
        <w:jc w:val="left"/>
      </w:pPr>
    </w:p>
    <w:sectPr w:rsidR="00A873F0" w:rsidSect="00B73EDB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11DE0140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B73EDB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B73EDB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8925D2F" w14:textId="77777777" w:rsidR="006054E0" w:rsidRDefault="006054E0" w:rsidP="006054E0">
      <w:pPr>
        <w:pStyle w:val="a4"/>
        <w:rPr>
          <w:rFonts w:ascii="David" w:hAnsi="David"/>
        </w:rPr>
      </w:pPr>
      <w:r>
        <w:rPr>
          <w:rStyle w:val="a6"/>
          <w:rFonts w:ascii="David" w:hAnsi="David"/>
        </w:rPr>
        <w:footnoteRef/>
      </w:r>
      <w:r>
        <w:rPr>
          <w:rFonts w:ascii="David" w:hAnsi="David" w:hint="cs"/>
          <w:rtl/>
        </w:rPr>
        <w:t xml:space="preserve"> ס"ח התש"ס, עמ' 169.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054E0"/>
    <w:rsid w:val="006251D3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873F0"/>
    <w:rsid w:val="00A942C1"/>
    <w:rsid w:val="00AA2F03"/>
    <w:rsid w:val="00AC36F7"/>
    <w:rsid w:val="00AC63A4"/>
    <w:rsid w:val="00AD239E"/>
    <w:rsid w:val="00B10265"/>
    <w:rsid w:val="00B16A99"/>
    <w:rsid w:val="00B21211"/>
    <w:rsid w:val="00B34576"/>
    <w:rsid w:val="00B35784"/>
    <w:rsid w:val="00B733A7"/>
    <w:rsid w:val="00B73EDB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4C7E36F-6275-4A57-891E-59C8F2D6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DB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3EDB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B73EDB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B73EDB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B73EDB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73EDB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B73ED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73EDB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73EDB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B73EDB"/>
    <w:rPr>
      <w:sz w:val="36"/>
      <w:szCs w:val="52"/>
    </w:rPr>
  </w:style>
  <w:style w:type="paragraph" w:customStyle="1" w:styleId="Cover3-Haknesset">
    <w:name w:val="Cover 3-Haknesset"/>
    <w:basedOn w:val="Cover1-Reshumot"/>
    <w:rsid w:val="00B73EDB"/>
    <w:rPr>
      <w:b/>
      <w:bCs/>
      <w:spacing w:val="60"/>
    </w:rPr>
  </w:style>
  <w:style w:type="paragraph" w:customStyle="1" w:styleId="Cover4-Date">
    <w:name w:val="Cover 4-Date"/>
    <w:basedOn w:val="a"/>
    <w:rsid w:val="00B73EDB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73EDB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B73EDB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B73EDB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73EDB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73EDB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B73EDB"/>
    <w:pPr>
      <w:outlineLvl w:val="2"/>
    </w:pPr>
  </w:style>
  <w:style w:type="paragraph" w:customStyle="1" w:styleId="TableBlock">
    <w:name w:val="Table Block"/>
    <w:basedOn w:val="TableText"/>
    <w:rsid w:val="00B73EDB"/>
    <w:pPr>
      <w:jc w:val="both"/>
    </w:pPr>
  </w:style>
  <w:style w:type="paragraph" w:customStyle="1" w:styleId="TableHead">
    <w:name w:val="Table Head"/>
    <w:basedOn w:val="TableText"/>
    <w:rsid w:val="00B73EDB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73EDB"/>
    <w:pPr>
      <w:outlineLvl w:val="9"/>
    </w:pPr>
  </w:style>
  <w:style w:type="paragraph" w:customStyle="1" w:styleId="Hesber">
    <w:name w:val="Hesber"/>
    <w:basedOn w:val="a"/>
    <w:rsid w:val="00B73EDB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73EDB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73EDB"/>
    <w:rPr>
      <w:vertAlign w:val="superscript"/>
    </w:rPr>
  </w:style>
  <w:style w:type="paragraph" w:customStyle="1" w:styleId="HesberHeading">
    <w:name w:val="Hesber Heading"/>
    <w:basedOn w:val="Hesber"/>
    <w:rsid w:val="00B73EDB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B73EDB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B73EDB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73EDB"/>
    <w:rPr>
      <w:vertAlign w:val="superscript"/>
    </w:rPr>
  </w:style>
  <w:style w:type="paragraph" w:customStyle="1" w:styleId="TableBlockOutdent">
    <w:name w:val="Table BlockOutdent"/>
    <w:basedOn w:val="TableBlock"/>
    <w:rsid w:val="00B73EDB"/>
    <w:pPr>
      <w:ind w:left="624" w:hanging="624"/>
    </w:pPr>
  </w:style>
  <w:style w:type="paragraph" w:styleId="a8">
    <w:name w:val="header"/>
    <w:basedOn w:val="a"/>
    <w:rsid w:val="00B73ED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73EDB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73EDB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73EDB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B73EDB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6054E0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B73EDB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B73EDB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B73EDB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B73EDB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B73EDB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B73EDB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B73EDB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B73EDB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B73EDB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B73EDB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B73EDB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B73EDB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B73EDB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B73EDB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B73EDB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B73EDB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B73EDB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B73EDB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B73EDB"/>
    <w:rPr>
      <w:rFonts w:eastAsia="Times New Roman"/>
    </w:rPr>
  </w:style>
  <w:style w:type="paragraph" w:styleId="af">
    <w:name w:val="List Paragraph"/>
    <w:basedOn w:val="a"/>
    <w:uiPriority w:val="34"/>
    <w:qFormat/>
    <w:rsid w:val="00B73EDB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B7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B73E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B73ED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B73EDB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B73EDB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www.w3.org/XML/1998/namespace"/>
    <ds:schemaRef ds:uri="http://schemas.microsoft.com/office/2006/documentManagement/types"/>
    <ds:schemaRef ds:uri="290d5b49-c690-4c6f-bbb9-1e50dab33ee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BF3092-CD98-4BE6-B7B9-EDE2F955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51770-A29E-4B3D-AD38-B5627BB3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394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7</cp:revision>
  <cp:lastPrinted>2013-07-04T08:25:00Z</cp:lastPrinted>
  <dcterms:created xsi:type="dcterms:W3CDTF">2015-04-20T09:58:00Z</dcterms:created>
  <dcterms:modified xsi:type="dcterms:W3CDTF">2023-03-23T08:43:00Z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2203258</vt:r8>
  </property>
</Properties>
</file>