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2203289</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יונתן מישרקי</w:t>
      </w:r>
      <w:bookmarkEnd w:id="3"/>
    </w:p>
    <w:p w14:paraId="7F6961AA" w14:textId="39F9D96B" w:rsidR="00E13C27" w:rsidRPr="00CF1AA2" w:rsidRDefault="007D585A" w:rsidP="0036422C">
      <w:pPr>
        <w:pStyle w:val="David"/>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4D56C3FE" w:rsidR="00E13C27" w:rsidRPr="00E06736" w:rsidRDefault="008867A7" w:rsidP="00E22356">
      <w:pPr>
        <w:pStyle w:val="David"/>
        <w:spacing w:line="240" w:lineRule="auto"/>
        <w:ind w:left="3544"/>
        <w:rPr>
          <w:rtl/>
        </w:rPr>
      </w:pPr>
      <w:r>
        <w:tab/>
        <w:t xml:space="preserve">      </w:t>
      </w:r>
      <w:r w:rsidR="00904591">
        <w:t xml:space="preserve">                                          </w:t>
      </w:r>
      <w:r w:rsidR="008F1308">
        <w:t xml:space="preserve"> </w:t>
      </w:r>
      <w:bookmarkStart w:id="6" w:name="Private_Number"/>
      <w:r w:rsidR="00904591">
        <w:rPr>
          <w:rFonts w:hint="cs"/>
          <w:rtl/>
        </w:rPr>
        <w:t>פ/3036/25</w:t>
      </w:r>
      <w:bookmarkEnd w:id="6"/>
    </w:p>
    <w:p w14:paraId="7F6961AC" w14:textId="77777777" w:rsidR="00E13C27" w:rsidRDefault="00E13C27" w:rsidP="00E13C27">
      <w:pPr>
        <w:ind w:left="2880" w:firstLine="720"/>
        <w:rPr>
          <w:sz w:val="26"/>
          <w:szCs w:val="26"/>
          <w:rtl/>
        </w:rPr>
      </w:pPr>
    </w:p>
    <w:p w14:paraId="7F6961AD" w14:textId="77777777" w:rsidR="00E13C27" w:rsidRPr="00F67051" w:rsidRDefault="00A443CF" w:rsidP="0021633A">
      <w:pPr>
        <w:pStyle w:val="HeadHatzaotHok"/>
        <w:rPr>
          <w:rtl/>
        </w:rPr>
      </w:pPr>
      <w:bookmarkStart w:id="7" w:name="LGS_Subject"/>
      <w:r>
        <w:rPr>
          <w:rFonts w:hint="cs"/>
          <w:rtl/>
        </w:rPr>
        <w:t>הצעת חוק הביטוח הלאומי (תיקון – השוואת זכויות אלמן ואלמנה), התשפ"ג–2023</w:t>
      </w:r>
      <w:bookmarkEnd w:id="7"/>
    </w:p>
    <w:tbl>
      <w:tblPr>
        <w:bidiVisual/>
        <w:tblW w:w="9641" w:type="dxa"/>
        <w:tblCellMar>
          <w:top w:w="57" w:type="dxa"/>
          <w:left w:w="0" w:type="dxa"/>
          <w:bottom w:w="57" w:type="dxa"/>
          <w:right w:w="0" w:type="dxa"/>
        </w:tblCellMar>
        <w:tblLook w:val="0000" w:firstRow="0" w:lastRow="0" w:firstColumn="0" w:lastColumn="0" w:noHBand="0" w:noVBand="0"/>
      </w:tblPr>
      <w:tblGrid>
        <w:gridCol w:w="1871"/>
        <w:gridCol w:w="624"/>
        <w:gridCol w:w="624"/>
        <w:gridCol w:w="6522"/>
      </w:tblGrid>
      <w:tr w:rsidR="00C37597" w14:paraId="3E24D0B0" w14:textId="77777777" w:rsidTr="008867A7">
        <w:trPr>
          <w:cantSplit/>
        </w:trPr>
        <w:tc>
          <w:tcPr>
            <w:tcW w:w="1871" w:type="dxa"/>
            <w:tcBorders>
              <w:top w:val="nil"/>
              <w:left w:val="nil"/>
              <w:bottom w:val="nil"/>
              <w:right w:val="nil"/>
            </w:tcBorders>
          </w:tcPr>
          <w:p w14:paraId="1524DD58" w14:textId="77777777" w:rsidR="00C37597" w:rsidRDefault="00C37597" w:rsidP="004A3BE9">
            <w:pPr>
              <w:pStyle w:val="TableSideHeading"/>
            </w:pPr>
            <w:r>
              <w:rPr>
                <w:sz w:val="26"/>
                <w:rtl/>
              </w:rPr>
              <w:t>תיקון סעיף 238</w:t>
            </w:r>
          </w:p>
        </w:tc>
        <w:tc>
          <w:tcPr>
            <w:tcW w:w="624" w:type="dxa"/>
            <w:tcBorders>
              <w:top w:val="nil"/>
              <w:left w:val="nil"/>
              <w:bottom w:val="nil"/>
              <w:right w:val="nil"/>
            </w:tcBorders>
          </w:tcPr>
          <w:p w14:paraId="424C3E0E" w14:textId="77777777" w:rsidR="00C37597" w:rsidRDefault="00C37597" w:rsidP="004A3BE9">
            <w:pPr>
              <w:pStyle w:val="TableText"/>
              <w:jc w:val="both"/>
            </w:pPr>
            <w:r>
              <w:rPr>
                <w:sz w:val="26"/>
                <w:rtl/>
              </w:rPr>
              <w:t>1.</w:t>
            </w:r>
          </w:p>
        </w:tc>
        <w:tc>
          <w:tcPr>
            <w:tcW w:w="7146" w:type="dxa"/>
            <w:gridSpan w:val="2"/>
            <w:tcBorders>
              <w:top w:val="nil"/>
              <w:left w:val="nil"/>
              <w:bottom w:val="nil"/>
              <w:right w:val="nil"/>
            </w:tcBorders>
          </w:tcPr>
          <w:p w14:paraId="01F564B3" w14:textId="77777777" w:rsidR="00C37597" w:rsidRDefault="00C37597" w:rsidP="008867A7">
            <w:pPr>
              <w:pStyle w:val="TableBlock"/>
            </w:pPr>
            <w:r>
              <w:rPr>
                <w:sz w:val="26"/>
                <w:rtl/>
              </w:rPr>
              <w:t>בחוק הביטוח הלאומי [נוסח משולב], התשנ"ה–1995</w:t>
            </w:r>
            <w:r w:rsidRPr="008867A7">
              <w:rPr>
                <w:rFonts w:ascii="David" w:hAnsi="David"/>
                <w:sz w:val="26"/>
                <w:szCs w:val="20"/>
                <w:vertAlign w:val="superscript"/>
                <w:rtl/>
              </w:rPr>
              <w:footnoteReference w:id="2"/>
            </w:r>
            <w:r>
              <w:rPr>
                <w:rFonts w:hint="cs"/>
                <w:sz w:val="26"/>
                <w:rtl/>
              </w:rPr>
              <w:t xml:space="preserve"> (להלן </w:t>
            </w:r>
            <w:r>
              <w:rPr>
                <w:rFonts w:hint="eastAsia"/>
                <w:sz w:val="26"/>
                <w:rtl/>
              </w:rPr>
              <w:t xml:space="preserve">– </w:t>
            </w:r>
            <w:r>
              <w:rPr>
                <w:rFonts w:hint="cs"/>
                <w:sz w:val="26"/>
                <w:rtl/>
              </w:rPr>
              <w:t>החוק העיקרי)</w:t>
            </w:r>
            <w:r>
              <w:rPr>
                <w:sz w:val="26"/>
                <w:rtl/>
              </w:rPr>
              <w:t xml:space="preserve">, בסעיף 238 – </w:t>
            </w:r>
          </w:p>
        </w:tc>
      </w:tr>
      <w:tr w:rsidR="00C37597" w14:paraId="3317601C" w14:textId="77777777" w:rsidTr="008867A7">
        <w:trPr>
          <w:cantSplit/>
        </w:trPr>
        <w:tc>
          <w:tcPr>
            <w:tcW w:w="1871" w:type="dxa"/>
            <w:tcBorders>
              <w:top w:val="nil"/>
              <w:left w:val="nil"/>
              <w:bottom w:val="nil"/>
              <w:right w:val="nil"/>
            </w:tcBorders>
          </w:tcPr>
          <w:p w14:paraId="2566C97B" w14:textId="77777777" w:rsidR="00C37597" w:rsidRDefault="00C37597" w:rsidP="004A3BE9">
            <w:pPr>
              <w:pStyle w:val="TableSideHeading"/>
            </w:pPr>
          </w:p>
        </w:tc>
        <w:tc>
          <w:tcPr>
            <w:tcW w:w="624" w:type="dxa"/>
            <w:tcBorders>
              <w:top w:val="nil"/>
              <w:left w:val="nil"/>
              <w:bottom w:val="nil"/>
              <w:right w:val="nil"/>
            </w:tcBorders>
          </w:tcPr>
          <w:p w14:paraId="734C407B" w14:textId="77777777" w:rsidR="00C37597" w:rsidRDefault="00C37597" w:rsidP="004A3BE9">
            <w:pPr>
              <w:pStyle w:val="TableText"/>
              <w:jc w:val="both"/>
            </w:pPr>
          </w:p>
        </w:tc>
        <w:tc>
          <w:tcPr>
            <w:tcW w:w="7146" w:type="dxa"/>
            <w:gridSpan w:val="2"/>
            <w:tcBorders>
              <w:top w:val="nil"/>
              <w:left w:val="nil"/>
              <w:bottom w:val="nil"/>
              <w:right w:val="nil"/>
            </w:tcBorders>
          </w:tcPr>
          <w:p w14:paraId="4F52B5DB" w14:textId="77777777" w:rsidR="00C37597" w:rsidRDefault="00C37597" w:rsidP="008867A7">
            <w:pPr>
              <w:pStyle w:val="TableBlock"/>
            </w:pPr>
            <w:r>
              <w:rPr>
                <w:sz w:val="26"/>
                <w:rtl/>
              </w:rPr>
              <w:t>(1)</w:t>
            </w:r>
            <w:r>
              <w:rPr>
                <w:sz w:val="26"/>
                <w:rtl/>
              </w:rPr>
              <w:tab/>
              <w:t>בהגדרה "אלמנה"</w:t>
            </w:r>
            <w:r>
              <w:rPr>
                <w:rFonts w:hint="cs"/>
                <w:sz w:val="26"/>
                <w:rtl/>
              </w:rPr>
              <w:t>,</w:t>
            </w:r>
            <w:r>
              <w:rPr>
                <w:sz w:val="26"/>
                <w:rtl/>
              </w:rPr>
              <w:t xml:space="preserve"> בכל מקום, במקום "אשתו" יבוא "בת זוגו";</w:t>
            </w:r>
          </w:p>
        </w:tc>
      </w:tr>
      <w:tr w:rsidR="00C37597" w14:paraId="53C6DF75" w14:textId="77777777" w:rsidTr="008867A7">
        <w:trPr>
          <w:cantSplit/>
        </w:trPr>
        <w:tc>
          <w:tcPr>
            <w:tcW w:w="1871" w:type="dxa"/>
            <w:tcBorders>
              <w:top w:val="nil"/>
              <w:left w:val="nil"/>
              <w:bottom w:val="nil"/>
              <w:right w:val="nil"/>
            </w:tcBorders>
          </w:tcPr>
          <w:p w14:paraId="22CEEBF0" w14:textId="77777777" w:rsidR="00C37597" w:rsidRDefault="00C37597" w:rsidP="004A3BE9">
            <w:pPr>
              <w:pStyle w:val="TableSideHeading"/>
            </w:pPr>
          </w:p>
        </w:tc>
        <w:tc>
          <w:tcPr>
            <w:tcW w:w="624" w:type="dxa"/>
            <w:tcBorders>
              <w:top w:val="nil"/>
              <w:left w:val="nil"/>
              <w:bottom w:val="nil"/>
              <w:right w:val="nil"/>
            </w:tcBorders>
          </w:tcPr>
          <w:p w14:paraId="773E20E3" w14:textId="77777777" w:rsidR="00C37597" w:rsidRDefault="00C37597" w:rsidP="004A3BE9">
            <w:pPr>
              <w:pStyle w:val="TableText"/>
              <w:jc w:val="both"/>
            </w:pPr>
          </w:p>
        </w:tc>
        <w:tc>
          <w:tcPr>
            <w:tcW w:w="7146" w:type="dxa"/>
            <w:gridSpan w:val="2"/>
            <w:tcBorders>
              <w:top w:val="nil"/>
              <w:left w:val="nil"/>
              <w:bottom w:val="nil"/>
              <w:right w:val="nil"/>
            </w:tcBorders>
          </w:tcPr>
          <w:p w14:paraId="2580A857" w14:textId="77777777" w:rsidR="00C37597" w:rsidRDefault="00C37597" w:rsidP="008867A7">
            <w:pPr>
              <w:pStyle w:val="TableBlock"/>
              <w:tabs>
                <w:tab w:val="left" w:pos="624"/>
                <w:tab w:val="left" w:pos="1247"/>
              </w:tabs>
            </w:pPr>
            <w:r>
              <w:rPr>
                <w:sz w:val="26"/>
                <w:rtl/>
              </w:rPr>
              <w:t>(2)</w:t>
            </w:r>
            <w:r>
              <w:rPr>
                <w:sz w:val="26"/>
                <w:rtl/>
              </w:rPr>
              <w:tab/>
              <w:t>בהגדרה "אלמן" –</w:t>
            </w:r>
          </w:p>
        </w:tc>
      </w:tr>
      <w:tr w:rsidR="00C37597" w14:paraId="3AFDD484" w14:textId="77777777" w:rsidTr="008867A7">
        <w:trPr>
          <w:cantSplit/>
        </w:trPr>
        <w:tc>
          <w:tcPr>
            <w:tcW w:w="1871" w:type="dxa"/>
            <w:tcBorders>
              <w:top w:val="nil"/>
              <w:left w:val="nil"/>
              <w:bottom w:val="nil"/>
              <w:right w:val="nil"/>
            </w:tcBorders>
          </w:tcPr>
          <w:p w14:paraId="0F775AC8" w14:textId="77777777" w:rsidR="00C37597" w:rsidRDefault="00C37597" w:rsidP="004A3BE9">
            <w:pPr>
              <w:pStyle w:val="TableSideHeading"/>
            </w:pPr>
          </w:p>
        </w:tc>
        <w:tc>
          <w:tcPr>
            <w:tcW w:w="624" w:type="dxa"/>
            <w:tcBorders>
              <w:top w:val="nil"/>
              <w:left w:val="nil"/>
              <w:bottom w:val="nil"/>
              <w:right w:val="nil"/>
            </w:tcBorders>
          </w:tcPr>
          <w:p w14:paraId="70E264DF" w14:textId="77777777" w:rsidR="00C37597" w:rsidRDefault="00C37597" w:rsidP="004A3BE9">
            <w:pPr>
              <w:pStyle w:val="TableText"/>
            </w:pPr>
          </w:p>
        </w:tc>
        <w:tc>
          <w:tcPr>
            <w:tcW w:w="624" w:type="dxa"/>
            <w:tcBorders>
              <w:top w:val="nil"/>
              <w:left w:val="nil"/>
              <w:bottom w:val="nil"/>
              <w:right w:val="nil"/>
            </w:tcBorders>
          </w:tcPr>
          <w:p w14:paraId="3844C463" w14:textId="77777777" w:rsidR="00C37597" w:rsidRDefault="00C37597" w:rsidP="004A3BE9">
            <w:pPr>
              <w:pStyle w:val="TableText"/>
            </w:pPr>
          </w:p>
        </w:tc>
        <w:tc>
          <w:tcPr>
            <w:tcW w:w="6522" w:type="dxa"/>
            <w:tcBorders>
              <w:top w:val="nil"/>
              <w:left w:val="nil"/>
              <w:bottom w:val="nil"/>
              <w:right w:val="nil"/>
            </w:tcBorders>
          </w:tcPr>
          <w:p w14:paraId="412EC9BB" w14:textId="77777777" w:rsidR="00C37597" w:rsidRDefault="00C37597" w:rsidP="008867A7">
            <w:pPr>
              <w:pStyle w:val="TableBlock"/>
              <w:tabs>
                <w:tab w:val="left" w:pos="624"/>
                <w:tab w:val="left" w:pos="1247"/>
              </w:tabs>
            </w:pPr>
            <w:r>
              <w:rPr>
                <w:sz w:val="26"/>
                <w:rtl/>
              </w:rPr>
              <w:t>(א)</w:t>
            </w:r>
            <w:r>
              <w:rPr>
                <w:sz w:val="26"/>
                <w:rtl/>
              </w:rPr>
              <w:tab/>
              <w:t>המילים "כל עוד יש עמו ילד או הכנסתו אינה עולה על הסכום המתקבל לפי פרט 1 של לוח ט'" – יימחקו;</w:t>
            </w:r>
          </w:p>
        </w:tc>
      </w:tr>
      <w:tr w:rsidR="00C37597" w14:paraId="544F719C" w14:textId="77777777" w:rsidTr="008867A7">
        <w:trPr>
          <w:cantSplit/>
        </w:trPr>
        <w:tc>
          <w:tcPr>
            <w:tcW w:w="1871" w:type="dxa"/>
            <w:tcBorders>
              <w:top w:val="nil"/>
              <w:left w:val="nil"/>
              <w:bottom w:val="nil"/>
              <w:right w:val="nil"/>
            </w:tcBorders>
          </w:tcPr>
          <w:p w14:paraId="36CE8DAB" w14:textId="77777777" w:rsidR="00C37597" w:rsidRDefault="00C37597" w:rsidP="004A3BE9">
            <w:pPr>
              <w:pStyle w:val="TableSideHeading"/>
            </w:pPr>
          </w:p>
        </w:tc>
        <w:tc>
          <w:tcPr>
            <w:tcW w:w="624" w:type="dxa"/>
            <w:tcBorders>
              <w:top w:val="nil"/>
              <w:left w:val="nil"/>
              <w:bottom w:val="nil"/>
              <w:right w:val="nil"/>
            </w:tcBorders>
          </w:tcPr>
          <w:p w14:paraId="2D1D9810" w14:textId="77777777" w:rsidR="00C37597" w:rsidRDefault="00C37597" w:rsidP="004A3BE9">
            <w:pPr>
              <w:pStyle w:val="TableText"/>
            </w:pPr>
          </w:p>
        </w:tc>
        <w:tc>
          <w:tcPr>
            <w:tcW w:w="624" w:type="dxa"/>
            <w:tcBorders>
              <w:top w:val="nil"/>
              <w:left w:val="nil"/>
              <w:bottom w:val="nil"/>
              <w:right w:val="nil"/>
            </w:tcBorders>
          </w:tcPr>
          <w:p w14:paraId="635F6777" w14:textId="77777777" w:rsidR="00C37597" w:rsidRDefault="00C37597" w:rsidP="004A3BE9">
            <w:pPr>
              <w:pStyle w:val="TableText"/>
            </w:pPr>
          </w:p>
        </w:tc>
        <w:tc>
          <w:tcPr>
            <w:tcW w:w="6522" w:type="dxa"/>
            <w:tcBorders>
              <w:top w:val="nil"/>
              <w:left w:val="nil"/>
              <w:bottom w:val="nil"/>
              <w:right w:val="nil"/>
            </w:tcBorders>
          </w:tcPr>
          <w:p w14:paraId="5E112F46" w14:textId="77777777" w:rsidR="00C37597" w:rsidRDefault="00C37597" w:rsidP="008867A7">
            <w:pPr>
              <w:pStyle w:val="TableBlock"/>
              <w:tabs>
                <w:tab w:val="left" w:pos="624"/>
                <w:tab w:val="left" w:pos="1247"/>
              </w:tabs>
              <w:rPr>
                <w:sz w:val="26"/>
                <w:rtl/>
              </w:rPr>
            </w:pPr>
            <w:r>
              <w:rPr>
                <w:sz w:val="26"/>
                <w:rtl/>
              </w:rPr>
              <w:t>(ב)</w:t>
            </w:r>
            <w:r>
              <w:rPr>
                <w:sz w:val="26"/>
                <w:rtl/>
              </w:rPr>
              <w:tab/>
              <w:t>הסיפה החל במילים "בן זוג של מבוטחת שבשעת פטירתה" – תימחק.</w:t>
            </w:r>
          </w:p>
        </w:tc>
      </w:tr>
      <w:tr w:rsidR="00C37597" w14:paraId="559E4631" w14:textId="77777777" w:rsidTr="008867A7">
        <w:tblPrEx>
          <w:tblLook w:val="01E0" w:firstRow="1" w:lastRow="1" w:firstColumn="1" w:lastColumn="1" w:noHBand="0" w:noVBand="0"/>
        </w:tblPrEx>
        <w:trPr>
          <w:cantSplit/>
        </w:trPr>
        <w:tc>
          <w:tcPr>
            <w:tcW w:w="1871" w:type="dxa"/>
          </w:tcPr>
          <w:p w14:paraId="06C65E11" w14:textId="77777777" w:rsidR="00C37597" w:rsidRPr="00D13DBA" w:rsidRDefault="00C37597" w:rsidP="004A3BE9">
            <w:pPr>
              <w:pStyle w:val="TableSideHeading"/>
              <w:keepLines w:val="0"/>
            </w:pPr>
            <w:r>
              <w:rPr>
                <w:rFonts w:hint="cs"/>
                <w:sz w:val="26"/>
                <w:rtl/>
              </w:rPr>
              <w:t xml:space="preserve">תיקון סעיף 252     </w:t>
            </w:r>
          </w:p>
        </w:tc>
        <w:tc>
          <w:tcPr>
            <w:tcW w:w="624" w:type="dxa"/>
          </w:tcPr>
          <w:p w14:paraId="03137757" w14:textId="77777777" w:rsidR="00C37597" w:rsidRDefault="00C37597" w:rsidP="004A3BE9">
            <w:pPr>
              <w:pStyle w:val="TableText"/>
              <w:keepLines w:val="0"/>
            </w:pPr>
            <w:r>
              <w:rPr>
                <w:rFonts w:hint="cs"/>
                <w:rtl/>
              </w:rPr>
              <w:t>2.</w:t>
            </w:r>
          </w:p>
        </w:tc>
        <w:tc>
          <w:tcPr>
            <w:tcW w:w="7146" w:type="dxa"/>
            <w:gridSpan w:val="2"/>
          </w:tcPr>
          <w:p w14:paraId="1CD5EAD2" w14:textId="77777777" w:rsidR="00C37597" w:rsidRPr="00EF42A6" w:rsidRDefault="00C37597" w:rsidP="008867A7">
            <w:pPr>
              <w:pStyle w:val="TableBlock"/>
              <w:tabs>
                <w:tab w:val="left" w:pos="624"/>
                <w:tab w:val="left" w:pos="1247"/>
              </w:tabs>
            </w:pPr>
            <w:r>
              <w:rPr>
                <w:rFonts w:hint="cs"/>
                <w:rtl/>
              </w:rPr>
              <w:t>בסעיף 252(א)(1)(ב) לחוק העיקרי,</w:t>
            </w:r>
            <w:r>
              <w:rPr>
                <w:rFonts w:hint="cs"/>
                <w:sz w:val="26"/>
                <w:rtl/>
              </w:rPr>
              <w:t xml:space="preserve"> המילים "</w:t>
            </w:r>
            <w:r>
              <w:rPr>
                <w:rFonts w:hint="cs"/>
                <w:rtl/>
              </w:rPr>
              <w:t>כל זמן שהילדים עמו</w:t>
            </w:r>
            <w:r>
              <w:rPr>
                <w:rFonts w:hint="cs"/>
                <w:sz w:val="26"/>
                <w:rtl/>
              </w:rPr>
              <w:t xml:space="preserve">" </w:t>
            </w:r>
            <w:r>
              <w:rPr>
                <w:rFonts w:hint="eastAsia"/>
                <w:sz w:val="26"/>
                <w:rtl/>
              </w:rPr>
              <w:t>–</w:t>
            </w:r>
            <w:r>
              <w:rPr>
                <w:rFonts w:hint="cs"/>
                <w:sz w:val="26"/>
                <w:rtl/>
              </w:rPr>
              <w:t xml:space="preserve"> יימחקו.</w:t>
            </w:r>
          </w:p>
        </w:tc>
      </w:tr>
      <w:tr w:rsidR="00C37597" w14:paraId="0AB7F842" w14:textId="77777777" w:rsidTr="008867A7">
        <w:tblPrEx>
          <w:tblLook w:val="01E0" w:firstRow="1" w:lastRow="1" w:firstColumn="1" w:lastColumn="1" w:noHBand="0" w:noVBand="0"/>
        </w:tblPrEx>
        <w:trPr>
          <w:cantSplit/>
        </w:trPr>
        <w:tc>
          <w:tcPr>
            <w:tcW w:w="1871" w:type="dxa"/>
          </w:tcPr>
          <w:p w14:paraId="33F7B6B8" w14:textId="77777777" w:rsidR="00C37597" w:rsidRDefault="00C37597" w:rsidP="004A3BE9">
            <w:pPr>
              <w:pStyle w:val="TableSideHeading"/>
              <w:keepLines w:val="0"/>
            </w:pPr>
            <w:r>
              <w:rPr>
                <w:rFonts w:hint="cs"/>
                <w:sz w:val="26"/>
                <w:rtl/>
              </w:rPr>
              <w:t xml:space="preserve">תיקון סעיף 258    </w:t>
            </w:r>
          </w:p>
        </w:tc>
        <w:tc>
          <w:tcPr>
            <w:tcW w:w="624" w:type="dxa"/>
          </w:tcPr>
          <w:p w14:paraId="4129806B" w14:textId="77777777" w:rsidR="00C37597" w:rsidRDefault="00C37597" w:rsidP="004A3BE9">
            <w:pPr>
              <w:pStyle w:val="TableText"/>
              <w:keepLines w:val="0"/>
            </w:pPr>
            <w:r>
              <w:rPr>
                <w:rFonts w:hint="cs"/>
                <w:rtl/>
              </w:rPr>
              <w:t>3.</w:t>
            </w:r>
          </w:p>
        </w:tc>
        <w:tc>
          <w:tcPr>
            <w:tcW w:w="7146" w:type="dxa"/>
            <w:gridSpan w:val="2"/>
          </w:tcPr>
          <w:p w14:paraId="70305EF6" w14:textId="77777777" w:rsidR="00C37597" w:rsidRPr="00C34DE2" w:rsidRDefault="00C37597" w:rsidP="008867A7">
            <w:pPr>
              <w:pStyle w:val="TableBlock"/>
              <w:tabs>
                <w:tab w:val="left" w:pos="624"/>
                <w:tab w:val="left" w:pos="1247"/>
              </w:tabs>
            </w:pPr>
            <w:r>
              <w:rPr>
                <w:rFonts w:hint="cs"/>
                <w:rtl/>
              </w:rPr>
              <w:t>בסעיף 258 לחוק העיקרי, האמור בו יסומן "(א)" ואחריו יבוא:</w:t>
            </w:r>
          </w:p>
        </w:tc>
      </w:tr>
      <w:tr w:rsidR="00C37597" w14:paraId="6C5FEE2C" w14:textId="77777777" w:rsidTr="008867A7">
        <w:tblPrEx>
          <w:tblLook w:val="01E0" w:firstRow="1" w:lastRow="1" w:firstColumn="1" w:lastColumn="1" w:noHBand="0" w:noVBand="0"/>
        </w:tblPrEx>
        <w:trPr>
          <w:cantSplit/>
        </w:trPr>
        <w:tc>
          <w:tcPr>
            <w:tcW w:w="1871" w:type="dxa"/>
          </w:tcPr>
          <w:p w14:paraId="4EBBBD3D" w14:textId="77777777" w:rsidR="00C37597" w:rsidRDefault="00C37597" w:rsidP="004A3BE9">
            <w:pPr>
              <w:pStyle w:val="TableSideHeading"/>
              <w:keepLines w:val="0"/>
              <w:rPr>
                <w:sz w:val="26"/>
                <w:rtl/>
              </w:rPr>
            </w:pPr>
          </w:p>
        </w:tc>
        <w:tc>
          <w:tcPr>
            <w:tcW w:w="624" w:type="dxa"/>
          </w:tcPr>
          <w:p w14:paraId="1357AF05" w14:textId="77777777" w:rsidR="00C37597" w:rsidRDefault="00C37597" w:rsidP="004A3BE9">
            <w:pPr>
              <w:pStyle w:val="TableText"/>
              <w:rPr>
                <w:rtl/>
              </w:rPr>
            </w:pPr>
          </w:p>
        </w:tc>
        <w:tc>
          <w:tcPr>
            <w:tcW w:w="7143" w:type="dxa"/>
            <w:gridSpan w:val="2"/>
          </w:tcPr>
          <w:p w14:paraId="25E20ED6" w14:textId="77777777" w:rsidR="00C37597" w:rsidRDefault="00C37597" w:rsidP="008867A7">
            <w:pPr>
              <w:pStyle w:val="TableBlock"/>
              <w:tabs>
                <w:tab w:val="left" w:pos="624"/>
                <w:tab w:val="left" w:pos="1247"/>
              </w:tabs>
              <w:rPr>
                <w:rtl/>
              </w:rPr>
            </w:pPr>
            <w:r>
              <w:rPr>
                <w:rFonts w:hint="cs"/>
                <w:rtl/>
              </w:rPr>
              <w:t xml:space="preserve">"(ב) </w:t>
            </w:r>
            <w:r>
              <w:rPr>
                <w:rtl/>
              </w:rPr>
              <w:tab/>
            </w:r>
            <w:r>
              <w:rPr>
                <w:rFonts w:hint="cs"/>
                <w:rtl/>
              </w:rPr>
              <w:t>מבוטחת שהניחה אחריה יותר מאלמן אחד, יהיה כל אחד מהם זכאי לגמלת שאירים לפי סימן זה כאילו הוא אלמן יחיד".</w:t>
            </w:r>
          </w:p>
        </w:tc>
      </w:tr>
    </w:tbl>
    <w:p w14:paraId="7F6961CA" w14:textId="77777777" w:rsidR="002D1EE3" w:rsidRDefault="002D1EE3" w:rsidP="002D1EE3">
      <w:pPr>
        <w:pStyle w:val="HeadDivreiHesber"/>
        <w:rPr>
          <w:rtl/>
        </w:rPr>
      </w:pPr>
      <w:r w:rsidRPr="0027450A">
        <w:rPr>
          <w:rFonts w:hint="cs"/>
          <w:rtl/>
        </w:rPr>
        <w:t>דברי הסבר</w:t>
      </w:r>
    </w:p>
    <w:p w14:paraId="43706815" w14:textId="46C977FF" w:rsidR="00C37597" w:rsidRPr="00EF2CBC" w:rsidRDefault="00C37597" w:rsidP="00C37597">
      <w:pPr>
        <w:pStyle w:val="Hesber"/>
        <w:rPr>
          <w:rtl/>
        </w:rPr>
      </w:pPr>
      <w:r w:rsidRPr="00EF2CBC">
        <w:rPr>
          <w:rFonts w:hint="cs"/>
          <w:rtl/>
        </w:rPr>
        <w:t>א</w:t>
      </w:r>
      <w:r>
        <w:rPr>
          <w:rFonts w:hint="cs"/>
          <w:rtl/>
        </w:rPr>
        <w:t>ו</w:t>
      </w:r>
      <w:r w:rsidRPr="00EF2CBC">
        <w:rPr>
          <w:rFonts w:hint="cs"/>
          <w:rtl/>
        </w:rPr>
        <w:t>בדן של בן זוג הוא משבר קשה מנשוא. זעזוע ודאגה לעתידם הפיננסי של בני הבית הם רק חלק מההתמודדויות שמביאה עמה פרידה מהשותף לחיים. בשל ההשלכות הכלכליות הקשות של פטירת בן הזוג, זכאים האלמנים, בנסיבות מסוימות, למספר זכויות שעליהם להסדיר במקביל להתמודדות עם המשבר הקשה.</w:t>
      </w:r>
    </w:p>
    <w:p w14:paraId="4A55D3C2" w14:textId="77777777" w:rsidR="00C37597" w:rsidRPr="00EF2CBC" w:rsidRDefault="00C37597" w:rsidP="00C37597">
      <w:pPr>
        <w:pStyle w:val="Hesber"/>
        <w:rPr>
          <w:rtl/>
        </w:rPr>
      </w:pPr>
      <w:r w:rsidRPr="00EF2CBC">
        <w:rPr>
          <w:rFonts w:hint="cs"/>
          <w:rtl/>
        </w:rPr>
        <w:t>חוק הביטוח הלאומי [נוסח משולב], התשנ"ה</w:t>
      </w:r>
      <w:r w:rsidRPr="00EF2CBC">
        <w:rPr>
          <w:rFonts w:hint="eastAsia"/>
          <w:rtl/>
        </w:rPr>
        <w:t>–</w:t>
      </w:r>
      <w:r w:rsidRPr="00EF2CBC">
        <w:rPr>
          <w:rFonts w:hint="cs"/>
          <w:rtl/>
        </w:rPr>
        <w:t xml:space="preserve">1995 (להלן </w:t>
      </w:r>
      <w:r w:rsidRPr="00EF2CBC">
        <w:rPr>
          <w:rtl/>
        </w:rPr>
        <w:t>–</w:t>
      </w:r>
      <w:r w:rsidRPr="00EF2CBC">
        <w:rPr>
          <w:rFonts w:hint="cs"/>
          <w:rtl/>
        </w:rPr>
        <w:t xml:space="preserve"> החוק), קובע בסעיף 238 מי ייחשבו כ"אלמנה" וכ"אלמן" לצורכי חוק זה. קיימים הבדלים בהגדרות אלו המשליכים על הזכאות לגמלת השאירים. "אלמנה" מוגדרת כ"מי שהייתה אשתו של המבוטח בשעת פטירתו", ואילו "אלמן" מוגדר </w:t>
      </w:r>
      <w:r w:rsidRPr="00EF2CBC">
        <w:rPr>
          <w:rFonts w:hint="cs"/>
          <w:rtl/>
        </w:rPr>
        <w:lastRenderedPageBreak/>
        <w:t xml:space="preserve">כ"מי שהיה בן זוגה של המבוטחת בשעת פטירתה, כל עוד יש עמו ילד או הכנסתו אינה עולה על הסכום המתקבל לפי פרט 1 של לוח ט". כלומר, זכאות האלמנה מותנית אך ורק בפטירת הבעל, ואילו על הגבר לעמוד בתנאים נוספים כדי להיחשב כאלמן. אם אין לבעל ילד, או שמדובר בילד שאיננו עומד בתנאים הקבועים בסעיף, הבעל לא ייחשב כאלמן לצורך חוק הביטוח הלאומי. זאת, אלא אם כן יעמוד במסננת השנייה, לפיה הכנסתו אינה עולה על כ-57% מהשכר הממוצע במשק. ברי כי גם תנאי זה מצמצם את מספר הגברים שיוכרו כאלמנים לצורך חוק הביטוח הלאומי. התיקון המוצע בהגדרה "אלמנה" שבסעיף 238 לחוק, נובע מן הצורך לשמור על נוסח אחיד בכינויי בני הזוג המבוטחים לפי פרק י"א לחוק. בנוסף, התיקון המוצע בהגדרה "אלמן" נועד להשוות את הזכויות על פי דין של שני בני הזוג (אלמן ואלמנה) ולמנוע את חוסר השוויון הקיים, שאינו מתיישב עם האיסור על </w:t>
      </w:r>
      <w:r>
        <w:rPr>
          <w:rFonts w:hint="cs"/>
          <w:rtl/>
        </w:rPr>
        <w:t>ה</w:t>
      </w:r>
      <w:r w:rsidRPr="00EF2CBC">
        <w:rPr>
          <w:rFonts w:hint="cs"/>
          <w:rtl/>
        </w:rPr>
        <w:t>פליה מחמת מין ושמירת כבוד האדם וחירותו.</w:t>
      </w:r>
    </w:p>
    <w:p w14:paraId="59A9830E" w14:textId="77777777" w:rsidR="00C37597" w:rsidRPr="00EF2CBC" w:rsidRDefault="00C37597" w:rsidP="00C37597">
      <w:pPr>
        <w:pStyle w:val="Hesber"/>
        <w:rPr>
          <w:rtl/>
        </w:rPr>
      </w:pPr>
      <w:r w:rsidRPr="00EF2CBC">
        <w:rPr>
          <w:rFonts w:hint="cs"/>
          <w:rtl/>
        </w:rPr>
        <w:t>מלבד ההבדלים בהגדרת האלמן והאלמנה, ישנם מקרים שבהם הדין מטיל סייגים נוספים על זכאותו של האלמן. סעיף 252 לחוק הביטוח הלאומי, למשל, הקובע גמלת שאירים בשיעור זהה לאלמן ולאלמנה, מתנה את זכאותו של האלמן "כל זמן שהילדים עמו", בעוד שזכאותה של האלמנה איננה מותנית בכך. כלומר, זכאותה של האלמנה לגמלת שאירים רחבה יותר מזו של הגבר. על כן עולה תהייה מסעיף זה (וכן מהגדרת "אלמן"), אם זכאותו של האלמן מתגבשת רק משום היותו אחראי לגידול ילדיה של הנפטרת, ולא מעצם דאגת המחוקק לאלמן עצמו.  מטרת התיקון המוצע בסעיף 252, הוא להשוות בין מצב האלמנה לאלמן, בכל הנוגע לקצבת שאירים. כיום, בעוד שהאלמנה אינה צריכה להוכיח כי היא זאת אשר מגדלת את הילדים בכדי לזכות בקצב</w:t>
      </w:r>
      <w:r>
        <w:rPr>
          <w:rFonts w:hint="cs"/>
          <w:rtl/>
        </w:rPr>
        <w:t xml:space="preserve">ה, הרי שהאלמן יזכה לקצבה זו רק </w:t>
      </w:r>
      <w:r w:rsidRPr="00EF2CBC">
        <w:rPr>
          <w:rFonts w:hint="cs"/>
          <w:rtl/>
        </w:rPr>
        <w:t>אם יוכיח כי הילדים אכן במשמורתו. אין הצדקה להבחנה זו.</w:t>
      </w:r>
    </w:p>
    <w:p w14:paraId="57159829" w14:textId="77777777" w:rsidR="00C37597" w:rsidRPr="00EF2CBC" w:rsidRDefault="00C37597" w:rsidP="00C37597">
      <w:pPr>
        <w:pStyle w:val="Hesber"/>
        <w:rPr>
          <w:rtl/>
        </w:rPr>
      </w:pPr>
      <w:r w:rsidRPr="00EF2CBC">
        <w:rPr>
          <w:rFonts w:hint="cs"/>
          <w:rtl/>
        </w:rPr>
        <w:t>סעיף 258 לחוק הביטוח הלאומי העוסק במבוטח שהניח אחריו יותר מאלמנה אחת, קובע כי כל אחת מהאלמנות תהא זכאית לגמלת שאירים, כאילו היא אלמנה יחידה. החוק לא קובע זכאות מקבילה לאלמן. אי אפשר שלא לתהות מה מצדיק הבחנה זו, מדוע צורכי האלמנות עולים על אלה של האלמנים, כאשר מדובר בנסיבות זהות. השיקולים שהיו לנגד עיני המחוקק בשנות החמישים ושהביאו להבחנה בין זכויותיו של אלמן לזכויותיה של אלמנה, אינם רלוונטיים עוד לימינו ולכן מוצע לתקן סעיף זה.</w:t>
      </w:r>
    </w:p>
    <w:p w14:paraId="62477F6E" w14:textId="79821963" w:rsidR="00766450" w:rsidRDefault="00766450" w:rsidP="00E22356">
      <w:pPr>
        <w:pStyle w:val="Hesber"/>
        <w:rPr>
          <w:rtl/>
        </w:rPr>
      </w:pPr>
      <w:r w:rsidRPr="00766450">
        <w:rPr>
          <w:rFonts w:hint="cs"/>
          <w:rtl/>
        </w:rPr>
        <w:t xml:space="preserve">הצעות חוק דומות בעיקרן הונחו </w:t>
      </w:r>
      <w:r w:rsidR="00E22356">
        <w:rPr>
          <w:rFonts w:hint="cs"/>
          <w:sz w:val="26"/>
          <w:rtl/>
        </w:rPr>
        <w:t xml:space="preserve">על שולחן הכנסת העשרים וארבע </w:t>
      </w:r>
      <w:r w:rsidR="00E22356" w:rsidRPr="002C3B7E">
        <w:rPr>
          <w:rFonts w:hint="eastAsia"/>
          <w:rtl/>
        </w:rPr>
        <w:t>על</w:t>
      </w:r>
      <w:r w:rsidR="00E22356" w:rsidRPr="002C3B7E">
        <w:rPr>
          <w:rtl/>
        </w:rPr>
        <w:t xml:space="preserve"> </w:t>
      </w:r>
      <w:r w:rsidR="00E22356" w:rsidRPr="002C3B7E">
        <w:rPr>
          <w:rFonts w:hint="eastAsia"/>
          <w:rtl/>
        </w:rPr>
        <w:t>ידי</w:t>
      </w:r>
      <w:r w:rsidR="00E22356" w:rsidRPr="002C3B7E">
        <w:rPr>
          <w:rtl/>
        </w:rPr>
        <w:t xml:space="preserve"> </w:t>
      </w:r>
      <w:r w:rsidR="00E22356" w:rsidRPr="002C3B7E">
        <w:rPr>
          <w:rFonts w:hint="eastAsia"/>
          <w:rtl/>
        </w:rPr>
        <w:t>חבר</w:t>
      </w:r>
      <w:r w:rsidR="00E22356" w:rsidRPr="002C3B7E">
        <w:rPr>
          <w:rtl/>
        </w:rPr>
        <w:t xml:space="preserve"> </w:t>
      </w:r>
      <w:r w:rsidR="00E22356" w:rsidRPr="002C3B7E">
        <w:rPr>
          <w:rFonts w:hint="eastAsia"/>
          <w:rtl/>
        </w:rPr>
        <w:t>הכנסת</w:t>
      </w:r>
      <w:r w:rsidR="00E22356" w:rsidRPr="002C3B7E">
        <w:rPr>
          <w:rtl/>
        </w:rPr>
        <w:t xml:space="preserve"> </w:t>
      </w:r>
      <w:r w:rsidR="00E22356" w:rsidRPr="002C3B7E">
        <w:rPr>
          <w:rFonts w:hint="eastAsia"/>
          <w:rtl/>
        </w:rPr>
        <w:t>שלמה</w:t>
      </w:r>
      <w:r w:rsidR="00E22356" w:rsidRPr="002C3B7E">
        <w:rPr>
          <w:rtl/>
        </w:rPr>
        <w:t xml:space="preserve"> </w:t>
      </w:r>
      <w:r w:rsidR="00E22356" w:rsidRPr="002C3B7E">
        <w:rPr>
          <w:rFonts w:hint="eastAsia"/>
          <w:rtl/>
        </w:rPr>
        <w:t>קרעי</w:t>
      </w:r>
      <w:r w:rsidR="00E22356" w:rsidRPr="002C3B7E">
        <w:rPr>
          <w:rtl/>
        </w:rPr>
        <w:t xml:space="preserve"> (פ/</w:t>
      </w:r>
      <w:r w:rsidR="00E22356" w:rsidRPr="002C3B7E">
        <w:rPr>
          <w:rFonts w:hint="cs"/>
          <w:rtl/>
        </w:rPr>
        <w:t>2078/24</w:t>
      </w:r>
      <w:r w:rsidR="00E22356" w:rsidRPr="002C3B7E">
        <w:rPr>
          <w:rtl/>
        </w:rPr>
        <w:t>)</w:t>
      </w:r>
      <w:r w:rsidR="00E22356" w:rsidRPr="002C3B7E">
        <w:rPr>
          <w:rFonts w:hint="cs"/>
          <w:rtl/>
        </w:rPr>
        <w:t xml:space="preserve">, על ידי </w:t>
      </w:r>
      <w:r w:rsidR="008867A7">
        <w:rPr>
          <w:rFonts w:hint="cs"/>
          <w:rtl/>
        </w:rPr>
        <w:t xml:space="preserve">חבר הכנסת יואב קיש (פ/3428/24), </w:t>
      </w:r>
      <w:bookmarkStart w:id="8" w:name="_GoBack"/>
      <w:bookmarkEnd w:id="8"/>
      <w:r w:rsidR="00E22356" w:rsidRPr="002C3B7E">
        <w:rPr>
          <w:rFonts w:hint="cs"/>
          <w:rtl/>
        </w:rPr>
        <w:t xml:space="preserve">על ידי חבר הכנסת דוד אמסלם (פ/3553/24) </w:t>
      </w:r>
      <w:r w:rsidR="00E22356">
        <w:rPr>
          <w:rFonts w:hint="cs"/>
          <w:rtl/>
        </w:rPr>
        <w:t>ו</w:t>
      </w:r>
      <w:r w:rsidRPr="00766450">
        <w:rPr>
          <w:rFonts w:hint="cs"/>
          <w:rtl/>
        </w:rPr>
        <w:t>על שולחן הכנסת העשרים וחמש על ידי חבר הכנסת שלמה קרעי (פ/367/25), על ידי חברת הכנסת מירב בן ארי (פ/368/25), על ידי חברי הכנסת יעקב אשר ומשה גפני (פ/1378/25) ועל ידי חברת הכנסת עאידה תומא סלימאן וקבוצת חברי הכנסת (פ/1465/25).</w:t>
      </w:r>
    </w:p>
    <w:p w14:paraId="219C145A" w14:textId="27E2CFD0" w:rsidR="00766450" w:rsidRPr="00766450" w:rsidRDefault="00766450" w:rsidP="0001057A">
      <w:pPr>
        <w:pStyle w:val="Hesber"/>
        <w:rPr>
          <w:rtl/>
        </w:rPr>
      </w:pPr>
      <w:r>
        <w:rPr>
          <w:rFonts w:hint="cs"/>
          <w:rtl/>
        </w:rPr>
        <w:t>הצעת חוק זהה הונחה על שולחן הכנסת העשרים וחמש על ידי חבר הכנסת אלון שוסטר וקבוצת חברי הכנסת (פ/2146/25).</w:t>
      </w:r>
    </w:p>
    <w:p w14:paraId="7F6961CB" w14:textId="77777777" w:rsidR="00E13C27" w:rsidRDefault="00E13C27" w:rsidP="00E13C27">
      <w:pPr>
        <w:pStyle w:val="Hesber"/>
        <w:rPr>
          <w:rtl/>
        </w:rPr>
      </w:pPr>
    </w:p>
    <w:p w14:paraId="06ED3BB4" w14:textId="77777777" w:rsidR="0045700A" w:rsidRDefault="008867A7">
      <w:pPr>
        <w:jc w:val="left"/>
      </w:pPr>
      <w:bookmarkStart w:id="9" w:name="selectedDocDateB"/>
      <w:bookmarkEnd w:id="9"/>
      <w:r>
        <w:rPr>
          <w:rFonts w:eastAsia="David" w:hint="cs"/>
          <w:sz w:val="26"/>
          <w:szCs w:val="26"/>
          <w:rtl/>
        </w:rPr>
        <w:t>--------------------------------</w:t>
      </w:r>
    </w:p>
    <w:p w14:paraId="56181233" w14:textId="77777777" w:rsidR="0045700A" w:rsidRDefault="008867A7">
      <w:pPr>
        <w:jc w:val="left"/>
      </w:pPr>
      <w:r>
        <w:rPr>
          <w:rFonts w:eastAsia="David" w:hint="cs"/>
          <w:sz w:val="26"/>
          <w:szCs w:val="26"/>
          <w:rtl/>
        </w:rPr>
        <w:t>הוגשה ליו"ר הכנסת והסגנים</w:t>
      </w:r>
    </w:p>
    <w:p w14:paraId="747F1600" w14:textId="77777777" w:rsidR="0045700A" w:rsidRDefault="008867A7">
      <w:pPr>
        <w:jc w:val="left"/>
      </w:pPr>
      <w:r>
        <w:rPr>
          <w:rFonts w:eastAsia="David" w:hint="cs"/>
          <w:sz w:val="26"/>
          <w:szCs w:val="26"/>
          <w:rtl/>
        </w:rPr>
        <w:t>והונחה על שולחן הכנסת ביום</w:t>
      </w:r>
    </w:p>
    <w:p w14:paraId="094DC0E1" w14:textId="526211B1" w:rsidR="0045700A" w:rsidRDefault="008867A7" w:rsidP="008867A7">
      <w:pPr>
        <w:jc w:val="left"/>
      </w:pPr>
      <w:r>
        <w:rPr>
          <w:rFonts w:eastAsia="David" w:hint="cs"/>
          <w:sz w:val="26"/>
          <w:szCs w:val="26"/>
          <w:rtl/>
        </w:rPr>
        <w:t xml:space="preserve">ה' בניסן התשפ"ג (27.03.2023) </w:t>
      </w:r>
    </w:p>
    <w:sectPr w:rsidR="0045700A" w:rsidSect="008867A7">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2A8A513D"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8867A7">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sidP="008867A7">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3741044C" w14:textId="77777777" w:rsidR="00C37597" w:rsidRDefault="00C37597" w:rsidP="00C37597">
      <w:pPr>
        <w:pStyle w:val="a4"/>
      </w:pPr>
      <w:r>
        <w:t xml:space="preserve"> </w:t>
      </w:r>
      <w:r>
        <w:rPr>
          <w:rStyle w:val="a6"/>
        </w:rPr>
        <w:footnoteRef/>
      </w:r>
      <w:r>
        <w:t xml:space="preserve"> </w:t>
      </w:r>
      <w:r>
        <w:rPr>
          <w:sz w:val="20"/>
          <w:rtl/>
        </w:rPr>
        <w:t>ס"ח התשנ"ה, עמ' 210.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057A"/>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5700A"/>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66450"/>
    <w:rsid w:val="0078664F"/>
    <w:rsid w:val="007A27CE"/>
    <w:rsid w:val="007C3FA6"/>
    <w:rsid w:val="007D359E"/>
    <w:rsid w:val="007D585A"/>
    <w:rsid w:val="007D5A12"/>
    <w:rsid w:val="007E59F9"/>
    <w:rsid w:val="00810BCD"/>
    <w:rsid w:val="00812C98"/>
    <w:rsid w:val="00814D92"/>
    <w:rsid w:val="0083181D"/>
    <w:rsid w:val="00843EB2"/>
    <w:rsid w:val="00865572"/>
    <w:rsid w:val="00874BBC"/>
    <w:rsid w:val="008867A7"/>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37597"/>
    <w:rsid w:val="00C9176A"/>
    <w:rsid w:val="00CF1AA2"/>
    <w:rsid w:val="00D142D3"/>
    <w:rsid w:val="00D17774"/>
    <w:rsid w:val="00D63620"/>
    <w:rsid w:val="00D8410D"/>
    <w:rsid w:val="00D867D7"/>
    <w:rsid w:val="00DB7060"/>
    <w:rsid w:val="00DE3153"/>
    <w:rsid w:val="00E06736"/>
    <w:rsid w:val="00E13C27"/>
    <w:rsid w:val="00E22356"/>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33FC61DA-693F-4A20-AD4F-92E89267B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7A7"/>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8867A7"/>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8867A7"/>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8867A7"/>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8867A7"/>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8867A7"/>
    <w:pPr>
      <w:spacing w:line="259" w:lineRule="auto"/>
      <w:outlineLvl w:val="4"/>
    </w:pPr>
    <w:rPr>
      <w:color w:val="000000" w:themeColor="text1"/>
    </w:rPr>
  </w:style>
  <w:style w:type="character" w:default="1" w:styleId="a0">
    <w:name w:val="Default Paragraph Font"/>
    <w:uiPriority w:val="1"/>
    <w:semiHidden/>
    <w:unhideWhenUsed/>
    <w:rsid w:val="008867A7"/>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8867A7"/>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8867A7"/>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8867A7"/>
    <w:rPr>
      <w:sz w:val="36"/>
      <w:szCs w:val="52"/>
    </w:rPr>
  </w:style>
  <w:style w:type="paragraph" w:customStyle="1" w:styleId="Cover3-Haknesset">
    <w:name w:val="Cover 3-Haknesset"/>
    <w:basedOn w:val="Cover1-Reshumot"/>
    <w:rsid w:val="008867A7"/>
    <w:rPr>
      <w:b/>
      <w:bCs/>
      <w:spacing w:val="60"/>
    </w:rPr>
  </w:style>
  <w:style w:type="paragraph" w:customStyle="1" w:styleId="Cover4-Date">
    <w:name w:val="Cover 4-Date"/>
    <w:basedOn w:val="a"/>
    <w:rsid w:val="008867A7"/>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8867A7"/>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8867A7"/>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8867A7"/>
    <w:pPr>
      <w:spacing w:before="120" w:after="120"/>
    </w:pPr>
    <w:rPr>
      <w:color w:val="FF0000"/>
      <w:w w:val="80"/>
    </w:rPr>
  </w:style>
  <w:style w:type="paragraph" w:styleId="a3">
    <w:name w:val="endnote text"/>
    <w:basedOn w:val="a"/>
    <w:semiHidden/>
    <w:rsid w:val="008867A7"/>
    <w:pPr>
      <w:ind w:left="227" w:hanging="227"/>
    </w:pPr>
    <w:rPr>
      <w:sz w:val="14"/>
      <w:szCs w:val="22"/>
    </w:rPr>
  </w:style>
  <w:style w:type="paragraph" w:customStyle="1" w:styleId="TableText">
    <w:name w:val="Table Text"/>
    <w:basedOn w:val="a"/>
    <w:rsid w:val="008867A7"/>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8867A7"/>
    <w:pPr>
      <w:outlineLvl w:val="2"/>
    </w:pPr>
  </w:style>
  <w:style w:type="paragraph" w:customStyle="1" w:styleId="TableBlock">
    <w:name w:val="Table Block"/>
    <w:basedOn w:val="TableText"/>
    <w:rsid w:val="008867A7"/>
    <w:pPr>
      <w:jc w:val="both"/>
    </w:pPr>
  </w:style>
  <w:style w:type="paragraph" w:customStyle="1" w:styleId="TableHead">
    <w:name w:val="Table Head"/>
    <w:basedOn w:val="TableText"/>
    <w:rsid w:val="008867A7"/>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8867A7"/>
    <w:pPr>
      <w:outlineLvl w:val="9"/>
    </w:pPr>
  </w:style>
  <w:style w:type="paragraph" w:customStyle="1" w:styleId="Hesber">
    <w:name w:val="Hesber"/>
    <w:basedOn w:val="a"/>
    <w:rsid w:val="008867A7"/>
    <w:pPr>
      <w:snapToGrid w:val="0"/>
      <w:ind w:left="0" w:firstLine="340"/>
    </w:pPr>
    <w:rPr>
      <w:rFonts w:ascii="Arial" w:eastAsia="Arial Unicode MS" w:hAnsi="Arial"/>
      <w:snapToGrid w:val="0"/>
      <w:sz w:val="20"/>
      <w:szCs w:val="26"/>
    </w:rPr>
  </w:style>
  <w:style w:type="paragraph" w:styleId="a4">
    <w:name w:val="footnote text"/>
    <w:basedOn w:val="a"/>
    <w:link w:val="a5"/>
    <w:autoRedefine/>
    <w:rsid w:val="008867A7"/>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rsid w:val="008867A7"/>
    <w:rPr>
      <w:vertAlign w:val="superscript"/>
    </w:rPr>
  </w:style>
  <w:style w:type="paragraph" w:customStyle="1" w:styleId="HesberHeading">
    <w:name w:val="Hesber Heading"/>
    <w:basedOn w:val="Hesber"/>
    <w:rsid w:val="008867A7"/>
    <w:pPr>
      <w:tabs>
        <w:tab w:val="left" w:pos="624"/>
        <w:tab w:val="left" w:pos="1247"/>
      </w:tabs>
    </w:pPr>
    <w:rPr>
      <w:b/>
      <w:bCs/>
    </w:rPr>
  </w:style>
  <w:style w:type="paragraph" w:customStyle="1" w:styleId="HesberWriters">
    <w:name w:val="Hesber Writers"/>
    <w:basedOn w:val="Hesber"/>
    <w:rsid w:val="008867A7"/>
    <w:pPr>
      <w:spacing w:before="120" w:after="120"/>
      <w:ind w:left="1418"/>
      <w:jc w:val="right"/>
    </w:pPr>
    <w:rPr>
      <w:b/>
      <w:bCs/>
    </w:rPr>
  </w:style>
  <w:style w:type="paragraph" w:customStyle="1" w:styleId="Hesber1st">
    <w:name w:val="Hesber 1st"/>
    <w:basedOn w:val="Hesber"/>
    <w:rsid w:val="008867A7"/>
    <w:pPr>
      <w:tabs>
        <w:tab w:val="left" w:pos="680"/>
        <w:tab w:val="left" w:pos="1020"/>
      </w:tabs>
      <w:ind w:firstLine="0"/>
    </w:pPr>
  </w:style>
  <w:style w:type="character" w:styleId="a7">
    <w:name w:val="endnote reference"/>
    <w:basedOn w:val="a0"/>
    <w:semiHidden/>
    <w:rsid w:val="008867A7"/>
    <w:rPr>
      <w:vertAlign w:val="superscript"/>
    </w:rPr>
  </w:style>
  <w:style w:type="paragraph" w:customStyle="1" w:styleId="TableBlockOutdent">
    <w:name w:val="Table BlockOutdent"/>
    <w:basedOn w:val="TableBlock"/>
    <w:rsid w:val="008867A7"/>
    <w:pPr>
      <w:ind w:left="624" w:hanging="624"/>
    </w:pPr>
  </w:style>
  <w:style w:type="paragraph" w:styleId="a8">
    <w:name w:val="header"/>
    <w:basedOn w:val="a"/>
    <w:rsid w:val="008867A7"/>
    <w:pPr>
      <w:tabs>
        <w:tab w:val="center" w:pos="4153"/>
        <w:tab w:val="right" w:pos="8306"/>
      </w:tabs>
    </w:pPr>
  </w:style>
  <w:style w:type="paragraph" w:styleId="a9">
    <w:name w:val="footer"/>
    <w:basedOn w:val="a"/>
    <w:rsid w:val="008867A7"/>
    <w:pPr>
      <w:tabs>
        <w:tab w:val="center" w:pos="4153"/>
        <w:tab w:val="right" w:pos="8306"/>
      </w:tabs>
    </w:pPr>
  </w:style>
  <w:style w:type="paragraph" w:customStyle="1" w:styleId="HeadDivreiHesber">
    <w:name w:val="Head DivreiHesber"/>
    <w:basedOn w:val="a"/>
    <w:rsid w:val="008867A7"/>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8867A7"/>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8867A7"/>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rsid w:val="00C37597"/>
    <w:rPr>
      <w:rFonts w:ascii="Arial" w:eastAsia="Arial Unicode MS" w:hAnsi="Arial" w:cs="David"/>
      <w:snapToGrid w:val="0"/>
      <w:sz w:val="14"/>
    </w:rPr>
  </w:style>
  <w:style w:type="character" w:customStyle="1" w:styleId="10">
    <w:name w:val="כותרת 1 תו"/>
    <w:basedOn w:val="a0"/>
    <w:link w:val="1"/>
    <w:uiPriority w:val="9"/>
    <w:rsid w:val="008867A7"/>
    <w:rPr>
      <w:rFonts w:asciiTheme="majorHAnsi" w:eastAsiaTheme="majorEastAsia" w:hAnsiTheme="majorHAnsi" w:cs="David"/>
      <w:bCs/>
      <w:sz w:val="32"/>
      <w:szCs w:val="36"/>
    </w:rPr>
  </w:style>
  <w:style w:type="character" w:customStyle="1" w:styleId="20">
    <w:name w:val="כותרת 2 תו"/>
    <w:basedOn w:val="a0"/>
    <w:link w:val="2"/>
    <w:rsid w:val="008867A7"/>
    <w:rPr>
      <w:rFonts w:asciiTheme="majorHAnsi" w:eastAsiaTheme="majorEastAsia" w:hAnsiTheme="majorHAnsi" w:cs="David"/>
      <w:bCs/>
      <w:sz w:val="26"/>
      <w:szCs w:val="36"/>
      <w:u w:val="single"/>
    </w:rPr>
  </w:style>
  <w:style w:type="character" w:customStyle="1" w:styleId="30">
    <w:name w:val="כותרת 3 תו"/>
    <w:basedOn w:val="a0"/>
    <w:link w:val="3"/>
    <w:rsid w:val="008867A7"/>
    <w:rPr>
      <w:rFonts w:asciiTheme="majorHAnsi" w:eastAsiaTheme="majorEastAsia" w:hAnsiTheme="majorHAnsi" w:cs="David"/>
      <w:sz w:val="24"/>
      <w:szCs w:val="28"/>
      <w:u w:val="double"/>
    </w:rPr>
  </w:style>
  <w:style w:type="character" w:customStyle="1" w:styleId="40">
    <w:name w:val="כותרת 4 תו"/>
    <w:basedOn w:val="a0"/>
    <w:link w:val="4"/>
    <w:uiPriority w:val="9"/>
    <w:rsid w:val="008867A7"/>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8867A7"/>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8867A7"/>
    <w:pPr>
      <w:widowControl/>
      <w:spacing w:before="120" w:after="120"/>
      <w:outlineLvl w:val="9"/>
    </w:pPr>
    <w:rPr>
      <w:rtl/>
      <w:cs/>
    </w:rPr>
  </w:style>
  <w:style w:type="paragraph" w:styleId="TOC1">
    <w:name w:val="toc 1"/>
    <w:basedOn w:val="a"/>
    <w:next w:val="a"/>
    <w:autoRedefine/>
    <w:uiPriority w:val="39"/>
    <w:unhideWhenUsed/>
    <w:rsid w:val="008867A7"/>
    <w:pPr>
      <w:tabs>
        <w:tab w:val="right" w:leader="dot" w:pos="9629"/>
      </w:tabs>
      <w:spacing w:after="100"/>
    </w:pPr>
    <w:rPr>
      <w:bCs/>
      <w:szCs w:val="22"/>
    </w:rPr>
  </w:style>
  <w:style w:type="paragraph" w:styleId="TOC2">
    <w:name w:val="toc 2"/>
    <w:basedOn w:val="a"/>
    <w:next w:val="a"/>
    <w:uiPriority w:val="39"/>
    <w:unhideWhenUsed/>
    <w:rsid w:val="008867A7"/>
    <w:pPr>
      <w:tabs>
        <w:tab w:val="right" w:leader="dot" w:pos="9628"/>
      </w:tabs>
      <w:spacing w:after="100"/>
    </w:pPr>
    <w:rPr>
      <w:szCs w:val="22"/>
    </w:rPr>
  </w:style>
  <w:style w:type="character" w:styleId="Hyperlink">
    <w:name w:val="Hyperlink"/>
    <w:basedOn w:val="a0"/>
    <w:uiPriority w:val="99"/>
    <w:unhideWhenUsed/>
    <w:rsid w:val="008867A7"/>
    <w:rPr>
      <w:color w:val="0000FF" w:themeColor="hyperlink"/>
      <w:u w:val="single"/>
    </w:rPr>
  </w:style>
  <w:style w:type="paragraph" w:styleId="TOC3">
    <w:name w:val="toc 3"/>
    <w:basedOn w:val="a"/>
    <w:next w:val="a"/>
    <w:uiPriority w:val="39"/>
    <w:unhideWhenUsed/>
    <w:rsid w:val="008867A7"/>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8867A7"/>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8867A7"/>
    <w:pPr>
      <w:tabs>
        <w:tab w:val="right" w:leader="dot" w:pos="9628"/>
      </w:tabs>
      <w:spacing w:after="100"/>
      <w:ind w:left="567"/>
    </w:pPr>
    <w:rPr>
      <w:szCs w:val="22"/>
    </w:rPr>
  </w:style>
  <w:style w:type="paragraph" w:styleId="TOC6">
    <w:name w:val="toc 6"/>
    <w:basedOn w:val="a"/>
    <w:next w:val="a"/>
    <w:autoRedefine/>
    <w:semiHidden/>
    <w:unhideWhenUsed/>
    <w:rsid w:val="008867A7"/>
    <w:pPr>
      <w:spacing w:after="100"/>
      <w:ind w:left="850"/>
    </w:pPr>
  </w:style>
  <w:style w:type="paragraph" w:styleId="TOC7">
    <w:name w:val="toc 7"/>
    <w:basedOn w:val="a"/>
    <w:next w:val="a"/>
    <w:autoRedefine/>
    <w:semiHidden/>
    <w:unhideWhenUsed/>
    <w:rsid w:val="008867A7"/>
    <w:pPr>
      <w:spacing w:after="100"/>
      <w:ind w:left="1020"/>
    </w:pPr>
  </w:style>
  <w:style w:type="paragraph" w:styleId="TOC8">
    <w:name w:val="toc 8"/>
    <w:basedOn w:val="a"/>
    <w:next w:val="a"/>
    <w:autoRedefine/>
    <w:semiHidden/>
    <w:unhideWhenUsed/>
    <w:rsid w:val="008867A7"/>
    <w:pPr>
      <w:spacing w:after="100"/>
      <w:ind w:left="1190"/>
    </w:pPr>
  </w:style>
  <w:style w:type="paragraph" w:styleId="TOC9">
    <w:name w:val="toc 9"/>
    <w:basedOn w:val="a"/>
    <w:next w:val="a"/>
    <w:autoRedefine/>
    <w:semiHidden/>
    <w:unhideWhenUsed/>
    <w:rsid w:val="008867A7"/>
    <w:pPr>
      <w:spacing w:after="100"/>
      <w:ind w:left="1360"/>
    </w:pPr>
  </w:style>
  <w:style w:type="paragraph" w:customStyle="1" w:styleId="TableHead2">
    <w:name w:val="Table Head2"/>
    <w:basedOn w:val="TableHead"/>
    <w:qFormat/>
    <w:rsid w:val="008867A7"/>
    <w:pPr>
      <w:outlineLvl w:val="9"/>
    </w:pPr>
  </w:style>
  <w:style w:type="paragraph" w:customStyle="1" w:styleId="TableSideHeading2">
    <w:name w:val="Table SideHeading2"/>
    <w:basedOn w:val="TableSideHeading"/>
    <w:autoRedefine/>
    <w:qFormat/>
    <w:rsid w:val="008867A7"/>
    <w:pPr>
      <w:keepLines w:val="0"/>
      <w:outlineLvl w:val="9"/>
    </w:pPr>
  </w:style>
  <w:style w:type="paragraph" w:customStyle="1" w:styleId="0">
    <w:name w:val="סגנון שורה ראשונה:  0  ס''מ"/>
    <w:basedOn w:val="2"/>
    <w:rsid w:val="008867A7"/>
    <w:rPr>
      <w:rFonts w:eastAsia="Times New Roman"/>
    </w:rPr>
  </w:style>
  <w:style w:type="paragraph" w:styleId="af">
    <w:name w:val="List Paragraph"/>
    <w:basedOn w:val="a"/>
    <w:uiPriority w:val="34"/>
    <w:qFormat/>
    <w:rsid w:val="008867A7"/>
    <w:pPr>
      <w:widowControl/>
      <w:spacing w:line="259" w:lineRule="auto"/>
    </w:pPr>
    <w:rPr>
      <w:rFonts w:asciiTheme="minorHAnsi" w:hAnsiTheme="minorHAnsi"/>
      <w:sz w:val="22"/>
    </w:rPr>
  </w:style>
  <w:style w:type="table" w:styleId="af0">
    <w:name w:val="Table Grid"/>
    <w:basedOn w:val="a1"/>
    <w:rsid w:val="00886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8867A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8867A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8867A7"/>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8867A7"/>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purl.org/dc/term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290d5b49-c690-4c6f-bbb9-1e50dab33eee"/>
    <ds:schemaRef ds:uri="http://purl.org/dc/dcmitype/"/>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48B68398-7FAF-4415-8D13-69128BC30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DFCF00-ECD1-4D70-B0C8-8E4661F38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671</Words>
  <Characters>3356</Characters>
  <Application>Microsoft Office Word</Application>
  <DocSecurity>0</DocSecurity>
  <Lines>27</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8</cp:revision>
  <cp:lastPrinted>2013-07-04T08:25:00Z</cp:lastPrinted>
  <dcterms:created xsi:type="dcterms:W3CDTF">2015-04-20T09:58:00Z</dcterms:created>
  <dcterms:modified xsi:type="dcterms:W3CDTF">2023-03-23T09:06:00Z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2203289</vt:r8>
  </property>
</Properties>
</file>