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2203282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rFonts w:cs="David"/>
          <w:b/>
          <w:bCs/>
          <w:sz w:val="26"/>
          <w:szCs w:val="26"/>
          <w:rtl/>
        </w:rPr>
      </w:pPr>
    </w:p>
    <w:p w14:paraId="7F6961AA" w14:textId="4C234AB3" w:rsidR="00E13C27" w:rsidRPr="00CF1AA2" w:rsidRDefault="008F6665" w:rsidP="00E769B4">
      <w:pPr>
        <w:pStyle w:val="David"/>
        <w:spacing w:line="360" w:lineRule="auto"/>
        <w:ind w:left="3544"/>
        <w:rPr>
          <w:b/>
          <w:bCs/>
          <w:sz w:val="16"/>
          <w:szCs w:val="16"/>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יונתן מישרקי</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פ/3009/25</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43C1BFA2" w:rsidR="00E13C27" w:rsidRPr="00F67051" w:rsidRDefault="00A443CF" w:rsidP="0021633A">
      <w:pPr>
        <w:pStyle w:val="HeadHatzaotHok"/>
        <w:rPr>
          <w:rtl/>
        </w:rPr>
      </w:pPr>
      <w:bookmarkStart w:id="7" w:name="LGS_Subject"/>
      <w:r>
        <w:rPr>
          <w:rFonts w:hint="cs"/>
          <w:rtl/>
        </w:rPr>
        <w:t>הצעת חוק הביטוח הלאומי (תיקון – טיפול בפעוטות במעונות יום כעבודה מועדפת), התשפ"ג–2023</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0B7CE3" w14:paraId="42E6A180" w14:textId="77777777" w:rsidTr="000B7CE3">
        <w:trPr>
          <w:cantSplit/>
        </w:trPr>
        <w:tc>
          <w:tcPr>
            <w:tcW w:w="1871" w:type="dxa"/>
            <w:hideMark/>
          </w:tcPr>
          <w:p w14:paraId="3C6E3527" w14:textId="77777777" w:rsidR="000B7CE3" w:rsidRDefault="000B7CE3" w:rsidP="00525717">
            <w:pPr>
              <w:pStyle w:val="TableSideHeading"/>
              <w:keepLines w:val="0"/>
              <w:rPr>
                <w:sz w:val="26"/>
              </w:rPr>
            </w:pPr>
            <w:r>
              <w:rPr>
                <w:rtl/>
              </w:rPr>
              <w:t>תיקון</w:t>
            </w:r>
            <w:r>
              <w:rPr>
                <w:sz w:val="26"/>
                <w:rtl/>
              </w:rPr>
              <w:t xml:space="preserve"> </w:t>
            </w:r>
            <w:r>
              <w:rPr>
                <w:rFonts w:hint="cs"/>
                <w:sz w:val="26"/>
                <w:rtl/>
              </w:rPr>
              <w:t xml:space="preserve">לוח ח' </w:t>
            </w:r>
            <w:r>
              <w:rPr>
                <w:rtl/>
              </w:rPr>
              <w:t xml:space="preserve"> </w:t>
            </w:r>
          </w:p>
        </w:tc>
        <w:tc>
          <w:tcPr>
            <w:tcW w:w="624" w:type="dxa"/>
            <w:hideMark/>
          </w:tcPr>
          <w:p w14:paraId="6AF9ED89" w14:textId="77777777" w:rsidR="000B7CE3" w:rsidRDefault="000B7CE3" w:rsidP="00525717">
            <w:pPr>
              <w:pStyle w:val="TableText"/>
              <w:keepLines w:val="0"/>
              <w:rPr>
                <w:sz w:val="26"/>
              </w:rPr>
            </w:pPr>
            <w:r>
              <w:rPr>
                <w:sz w:val="26"/>
                <w:rtl/>
              </w:rPr>
              <w:t xml:space="preserve">1. </w:t>
            </w:r>
          </w:p>
        </w:tc>
        <w:tc>
          <w:tcPr>
            <w:tcW w:w="7146" w:type="dxa"/>
            <w:hideMark/>
          </w:tcPr>
          <w:p w14:paraId="111A8ED8" w14:textId="77777777" w:rsidR="000B7CE3" w:rsidRDefault="000B7CE3" w:rsidP="00525717">
            <w:pPr>
              <w:pStyle w:val="TableBlock"/>
              <w:rPr>
                <w:b/>
                <w:bCs/>
              </w:rPr>
            </w:pPr>
            <w:r>
              <w:rPr>
                <w:rtl/>
              </w:rPr>
              <w:t xml:space="preserve">בחוק </w:t>
            </w:r>
            <w:r>
              <w:rPr>
                <w:rFonts w:hint="cs"/>
                <w:rtl/>
              </w:rPr>
              <w:t>הביטוח הלאומי [נוסח משולב]</w:t>
            </w:r>
            <w:r>
              <w:rPr>
                <w:rtl/>
              </w:rPr>
              <w:t>, התשנ"</w:t>
            </w:r>
            <w:r>
              <w:rPr>
                <w:rFonts w:hint="cs"/>
                <w:rtl/>
              </w:rPr>
              <w:t>ה</w:t>
            </w:r>
            <w:r>
              <w:rPr>
                <w:rtl/>
              </w:rPr>
              <w:t>–199</w:t>
            </w:r>
            <w:r>
              <w:rPr>
                <w:rFonts w:hint="cs"/>
                <w:rtl/>
              </w:rPr>
              <w:t>5</w:t>
            </w:r>
            <w:r w:rsidRPr="00E5389C">
              <w:rPr>
                <w:rFonts w:ascii="David" w:hAnsi="David"/>
                <w:sz w:val="26"/>
                <w:vertAlign w:val="superscript"/>
                <w:rtl/>
              </w:rPr>
              <w:footnoteReference w:id="2"/>
            </w:r>
            <w:r>
              <w:rPr>
                <w:rtl/>
              </w:rPr>
              <w:t xml:space="preserve">, </w:t>
            </w:r>
            <w:r>
              <w:rPr>
                <w:rFonts w:hint="cs"/>
                <w:rtl/>
              </w:rPr>
              <w:t>בלוח ח'</w:t>
            </w:r>
            <w:r>
              <w:rPr>
                <w:rtl/>
              </w:rPr>
              <w:t xml:space="preserve">, </w:t>
            </w:r>
            <w:r>
              <w:rPr>
                <w:rFonts w:hint="cs"/>
                <w:rtl/>
              </w:rPr>
              <w:t xml:space="preserve">בסופו </w:t>
            </w:r>
            <w:r>
              <w:rPr>
                <w:rtl/>
              </w:rPr>
              <w:t>יבוא:</w:t>
            </w:r>
          </w:p>
        </w:tc>
      </w:tr>
      <w:tr w:rsidR="000B7CE3" w14:paraId="796D6F88" w14:textId="77777777" w:rsidTr="000B7CE3">
        <w:trPr>
          <w:cantSplit/>
        </w:trPr>
        <w:tc>
          <w:tcPr>
            <w:tcW w:w="1871" w:type="dxa"/>
          </w:tcPr>
          <w:p w14:paraId="24CE8BB6" w14:textId="77777777" w:rsidR="000B7CE3" w:rsidRDefault="000B7CE3" w:rsidP="00525717">
            <w:pPr>
              <w:pStyle w:val="TableSideHeading"/>
            </w:pPr>
          </w:p>
        </w:tc>
        <w:tc>
          <w:tcPr>
            <w:tcW w:w="624" w:type="dxa"/>
          </w:tcPr>
          <w:p w14:paraId="22D28149" w14:textId="77777777" w:rsidR="000B7CE3" w:rsidRDefault="000B7CE3" w:rsidP="00525717">
            <w:pPr>
              <w:pStyle w:val="TableText"/>
            </w:pPr>
          </w:p>
        </w:tc>
        <w:tc>
          <w:tcPr>
            <w:tcW w:w="7146" w:type="dxa"/>
          </w:tcPr>
          <w:p w14:paraId="00B6A1E5" w14:textId="77777777" w:rsidR="000B7CE3" w:rsidRPr="005A6389" w:rsidRDefault="000B7CE3" w:rsidP="00525717">
            <w:pPr>
              <w:pStyle w:val="TableBlock"/>
            </w:pPr>
            <w:r w:rsidRPr="005A6389">
              <w:rPr>
                <w:rtl/>
              </w:rPr>
              <w:t>"(</w:t>
            </w:r>
            <w:r w:rsidRPr="005A6389">
              <w:rPr>
                <w:rFonts w:hint="cs"/>
                <w:rtl/>
              </w:rPr>
              <w:t>ח</w:t>
            </w:r>
            <w:r w:rsidRPr="005A6389">
              <w:rPr>
                <w:rtl/>
              </w:rPr>
              <w:t>)</w:t>
            </w:r>
            <w:r w:rsidRPr="005A6389">
              <w:rPr>
                <w:rFonts w:hint="cs"/>
                <w:rtl/>
              </w:rPr>
              <w:t xml:space="preserve"> </w:t>
            </w:r>
            <w:r w:rsidRPr="005A6389">
              <w:rPr>
                <w:rtl/>
              </w:rPr>
              <w:tab/>
            </w:r>
            <w:r w:rsidRPr="005A6389">
              <w:rPr>
                <w:rFonts w:hint="cs"/>
                <w:rtl/>
              </w:rPr>
              <w:t>חינוך וטיפול בפעוטות במעון יום לפעוטות שמתקיים לגביו התנאי האמור בפסקה (1) להגדרה "מעון יום לפעוטות" בחוק הפיקוח על מעונות יום לפעוטות, התשע"ט</w:t>
            </w:r>
            <w:r>
              <w:rPr>
                <w:rtl/>
              </w:rPr>
              <w:t>–</w:t>
            </w:r>
            <w:r w:rsidRPr="005A6389">
              <w:rPr>
                <w:rFonts w:hint="cs"/>
                <w:rtl/>
              </w:rPr>
              <w:t>2018</w:t>
            </w:r>
            <w:r w:rsidRPr="00E5389C">
              <w:rPr>
                <w:rFonts w:ascii="David" w:hAnsi="David"/>
                <w:sz w:val="26"/>
                <w:vertAlign w:val="superscript"/>
                <w:rtl/>
              </w:rPr>
              <w:footnoteReference w:id="3"/>
            </w:r>
            <w:r w:rsidRPr="005A6389">
              <w:rPr>
                <w:rFonts w:hint="cs"/>
                <w:rtl/>
              </w:rPr>
              <w:t xml:space="preserve">, שלא בידי הבעלים </w:t>
            </w:r>
            <w:r>
              <w:rPr>
                <w:rFonts w:hint="cs"/>
                <w:rtl/>
              </w:rPr>
              <w:t>של מעון היום, ולמעט ניהול המעון</w:t>
            </w:r>
            <w:r w:rsidRPr="005A6389">
              <w:rPr>
                <w:rFonts w:hint="cs"/>
                <w:rtl/>
              </w:rPr>
              <w:t>.</w:t>
            </w:r>
            <w:r>
              <w:rPr>
                <w:rFonts w:hint="cs"/>
                <w:rtl/>
              </w:rPr>
              <w:t>"</w:t>
            </w:r>
          </w:p>
        </w:tc>
      </w:tr>
    </w:tbl>
    <w:p w14:paraId="7F6961CA" w14:textId="77777777" w:rsidR="002D1EE3" w:rsidRDefault="002D1EE3" w:rsidP="002D1EE3">
      <w:pPr>
        <w:pStyle w:val="HeadDivreiHesber"/>
        <w:rPr>
          <w:rtl/>
        </w:rPr>
      </w:pPr>
      <w:r w:rsidRPr="0027450A">
        <w:rPr>
          <w:rFonts w:hint="cs"/>
          <w:rtl/>
        </w:rPr>
        <w:t>דברי הסבר</w:t>
      </w:r>
    </w:p>
    <w:p w14:paraId="5C58E7EF" w14:textId="28C308DA" w:rsidR="000B7CE3" w:rsidRDefault="000B7CE3" w:rsidP="00E769B4">
      <w:pPr>
        <w:pStyle w:val="Hesber"/>
        <w:rPr>
          <w:rtl/>
        </w:rPr>
      </w:pPr>
      <w:r>
        <w:rPr>
          <w:rFonts w:hint="cs"/>
          <w:rtl/>
        </w:rPr>
        <w:t>חוק הביטוח הלאומי [נוסח משולב], התשנ"ה</w:t>
      </w:r>
      <w:r>
        <w:rPr>
          <w:rFonts w:hint="eastAsia"/>
          <w:rtl/>
        </w:rPr>
        <w:t>–</w:t>
      </w:r>
      <w:r>
        <w:rPr>
          <w:rFonts w:hint="cs"/>
          <w:rtl/>
        </w:rPr>
        <w:t xml:space="preserve">1995, </w:t>
      </w:r>
      <w:r w:rsidR="00BC1CBF">
        <w:rPr>
          <w:rFonts w:hint="cs"/>
          <w:rtl/>
        </w:rPr>
        <w:t xml:space="preserve">קובע את </w:t>
      </w:r>
      <w:r>
        <w:rPr>
          <w:rFonts w:hint="cs"/>
          <w:rtl/>
        </w:rPr>
        <w:t>תנאי הזכאות למענק חד פעמי כספי לחיילים משוחררים ומסיימי שירות לאומי שעבדו בעבודה מועדפת.</w:t>
      </w:r>
    </w:p>
    <w:p w14:paraId="59C693A4" w14:textId="77777777" w:rsidR="000B7CE3" w:rsidRDefault="000B7CE3" w:rsidP="000B7CE3">
      <w:pPr>
        <w:pStyle w:val="Hesber"/>
        <w:rPr>
          <w:rtl/>
        </w:rPr>
      </w:pPr>
      <w:r>
        <w:rPr>
          <w:rFonts w:hint="cs"/>
          <w:rtl/>
        </w:rPr>
        <w:t xml:space="preserve"> מטרת המענק הכספי היא לתמרץ צעירים לעבוד בענפי עבודה המוגדרים כעבודה נדרשת וסובלים ממחסור בעובדים, דוגמת ענפי החקלאות והתעשייה.</w:t>
      </w:r>
    </w:p>
    <w:p w14:paraId="321ACFEC" w14:textId="77777777" w:rsidR="000B7CE3" w:rsidRPr="00D47764" w:rsidRDefault="000B7CE3" w:rsidP="000B7CE3">
      <w:pPr>
        <w:pStyle w:val="Hesber"/>
        <w:rPr>
          <w:strike/>
          <w:rtl/>
        </w:rPr>
      </w:pPr>
      <w:r>
        <w:rPr>
          <w:rFonts w:hint="cs"/>
          <w:rtl/>
        </w:rPr>
        <w:t>במדינתנו, קיים מחסור חמור בעובדות מעונות ומטפלות, בפרט במעונות היום לפעוטות בגילאי לידה עד שלוש. המספר המצומצם של עובדות ביחס לכמות הפעוטות במעונות מוביל לשחיקה בקרב המטפלות ולהתפטרויות רבות המגבירות את המחסור. כתוצאה מכך נפגעת רווחת הפעוטות. ידוע כי גילאי לידה עד שלוש מהווים שלב מעצב בהתפתחות, בו נדרשת תשומת לב רבה לפעוטות, אך בשל המצב הקיים למטפלות אין די פנאי בשביל להעניק להם את מלוא תשומת הלב, שכן הן נדרשות לטפל במספר רב של ילדים במקביל וכן בתחזוקת המעון. לא זו אף זו, מעונות רבים נסגרים בשל מחסור בכוח אדם, וכתוצאה מכך פעוטות רבים נשארים ללא מסגרת טיפולית-חינוכית, כך שהורים רבים נאלצים למצוא סידור חלופי, לעיתים על חשבון עבודתם, ונוצרת פגיעה בפריון העבודה ובמשק.</w:t>
      </w:r>
    </w:p>
    <w:p w14:paraId="49A7664D" w14:textId="77777777" w:rsidR="000B7CE3" w:rsidRDefault="000B7CE3" w:rsidP="000B7CE3">
      <w:pPr>
        <w:pStyle w:val="Hesber"/>
        <w:rPr>
          <w:rtl/>
        </w:rPr>
      </w:pPr>
      <w:r>
        <w:rPr>
          <w:rFonts w:hint="cs"/>
          <w:rtl/>
        </w:rPr>
        <w:t>על מנת לסייע לפתרון הבעיה, יש לקדם תכנית ארוכת טווח להכנסת מטפלות מקצועיות נוספות למערך הטיפולי, ובמקביל לפעול למציאת פתרון שיקל בצורה מידית על התמודדות עם המחסור. תיקון חוק זה, המתמרץ צעירים לעבוד בחינוך וטיפול במעונות, נועד לתת מענה מידי למחסור החמור ולהשלכות הנובעות ממנו.</w:t>
      </w:r>
    </w:p>
    <w:p w14:paraId="32947661" w14:textId="77777777" w:rsidR="001B14D2" w:rsidRDefault="001B14D2">
      <w:pPr>
        <w:widowControl/>
        <w:autoSpaceDE/>
        <w:autoSpaceDN/>
        <w:bidi w:val="0"/>
        <w:adjustRightInd/>
        <w:spacing w:before="0" w:line="240" w:lineRule="auto"/>
        <w:ind w:firstLine="0"/>
        <w:jc w:val="left"/>
        <w:textAlignment w:val="auto"/>
        <w:rPr>
          <w:rFonts w:ascii="Arial" w:eastAsia="Arial Unicode MS" w:hAnsi="Arial" w:cs="David"/>
          <w:snapToGrid w:val="0"/>
          <w:spacing w:val="0"/>
          <w:sz w:val="20"/>
          <w:szCs w:val="26"/>
          <w:rtl/>
        </w:rPr>
      </w:pPr>
      <w:r>
        <w:rPr>
          <w:rtl/>
        </w:rPr>
        <w:br w:type="page"/>
      </w:r>
    </w:p>
    <w:p w14:paraId="360C8272" w14:textId="460E6DBB" w:rsidR="000B7CE3" w:rsidRDefault="000B7CE3" w:rsidP="000B7CE3">
      <w:pPr>
        <w:pStyle w:val="Hesber"/>
        <w:rPr>
          <w:rtl/>
        </w:rPr>
      </w:pPr>
      <w:r w:rsidRPr="005D6261">
        <w:rPr>
          <w:rtl/>
        </w:rPr>
        <w:lastRenderedPageBreak/>
        <w:t xml:space="preserve">הצעות חוק דומות בעיקרן הונחו על שולחן הכנסת </w:t>
      </w:r>
      <w:r w:rsidRPr="0074246E">
        <w:rPr>
          <w:rtl/>
        </w:rPr>
        <w:t>השמונה</w:t>
      </w:r>
      <w:r>
        <w:rPr>
          <w:rFonts w:hint="cs"/>
          <w:rtl/>
        </w:rPr>
        <w:t>-</w:t>
      </w:r>
      <w:r w:rsidRPr="0074246E">
        <w:rPr>
          <w:rtl/>
        </w:rPr>
        <w:t xml:space="preserve">עשרה </w:t>
      </w:r>
      <w:r>
        <w:rPr>
          <w:rFonts w:hint="cs"/>
          <w:rtl/>
        </w:rPr>
        <w:t>ו</w:t>
      </w:r>
      <w:r w:rsidRPr="0074246E">
        <w:rPr>
          <w:rtl/>
        </w:rPr>
        <w:t>על שולחן הכנסת התשע</w:t>
      </w:r>
      <w:r>
        <w:rPr>
          <w:rFonts w:hint="cs"/>
          <w:rtl/>
        </w:rPr>
        <w:t>-</w:t>
      </w:r>
      <w:r w:rsidRPr="0074246E">
        <w:rPr>
          <w:rtl/>
        </w:rPr>
        <w:t>עשרה על ידי חברת הכנסת זהבה גלאון וקבוצת חברי הכנסת (פ</w:t>
      </w:r>
      <w:r>
        <w:rPr>
          <w:rtl/>
        </w:rPr>
        <w:t>/3913/18; פ/726/19),</w:t>
      </w:r>
      <w:r w:rsidRPr="00134619">
        <w:rPr>
          <w:rFonts w:hint="cs"/>
          <w:rtl/>
        </w:rPr>
        <w:t xml:space="preserve"> </w:t>
      </w:r>
      <w:r>
        <w:rPr>
          <w:rFonts w:hint="cs"/>
          <w:rtl/>
        </w:rPr>
        <w:t xml:space="preserve">על שולחן הכנסת העשרים </w:t>
      </w:r>
      <w:r w:rsidRPr="0074246E">
        <w:rPr>
          <w:rtl/>
        </w:rPr>
        <w:t xml:space="preserve">על ידי חברת הכנסת זהבה גלאון וקבוצת חברי הכנסת </w:t>
      </w:r>
      <w:r>
        <w:rPr>
          <w:rFonts w:hint="cs"/>
          <w:rtl/>
        </w:rPr>
        <w:t>(</w:t>
      </w:r>
      <w:r>
        <w:rPr>
          <w:rtl/>
        </w:rPr>
        <w:t>פ/227/20</w:t>
      </w:r>
      <w:r>
        <w:rPr>
          <w:rFonts w:hint="cs"/>
          <w:rtl/>
        </w:rPr>
        <w:t>) ועל ידי חברת הכנסת איילת נחמיאס ורבין (</w:t>
      </w:r>
      <w:r w:rsidRPr="008400FD">
        <w:rPr>
          <w:rtl/>
        </w:rPr>
        <w:t>פ/5975/20</w:t>
      </w:r>
      <w:r>
        <w:rPr>
          <w:rFonts w:hint="cs"/>
          <w:rtl/>
        </w:rPr>
        <w:t>)</w:t>
      </w:r>
      <w:r w:rsidR="00BC1CBF">
        <w:rPr>
          <w:rFonts w:hint="cs"/>
          <w:rtl/>
        </w:rPr>
        <w:t>,</w:t>
      </w:r>
      <w:r>
        <w:rPr>
          <w:rtl/>
        </w:rPr>
        <w:t xml:space="preserve"> </w:t>
      </w:r>
      <w:r w:rsidRPr="0074246E">
        <w:rPr>
          <w:rtl/>
        </w:rPr>
        <w:t xml:space="preserve">על שולחן הכנסת העשרים ואחת על ידי חבר הכנסת אילן גילאון </w:t>
      </w:r>
      <w:r>
        <w:rPr>
          <w:rtl/>
        </w:rPr>
        <w:t>וקבוצת חברי הכנסת (פ/324/21)</w:t>
      </w:r>
      <w:r>
        <w:rPr>
          <w:rFonts w:hint="cs"/>
          <w:rtl/>
        </w:rPr>
        <w:t xml:space="preserve">. </w:t>
      </w:r>
    </w:p>
    <w:p w14:paraId="18F52D87" w14:textId="7DB62342" w:rsidR="000B7CE3" w:rsidRDefault="000B7CE3" w:rsidP="00BC1CBF">
      <w:pPr>
        <w:pStyle w:val="Hesber"/>
        <w:rPr>
          <w:rtl/>
        </w:rPr>
      </w:pPr>
      <w:r>
        <w:rPr>
          <w:rtl/>
        </w:rPr>
        <w:t>הצע</w:t>
      </w:r>
      <w:r>
        <w:rPr>
          <w:rFonts w:hint="cs"/>
          <w:rtl/>
        </w:rPr>
        <w:t>ו</w:t>
      </w:r>
      <w:r>
        <w:rPr>
          <w:rtl/>
        </w:rPr>
        <w:t xml:space="preserve">ת חוק </w:t>
      </w:r>
      <w:r>
        <w:rPr>
          <w:rFonts w:hint="cs"/>
          <w:rtl/>
        </w:rPr>
        <w:t>זהות הונחו</w:t>
      </w:r>
      <w:r w:rsidRPr="005D6261">
        <w:rPr>
          <w:rtl/>
        </w:rPr>
        <w:t xml:space="preserve"> על שולחן הכנסת </w:t>
      </w:r>
      <w:r>
        <w:rPr>
          <w:rFonts w:hint="cs"/>
          <w:rtl/>
        </w:rPr>
        <w:t>העשרים וארבע על ידי חבר הכנסת רון כץ (פ/2675/24) ועל ידי חבר הכנסת מכלוף מיקי זוהר (פ/3957/24)</w:t>
      </w:r>
      <w:r w:rsidR="00BC1CBF" w:rsidRPr="00BC1CBF">
        <w:rPr>
          <w:rFonts w:ascii="Hadasa Roso SL" w:eastAsia="MS Mincho" w:hAnsi="Hadasa Roso SL" w:cs="Hadasa Roso SL" w:hint="cs"/>
          <w:snapToGrid/>
          <w:spacing w:val="1"/>
          <w:sz w:val="17"/>
          <w:szCs w:val="17"/>
          <w:rtl/>
        </w:rPr>
        <w:t xml:space="preserve"> </w:t>
      </w:r>
      <w:r w:rsidR="00BC1CBF" w:rsidRPr="00BC1CBF">
        <w:rPr>
          <w:rFonts w:hint="cs"/>
          <w:rtl/>
        </w:rPr>
        <w:t xml:space="preserve">ועל שולחן </w:t>
      </w:r>
      <w:r w:rsidR="00BC1CBF" w:rsidRPr="00BC1CBF">
        <w:rPr>
          <w:rtl/>
        </w:rPr>
        <w:t>הכנסת העשרים ו</w:t>
      </w:r>
      <w:r w:rsidR="00BC1CBF" w:rsidRPr="00BC1CBF">
        <w:rPr>
          <w:rFonts w:hint="cs"/>
          <w:rtl/>
        </w:rPr>
        <w:t>חמש</w:t>
      </w:r>
      <w:r w:rsidR="00BC1CBF" w:rsidRPr="00BC1CBF">
        <w:rPr>
          <w:rtl/>
        </w:rPr>
        <w:t xml:space="preserve"> על ידי חבר הכנסת </w:t>
      </w:r>
      <w:r w:rsidR="00BC1CBF" w:rsidRPr="00BC1CBF">
        <w:rPr>
          <w:rFonts w:hint="cs"/>
          <w:rtl/>
        </w:rPr>
        <w:t>מכלוף מיקי זוהר</w:t>
      </w:r>
      <w:r w:rsidR="00BC1CBF" w:rsidRPr="00BC1CBF">
        <w:rPr>
          <w:rtl/>
        </w:rPr>
        <w:t xml:space="preserve"> (פ/878/25)</w:t>
      </w:r>
      <w:r w:rsidR="00BC1CBF">
        <w:rPr>
          <w:rFonts w:hint="cs"/>
          <w:rtl/>
        </w:rPr>
        <w:t xml:space="preserve">, </w:t>
      </w:r>
      <w:r w:rsidR="00BC1CBF" w:rsidRPr="00BC1CBF">
        <w:rPr>
          <w:rFonts w:hint="cs"/>
          <w:rtl/>
        </w:rPr>
        <w:t>על ידי חבר הכנסת מיכאל מרדכי ביטון (פ/1635/25</w:t>
      </w:r>
      <w:r w:rsidR="00BC1CBF">
        <w:rPr>
          <w:rFonts w:hint="cs"/>
          <w:rtl/>
        </w:rPr>
        <w:t>) ועל ידי חבר הכנסת רון כץ (פ/2732/25)</w:t>
      </w:r>
      <w:r>
        <w:rPr>
          <w:rFonts w:hint="cs"/>
          <w:rtl/>
        </w:rPr>
        <w:t>.</w:t>
      </w:r>
    </w:p>
    <w:p w14:paraId="10E04CEB" w14:textId="77777777" w:rsidR="000B7CE3" w:rsidRDefault="000B7CE3" w:rsidP="000B7CE3">
      <w:pPr>
        <w:pStyle w:val="Hesber"/>
        <w:rPr>
          <w:rtl/>
        </w:rPr>
      </w:pPr>
      <w:r>
        <w:rPr>
          <w:rFonts w:hint="cs"/>
          <w:rtl/>
        </w:rPr>
        <w:t>הצעת החוק זהה לפ/2675/24 ולפיכך לא נבדקה מחדש על ידי הלשכה המשפטית של הכנסת.</w:t>
      </w:r>
    </w:p>
    <w:p w14:paraId="7F6961CB" w14:textId="75ABE8DD" w:rsidR="00E13C27" w:rsidRDefault="00E13C27" w:rsidP="00E13C27">
      <w:pPr>
        <w:pStyle w:val="Hesber"/>
        <w:rPr>
          <w:rtl/>
        </w:rPr>
      </w:pPr>
    </w:p>
    <w:p w14:paraId="5F1161B1" w14:textId="70BF87F2" w:rsidR="001B14D2" w:rsidRDefault="001B14D2" w:rsidP="00E13C27">
      <w:pPr>
        <w:pStyle w:val="Hesber"/>
        <w:rPr>
          <w:rtl/>
        </w:rPr>
      </w:pPr>
    </w:p>
    <w:p w14:paraId="7ECF5196" w14:textId="77777777" w:rsidR="001B14D2" w:rsidRDefault="001B14D2" w:rsidP="00E13C27">
      <w:pPr>
        <w:pStyle w:val="Hesber"/>
        <w:rPr>
          <w:rtl/>
        </w:rPr>
      </w:pPr>
      <w:bookmarkStart w:id="8" w:name="_GoBack"/>
      <w:bookmarkEnd w:id="8"/>
    </w:p>
    <w:p w14:paraId="74962CCD" w14:textId="77777777" w:rsidR="004C06AD" w:rsidRDefault="001B14D2">
      <w:pPr>
        <w:spacing w:before="0" w:line="360" w:lineRule="auto"/>
        <w:jc w:val="left"/>
      </w:pPr>
      <w:bookmarkStart w:id="9" w:name="selectedDocDateB"/>
      <w:bookmarkEnd w:id="9"/>
      <w:r>
        <w:rPr>
          <w:rFonts w:ascii="David" w:eastAsia="David" w:hAnsi="David" w:cs="David" w:hint="cs"/>
          <w:sz w:val="26"/>
          <w:szCs w:val="26"/>
          <w:rtl/>
        </w:rPr>
        <w:t>--------------------------------</w:t>
      </w:r>
    </w:p>
    <w:p w14:paraId="4041AEC2" w14:textId="77777777" w:rsidR="004C06AD" w:rsidRDefault="001B14D2">
      <w:pPr>
        <w:spacing w:before="0" w:line="360" w:lineRule="auto"/>
        <w:jc w:val="left"/>
      </w:pPr>
      <w:r>
        <w:rPr>
          <w:rFonts w:ascii="David" w:eastAsia="David" w:hAnsi="David" w:cs="David" w:hint="cs"/>
          <w:sz w:val="26"/>
          <w:szCs w:val="26"/>
          <w:rtl/>
        </w:rPr>
        <w:t>הוגשה ליו"ר הכנסת והסגנים</w:t>
      </w:r>
    </w:p>
    <w:p w14:paraId="32DA0CBD" w14:textId="77777777" w:rsidR="004C06AD" w:rsidRDefault="001B14D2">
      <w:pPr>
        <w:spacing w:before="0" w:line="360" w:lineRule="auto"/>
        <w:jc w:val="left"/>
      </w:pPr>
      <w:r>
        <w:rPr>
          <w:rFonts w:ascii="David" w:eastAsia="David" w:hAnsi="David" w:cs="David" w:hint="cs"/>
          <w:sz w:val="26"/>
          <w:szCs w:val="26"/>
          <w:rtl/>
        </w:rPr>
        <w:t>והונחה על שולחן הכנסת ביום</w:t>
      </w:r>
    </w:p>
    <w:p w14:paraId="72277457" w14:textId="77777777" w:rsidR="004C06AD" w:rsidRDefault="001B14D2">
      <w:pPr>
        <w:spacing w:before="0" w:line="360" w:lineRule="auto"/>
        <w:jc w:val="left"/>
      </w:pPr>
      <w:r>
        <w:rPr>
          <w:rFonts w:ascii="David" w:eastAsia="David" w:hAnsi="David" w:cs="David" w:hint="cs"/>
          <w:sz w:val="26"/>
          <w:szCs w:val="26"/>
          <w:rtl/>
        </w:rPr>
        <w:t xml:space="preserve">ה' בניסן התשפ"ג (27.03.2023) </w:t>
      </w:r>
    </w:p>
    <w:p w14:paraId="5C0CDD64" w14:textId="77777777" w:rsidR="004C06AD" w:rsidRDefault="004C06AD">
      <w:pPr>
        <w:spacing w:before="0" w:line="276" w:lineRule="auto"/>
        <w:jc w:val="left"/>
      </w:pPr>
    </w:p>
    <w:sectPr w:rsidR="004C06AD"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1CF7F2F0"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1B14D2">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65CAE17" w14:textId="77777777" w:rsidR="000B7CE3" w:rsidRDefault="000B7CE3" w:rsidP="000B7CE3">
      <w:pPr>
        <w:pStyle w:val="a4"/>
        <w:rPr>
          <w:rtl/>
        </w:rPr>
      </w:pPr>
      <w:r>
        <w:rPr>
          <w:rStyle w:val="a6"/>
        </w:rPr>
        <w:footnoteRef/>
      </w:r>
      <w:r>
        <w:rPr>
          <w:rtl/>
        </w:rPr>
        <w:t xml:space="preserve"> </w:t>
      </w:r>
      <w:r>
        <w:rPr>
          <w:rFonts w:hint="cs"/>
          <w:rtl/>
        </w:rPr>
        <w:t>ס"ח התשנ"ה, עמ' 210.</w:t>
      </w:r>
    </w:p>
  </w:footnote>
  <w:footnote w:id="3">
    <w:p w14:paraId="5C8F8D22" w14:textId="77777777" w:rsidR="000B7CE3" w:rsidRDefault="000B7CE3" w:rsidP="000B7CE3">
      <w:pPr>
        <w:pStyle w:val="a4"/>
      </w:pPr>
      <w:r>
        <w:rPr>
          <w:rStyle w:val="a6"/>
        </w:rPr>
        <w:footnoteRef/>
      </w:r>
      <w:r>
        <w:rPr>
          <w:rtl/>
        </w:rPr>
        <w:t xml:space="preserve"> </w:t>
      </w:r>
      <w:r>
        <w:rPr>
          <w:rFonts w:hint="cs"/>
          <w:rtl/>
        </w:rPr>
        <w:t>ס"ח התשע"ט, עמ'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B7CE3"/>
    <w:rsid w:val="00102B6B"/>
    <w:rsid w:val="001052D4"/>
    <w:rsid w:val="0010644B"/>
    <w:rsid w:val="001207F8"/>
    <w:rsid w:val="00121924"/>
    <w:rsid w:val="001279A8"/>
    <w:rsid w:val="0014195F"/>
    <w:rsid w:val="00152609"/>
    <w:rsid w:val="00153E1B"/>
    <w:rsid w:val="001A0623"/>
    <w:rsid w:val="001B14D2"/>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C06AD"/>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1CBF"/>
    <w:rsid w:val="00BC45FB"/>
    <w:rsid w:val="00BF148D"/>
    <w:rsid w:val="00C04264"/>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769B4"/>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BE690B72-F01A-4AA1-8BF5-34BA2377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0B7CE3"/>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290d5b49-c690-4c6f-bbb9-1e50dab33ee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50D69E17-C995-4474-9FBF-043AC00AE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26F301-CC71-4D5C-951E-CC2CD3AAD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444</Words>
  <Characters>2221</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8</cp:revision>
  <cp:lastPrinted>2023-03-14T18:32:00Z</cp:lastPrinted>
  <dcterms:created xsi:type="dcterms:W3CDTF">2015-04-20T09:58:00Z</dcterms:created>
  <dcterms:modified xsi:type="dcterms:W3CDTF">2023-03-23T06:57:00Z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2203282</vt:r8>
  </property>
</Properties>
</file>