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2203280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יונתן מישרקי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פ/2923/25</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4F033DCA" w:rsidR="00E13C27" w:rsidRDefault="00A443CF" w:rsidP="007D7CB1">
      <w:pPr>
        <w:pStyle w:val="HeadHatzaotHok"/>
        <w:rPr>
          <w:rtl/>
        </w:rPr>
      </w:pPr>
      <w:bookmarkStart w:id="7" w:name="LGS_Subject"/>
      <w:r>
        <w:rPr>
          <w:rFonts w:hint="cs"/>
          <w:rtl/>
        </w:rPr>
        <w:t xml:space="preserve">הצעת חוק חובת המכרזים (תיקון – עידוד עסקים קטנים ובינוניים באזור פריפריה במכרז), </w:t>
      </w:r>
      <w:r w:rsidR="007D7CB1">
        <w:rPr>
          <w:rtl/>
        </w:rPr>
        <w:br/>
      </w:r>
      <w:r>
        <w:rPr>
          <w:rFonts w:hint="cs"/>
          <w:rtl/>
        </w:rPr>
        <w:t>התשפ"ג–2023</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8D4BA5" w14:paraId="34703FF8" w14:textId="77777777" w:rsidTr="008D4BA5">
        <w:trPr>
          <w:cantSplit/>
        </w:trPr>
        <w:tc>
          <w:tcPr>
            <w:tcW w:w="1871" w:type="dxa"/>
            <w:hideMark/>
          </w:tcPr>
          <w:p w14:paraId="48B3082A" w14:textId="77777777" w:rsidR="008D4BA5" w:rsidRDefault="008D4BA5" w:rsidP="00657BA8">
            <w:pPr>
              <w:pStyle w:val="TableSideHeading"/>
              <w:keepLines w:val="0"/>
            </w:pPr>
            <w:r>
              <w:rPr>
                <w:rtl/>
              </w:rPr>
              <w:t>תיקון סעיף 1</w:t>
            </w:r>
          </w:p>
        </w:tc>
        <w:tc>
          <w:tcPr>
            <w:tcW w:w="624" w:type="dxa"/>
            <w:hideMark/>
          </w:tcPr>
          <w:p w14:paraId="174D20A8" w14:textId="77777777" w:rsidR="008D4BA5" w:rsidRDefault="008D4BA5" w:rsidP="00657BA8">
            <w:pPr>
              <w:pStyle w:val="TableText"/>
              <w:keepLines w:val="0"/>
              <w:rPr>
                <w:rtl/>
              </w:rPr>
            </w:pPr>
            <w:r>
              <w:rPr>
                <w:rtl/>
              </w:rPr>
              <w:t>1.</w:t>
            </w:r>
          </w:p>
        </w:tc>
        <w:tc>
          <w:tcPr>
            <w:tcW w:w="7146" w:type="dxa"/>
            <w:gridSpan w:val="3"/>
            <w:hideMark/>
          </w:tcPr>
          <w:p w14:paraId="04EA8801" w14:textId="77777777" w:rsidR="008D4BA5" w:rsidRDefault="008D4BA5" w:rsidP="00657BA8">
            <w:pPr>
              <w:pStyle w:val="TableBlock"/>
              <w:rPr>
                <w:rtl/>
              </w:rPr>
            </w:pPr>
            <w:r>
              <w:rPr>
                <w:rtl/>
              </w:rPr>
              <w:t>בחוק חובת המכרזים, התשנ"ב–1992</w:t>
            </w:r>
            <w:r w:rsidRPr="008643D6">
              <w:rPr>
                <w:rStyle w:val="a6"/>
                <w:rFonts w:ascii="David" w:hAnsi="David"/>
                <w:sz w:val="26"/>
                <w:rtl/>
              </w:rPr>
              <w:footnoteReference w:id="2"/>
            </w:r>
            <w:r>
              <w:rPr>
                <w:rtl/>
              </w:rPr>
              <w:t xml:space="preserve"> (להלן – החוק העיקרי), בסעיף 1, אחרי ההגדרה "המועצה להשכלה גבוהה" יבוא:</w:t>
            </w:r>
          </w:p>
        </w:tc>
      </w:tr>
      <w:tr w:rsidR="008D4BA5" w14:paraId="43228813" w14:textId="77777777" w:rsidTr="008D4BA5">
        <w:trPr>
          <w:cantSplit/>
        </w:trPr>
        <w:tc>
          <w:tcPr>
            <w:tcW w:w="1871" w:type="dxa"/>
          </w:tcPr>
          <w:p w14:paraId="5152CA02" w14:textId="77777777" w:rsidR="008D4BA5" w:rsidRDefault="008D4BA5" w:rsidP="00657BA8">
            <w:pPr>
              <w:pStyle w:val="TableSideHeading"/>
              <w:rPr>
                <w:rtl/>
              </w:rPr>
            </w:pPr>
          </w:p>
        </w:tc>
        <w:tc>
          <w:tcPr>
            <w:tcW w:w="624" w:type="dxa"/>
          </w:tcPr>
          <w:p w14:paraId="701CA26A" w14:textId="77777777" w:rsidR="008D4BA5" w:rsidRDefault="008D4BA5" w:rsidP="00657BA8">
            <w:pPr>
              <w:pStyle w:val="TableText"/>
            </w:pPr>
          </w:p>
        </w:tc>
        <w:tc>
          <w:tcPr>
            <w:tcW w:w="7146" w:type="dxa"/>
            <w:gridSpan w:val="3"/>
            <w:hideMark/>
          </w:tcPr>
          <w:p w14:paraId="158FA7BC" w14:textId="77777777" w:rsidR="008D4BA5" w:rsidRDefault="008D4BA5" w:rsidP="00657BA8">
            <w:pPr>
              <w:pStyle w:val="TableBlockOutdent"/>
              <w:rPr>
                <w:rtl/>
              </w:rPr>
            </w:pPr>
            <w:r>
              <w:rPr>
                <w:rtl/>
              </w:rPr>
              <w:t>""אזור פריפריה״ – כל אחד מאלה: הנגב כהגדרתו בחוק הרשות לפיתוח הנגב, התשנ"ב–1991</w:t>
            </w:r>
            <w:r w:rsidRPr="008643D6">
              <w:rPr>
                <w:rStyle w:val="a6"/>
                <w:rFonts w:ascii="David" w:hAnsi="David"/>
                <w:sz w:val="26"/>
                <w:rtl/>
              </w:rPr>
              <w:footnoteReference w:id="3"/>
            </w:r>
            <w:r>
              <w:rPr>
                <w:rtl/>
              </w:rPr>
              <w:t>, והגליל כהגדרתו בחוק הרשות לפיתוח הגליל, התשנ"ג–1993</w:t>
            </w:r>
            <w:r w:rsidRPr="008643D6">
              <w:rPr>
                <w:rStyle w:val="a6"/>
                <w:rFonts w:ascii="David" w:hAnsi="David"/>
                <w:sz w:val="26"/>
                <w:rtl/>
              </w:rPr>
              <w:footnoteReference w:id="4"/>
            </w:r>
            <w:r>
              <w:rPr>
                <w:rtl/>
              </w:rPr>
              <w:t>;".</w:t>
            </w:r>
          </w:p>
        </w:tc>
      </w:tr>
      <w:tr w:rsidR="008D4BA5" w14:paraId="327EFB10" w14:textId="77777777" w:rsidTr="008D4BA5">
        <w:trPr>
          <w:cantSplit/>
        </w:trPr>
        <w:tc>
          <w:tcPr>
            <w:tcW w:w="1871" w:type="dxa"/>
            <w:hideMark/>
          </w:tcPr>
          <w:p w14:paraId="1ECB2442" w14:textId="77777777" w:rsidR="008D4BA5" w:rsidRDefault="008D4BA5" w:rsidP="00657BA8">
            <w:pPr>
              <w:pStyle w:val="TableSideHeading"/>
              <w:keepLines w:val="0"/>
              <w:rPr>
                <w:rtl/>
              </w:rPr>
            </w:pPr>
            <w:r>
              <w:rPr>
                <w:rtl/>
              </w:rPr>
              <w:t>הוספת סעיף 2ד</w:t>
            </w:r>
          </w:p>
        </w:tc>
        <w:tc>
          <w:tcPr>
            <w:tcW w:w="624" w:type="dxa"/>
            <w:hideMark/>
          </w:tcPr>
          <w:p w14:paraId="723ACC45" w14:textId="77777777" w:rsidR="008D4BA5" w:rsidRDefault="008D4BA5" w:rsidP="00657BA8">
            <w:pPr>
              <w:pStyle w:val="TableText"/>
              <w:rPr>
                <w:rtl/>
              </w:rPr>
            </w:pPr>
            <w:r>
              <w:rPr>
                <w:rtl/>
              </w:rPr>
              <w:t>2.</w:t>
            </w:r>
          </w:p>
        </w:tc>
        <w:tc>
          <w:tcPr>
            <w:tcW w:w="7146" w:type="dxa"/>
            <w:gridSpan w:val="3"/>
            <w:hideMark/>
          </w:tcPr>
          <w:p w14:paraId="54BB5A2B" w14:textId="77777777" w:rsidR="008D4BA5" w:rsidRDefault="008D4BA5" w:rsidP="00657BA8">
            <w:pPr>
              <w:pStyle w:val="TableBlock"/>
              <w:rPr>
                <w:rtl/>
              </w:rPr>
            </w:pPr>
            <w:r>
              <w:rPr>
                <w:rtl/>
              </w:rPr>
              <w:t>אחרי סעיף 2ג לחוק העיקרי יבוא:</w:t>
            </w:r>
          </w:p>
        </w:tc>
      </w:tr>
      <w:tr w:rsidR="008D4BA5" w14:paraId="1BDFA3D4" w14:textId="77777777" w:rsidTr="008D4BA5">
        <w:trPr>
          <w:cantSplit/>
        </w:trPr>
        <w:tc>
          <w:tcPr>
            <w:tcW w:w="1871" w:type="dxa"/>
          </w:tcPr>
          <w:p w14:paraId="4C726DAD" w14:textId="77777777" w:rsidR="008D4BA5" w:rsidRDefault="008D4BA5" w:rsidP="00657BA8">
            <w:pPr>
              <w:pStyle w:val="TableSideHeading"/>
              <w:keepLines w:val="0"/>
              <w:rPr>
                <w:rtl/>
              </w:rPr>
            </w:pPr>
          </w:p>
        </w:tc>
        <w:tc>
          <w:tcPr>
            <w:tcW w:w="624" w:type="dxa"/>
          </w:tcPr>
          <w:p w14:paraId="5CE67005" w14:textId="77777777" w:rsidR="008D4BA5" w:rsidRDefault="008D4BA5" w:rsidP="00657BA8">
            <w:pPr>
              <w:pStyle w:val="TableText"/>
              <w:keepLines w:val="0"/>
              <w:rPr>
                <w:rtl/>
              </w:rPr>
            </w:pPr>
          </w:p>
        </w:tc>
        <w:tc>
          <w:tcPr>
            <w:tcW w:w="1872" w:type="dxa"/>
            <w:hideMark/>
          </w:tcPr>
          <w:p w14:paraId="0F64586B" w14:textId="77777777" w:rsidR="008D4BA5" w:rsidRDefault="008D4BA5" w:rsidP="00657BA8">
            <w:pPr>
              <w:pStyle w:val="TableInnerSideHeading"/>
            </w:pPr>
            <w:r>
              <w:rPr>
                <w:rtl/>
              </w:rPr>
              <w:t>"עידוד עסקים זעירים, קטנים ובינוניים באזור פריפריה במכרז</w:t>
            </w:r>
          </w:p>
        </w:tc>
        <w:tc>
          <w:tcPr>
            <w:tcW w:w="624" w:type="dxa"/>
            <w:hideMark/>
          </w:tcPr>
          <w:p w14:paraId="17A0CA3B" w14:textId="77777777" w:rsidR="008D4BA5" w:rsidRDefault="008D4BA5" w:rsidP="00657BA8">
            <w:pPr>
              <w:pStyle w:val="TableText"/>
              <w:rPr>
                <w:rtl/>
              </w:rPr>
            </w:pPr>
            <w:r>
              <w:rPr>
                <w:rtl/>
              </w:rPr>
              <w:t>2ד.</w:t>
            </w:r>
          </w:p>
        </w:tc>
        <w:tc>
          <w:tcPr>
            <w:tcW w:w="4650" w:type="dxa"/>
            <w:hideMark/>
          </w:tcPr>
          <w:p w14:paraId="0E7AE63E" w14:textId="77777777" w:rsidR="008D4BA5" w:rsidRDefault="008D4BA5" w:rsidP="00657BA8">
            <w:pPr>
              <w:pStyle w:val="TableBlock"/>
              <w:rPr>
                <w:rtl/>
              </w:rPr>
            </w:pPr>
            <w:r>
              <w:rPr>
                <w:rtl/>
              </w:rPr>
              <w:t>פורסם מכרז לפי הוראות חוק זה, ולאחר שקלול התוצאות קיבלו שתי הצעות או יותר תוצאה משוקללת זהה שהיא התוצאה הגבוהה ביותר, ואחת מן ההצעות היא של עסק זעיר, עסק קטן או עסק בינוני הנמצא באזור פריפריה, תיבחר ההצעה האמורה כזוכה במכרז</w:t>
            </w:r>
            <w:r>
              <w:rPr>
                <w:b/>
                <w:bCs/>
                <w:rtl/>
              </w:rPr>
              <w:t xml:space="preserve"> </w:t>
            </w:r>
            <w:r>
              <w:rPr>
                <w:rtl/>
              </w:rPr>
              <w:t>כאמור</w:t>
            </w:r>
            <w:r>
              <w:rPr>
                <w:rFonts w:hint="cs"/>
                <w:rtl/>
              </w:rPr>
              <w:t xml:space="preserve">, וזאת בתנאי שההצעה אינה </w:t>
            </w:r>
            <w:r w:rsidRPr="00AB1B11">
              <w:rPr>
                <w:rFonts w:ascii="David" w:hAnsi="David"/>
                <w:sz w:val="26"/>
                <w:rtl/>
              </w:rPr>
              <w:t>של חברת בת של חברה גדולה</w:t>
            </w:r>
            <w:r w:rsidRPr="00AB1B11">
              <w:rPr>
                <w:rFonts w:ascii="David" w:hAnsi="David"/>
                <w:sz w:val="26"/>
              </w:rPr>
              <w:t>;</w:t>
            </w:r>
            <w:r w:rsidRPr="00AB1B11">
              <w:rPr>
                <w:rFonts w:ascii="David" w:hAnsi="David"/>
                <w:sz w:val="26"/>
                <w:rtl/>
              </w:rPr>
              <w:t xml:space="preserve"> לעניין סעיף זה, "חברה גדולה</w:t>
            </w:r>
            <w:r>
              <w:rPr>
                <w:rFonts w:hint="cs"/>
                <w:rtl/>
              </w:rPr>
              <w:t xml:space="preserve">" </w:t>
            </w:r>
            <w:r>
              <w:rPr>
                <w:rtl/>
              </w:rPr>
              <w:t>–</w:t>
            </w:r>
            <w:r>
              <w:rPr>
                <w:rFonts w:hint="cs"/>
                <w:rtl/>
              </w:rPr>
              <w:t xml:space="preserve"> עסק שאינו עסק זעיר, קטן או בינוני."</w:t>
            </w:r>
          </w:p>
        </w:tc>
      </w:tr>
    </w:tbl>
    <w:p w14:paraId="7F6961CA" w14:textId="77777777" w:rsidR="002D1EE3" w:rsidRDefault="002D1EE3" w:rsidP="002D1EE3">
      <w:pPr>
        <w:pStyle w:val="HeadDivreiHesber"/>
        <w:rPr>
          <w:rtl/>
        </w:rPr>
      </w:pPr>
      <w:r w:rsidRPr="0027450A">
        <w:rPr>
          <w:rFonts w:hint="cs"/>
          <w:rtl/>
        </w:rPr>
        <w:t>דברי הסבר</w:t>
      </w:r>
    </w:p>
    <w:p w14:paraId="6D5B26D6" w14:textId="77777777" w:rsidR="008D4BA5" w:rsidRPr="00375CE1" w:rsidRDefault="008D4BA5" w:rsidP="008D4BA5">
      <w:pPr>
        <w:pStyle w:val="Hesber"/>
        <w:rPr>
          <w:rtl/>
        </w:rPr>
      </w:pPr>
      <w:r w:rsidRPr="00375CE1">
        <w:rPr>
          <w:rtl/>
        </w:rPr>
        <w:t>סיוע לעסקים זעירים, קטנים ובינוניים בפריפריה יוביל לצמיחה ויצמצם את תופעת ההגירה מהפריפריה.</w:t>
      </w:r>
      <w:r w:rsidRPr="00375CE1">
        <w:t xml:space="preserve"> </w:t>
      </w:r>
      <w:r w:rsidRPr="00375CE1">
        <w:rPr>
          <w:rtl/>
        </w:rPr>
        <w:t xml:space="preserve">מטרת הצעת החוק היא לסייע לעסקים זעירים, קטנים ובינוניים, בעיקר אלה שנמצאים בצפון המדינה ובדרומה, לקבל ייצוג הולם והעדפה במכרזים שמפורסמים על ידי הממשלה, הרשויות המקומיות ומוסדות ציבור אחרים. </w:t>
      </w:r>
    </w:p>
    <w:p w14:paraId="5CEDD681" w14:textId="43F44254" w:rsidR="008D4BA5" w:rsidRPr="00375CE1" w:rsidRDefault="008D4BA5" w:rsidP="00CA4A03">
      <w:pPr>
        <w:pStyle w:val="Hesber"/>
        <w:rPr>
          <w:rtl/>
        </w:rPr>
      </w:pPr>
      <w:r w:rsidRPr="00375CE1">
        <w:rPr>
          <w:rtl/>
        </w:rPr>
        <w:lastRenderedPageBreak/>
        <w:t>הצע</w:t>
      </w:r>
      <w:r w:rsidR="00CA4A03">
        <w:rPr>
          <w:rFonts w:hint="cs"/>
          <w:rtl/>
        </w:rPr>
        <w:t>ו</w:t>
      </w:r>
      <w:r w:rsidRPr="00375CE1">
        <w:rPr>
          <w:rtl/>
        </w:rPr>
        <w:t>ת חוק דומ</w:t>
      </w:r>
      <w:r w:rsidR="00CA4A03">
        <w:rPr>
          <w:rFonts w:hint="cs"/>
          <w:rtl/>
        </w:rPr>
        <w:t>ות</w:t>
      </w:r>
      <w:r w:rsidRPr="00375CE1">
        <w:rPr>
          <w:rtl/>
        </w:rPr>
        <w:t xml:space="preserve"> בעיקר</w:t>
      </w:r>
      <w:r w:rsidR="00CA4A03">
        <w:rPr>
          <w:rFonts w:hint="cs"/>
          <w:rtl/>
        </w:rPr>
        <w:t>ן</w:t>
      </w:r>
      <w:r w:rsidRPr="00375CE1">
        <w:rPr>
          <w:rtl/>
        </w:rPr>
        <w:t xml:space="preserve"> הונח</w:t>
      </w:r>
      <w:r w:rsidR="00CA4A03">
        <w:rPr>
          <w:rFonts w:hint="cs"/>
          <w:rtl/>
        </w:rPr>
        <w:t>ו</w:t>
      </w:r>
      <w:r w:rsidRPr="00375CE1">
        <w:rPr>
          <w:rtl/>
        </w:rPr>
        <w:t xml:space="preserve"> על </w:t>
      </w:r>
      <w:r w:rsidRPr="00375CE1">
        <w:rPr>
          <w:rFonts w:hint="cs"/>
          <w:rtl/>
        </w:rPr>
        <w:t>שולחן הכנסת העשרים וארבע על ידי חברת הכנסת יעל רון בן מש</w:t>
      </w:r>
      <w:r w:rsidR="00CA4A03">
        <w:rPr>
          <w:rFonts w:hint="cs"/>
          <w:rtl/>
        </w:rPr>
        <w:t>ה וקבוצת חברי הכנסת (פ/2755/24) ועל שולחן הכנסת העשרים וחמש על ידי חבר הכנסת מיכאל מרדכי ביטון (פ/1427/25) ועל ידי חברת הכנסת אורנה ברביראי וקבוצת חברי הכנסת (פ/2315/25).</w:t>
      </w:r>
    </w:p>
    <w:p w14:paraId="2B4AE8F5" w14:textId="157E78A4" w:rsidR="008D4BA5" w:rsidRPr="00375CE1" w:rsidRDefault="008D4BA5" w:rsidP="00CA4A03">
      <w:pPr>
        <w:pStyle w:val="Hesber"/>
        <w:rPr>
          <w:rtl/>
        </w:rPr>
      </w:pPr>
      <w:r w:rsidRPr="00375CE1">
        <w:rPr>
          <w:rFonts w:hint="cs"/>
          <w:rtl/>
        </w:rPr>
        <w:t>הצע</w:t>
      </w:r>
      <w:r w:rsidR="00CA4A03">
        <w:rPr>
          <w:rFonts w:hint="cs"/>
          <w:rtl/>
        </w:rPr>
        <w:t>ו</w:t>
      </w:r>
      <w:r w:rsidRPr="00375CE1">
        <w:rPr>
          <w:rFonts w:hint="cs"/>
          <w:rtl/>
        </w:rPr>
        <w:t>ת חוק זה</w:t>
      </w:r>
      <w:r w:rsidR="00CA4A03">
        <w:rPr>
          <w:rFonts w:hint="cs"/>
          <w:rtl/>
        </w:rPr>
        <w:t xml:space="preserve">ות </w:t>
      </w:r>
      <w:r w:rsidRPr="00375CE1">
        <w:rPr>
          <w:rFonts w:hint="cs"/>
          <w:rtl/>
        </w:rPr>
        <w:t>הונח</w:t>
      </w:r>
      <w:r w:rsidR="00CA4A03">
        <w:rPr>
          <w:rFonts w:hint="cs"/>
          <w:rtl/>
        </w:rPr>
        <w:t>ו</w:t>
      </w:r>
      <w:r w:rsidRPr="00375CE1">
        <w:rPr>
          <w:rFonts w:hint="cs"/>
          <w:rtl/>
        </w:rPr>
        <w:t xml:space="preserve"> על שולחן הכנסת העשרים וארבע על ידי חברת </w:t>
      </w:r>
      <w:r w:rsidR="00CA4A03">
        <w:rPr>
          <w:rFonts w:hint="cs"/>
          <w:rtl/>
        </w:rPr>
        <w:t>הכנסת לימור מגן תלם (פ/2883/24) ועל שולחן הכנסת העשרים וחמש על ידי חבר הכנסת שלום דנינו וקבוצת חברי הכנסת (פ/737/25).</w:t>
      </w:r>
    </w:p>
    <w:p w14:paraId="73D7CD87" w14:textId="2FA8681D" w:rsidR="008D4BA5" w:rsidRPr="00375CE1" w:rsidRDefault="008D4BA5" w:rsidP="00CA4A03">
      <w:pPr>
        <w:pStyle w:val="Hesber"/>
        <w:rPr>
          <w:rtl/>
        </w:rPr>
      </w:pPr>
      <w:r w:rsidRPr="00375CE1">
        <w:rPr>
          <w:rFonts w:hint="cs"/>
          <w:rtl/>
        </w:rPr>
        <w:t>הצעת החוק זהה לפ/</w:t>
      </w:r>
      <w:r w:rsidR="00CA4A03">
        <w:rPr>
          <w:rFonts w:hint="cs"/>
          <w:rtl/>
        </w:rPr>
        <w:t>737</w:t>
      </w:r>
      <w:r w:rsidRPr="00375CE1">
        <w:rPr>
          <w:rFonts w:hint="cs"/>
          <w:rtl/>
        </w:rPr>
        <w:t>/2</w:t>
      </w:r>
      <w:r w:rsidR="00CA4A03">
        <w:rPr>
          <w:rFonts w:hint="cs"/>
          <w:rtl/>
        </w:rPr>
        <w:t>5</w:t>
      </w:r>
      <w:r w:rsidRPr="00375CE1">
        <w:rPr>
          <w:rFonts w:hint="cs"/>
          <w:rtl/>
        </w:rPr>
        <w:t xml:space="preserve"> ולפיכך לא נבדקה מחדש על ידי הלשכה המשפטית של הכנסת.</w:t>
      </w:r>
    </w:p>
    <w:p w14:paraId="7F6961CB" w14:textId="77777777" w:rsidR="00E13C27" w:rsidRDefault="00E13C27" w:rsidP="00E13C27">
      <w:pPr>
        <w:pStyle w:val="Hesber"/>
        <w:rPr>
          <w:rtl/>
        </w:rPr>
      </w:pPr>
    </w:p>
    <w:p w14:paraId="4A6651E3" w14:textId="77777777" w:rsidR="007D7CB1" w:rsidRDefault="007D7CB1" w:rsidP="00E13C27">
      <w:pPr>
        <w:pStyle w:val="Hesber"/>
        <w:rPr>
          <w:rtl/>
        </w:rPr>
      </w:pPr>
    </w:p>
    <w:p w14:paraId="526053B2" w14:textId="77777777" w:rsidR="007D7CB1" w:rsidRDefault="007D7CB1" w:rsidP="00E13C27">
      <w:pPr>
        <w:pStyle w:val="Hesber"/>
        <w:rPr>
          <w:rtl/>
        </w:rPr>
      </w:pPr>
    </w:p>
    <w:p w14:paraId="5477B286" w14:textId="77777777" w:rsidR="007D7CB1" w:rsidRDefault="007D7CB1" w:rsidP="00E13C27">
      <w:pPr>
        <w:pStyle w:val="Hesber"/>
        <w:rPr>
          <w:rtl/>
        </w:rPr>
      </w:pPr>
    </w:p>
    <w:p w14:paraId="0F0896E0" w14:textId="77777777" w:rsidR="007D7CB1" w:rsidRDefault="007D7CB1" w:rsidP="00E13C27">
      <w:pPr>
        <w:pStyle w:val="Hesber"/>
        <w:rPr>
          <w:rtl/>
        </w:rPr>
      </w:pPr>
      <w:bookmarkStart w:id="8" w:name="_GoBack"/>
      <w:bookmarkEnd w:id="8"/>
    </w:p>
    <w:p w14:paraId="06CD4206" w14:textId="77777777" w:rsidR="00944F9D" w:rsidRDefault="007D7CB1">
      <w:pPr>
        <w:spacing w:before="0" w:line="276" w:lineRule="auto"/>
        <w:jc w:val="left"/>
      </w:pPr>
      <w:bookmarkStart w:id="9" w:name="selectedDocDateB"/>
      <w:bookmarkEnd w:id="9"/>
      <w:r>
        <w:rPr>
          <w:rFonts w:ascii="David" w:eastAsia="David" w:hAnsi="David" w:cs="David" w:hint="cs"/>
          <w:sz w:val="26"/>
          <w:szCs w:val="26"/>
          <w:rtl/>
        </w:rPr>
        <w:t>--------------------------------</w:t>
      </w:r>
    </w:p>
    <w:p w14:paraId="0B6A8CEA" w14:textId="77777777" w:rsidR="00944F9D" w:rsidRDefault="007D7CB1">
      <w:pPr>
        <w:spacing w:before="0" w:line="360" w:lineRule="auto"/>
        <w:jc w:val="left"/>
      </w:pPr>
      <w:r>
        <w:rPr>
          <w:rFonts w:ascii="David" w:eastAsia="David" w:hAnsi="David" w:cs="David" w:hint="cs"/>
          <w:sz w:val="26"/>
          <w:szCs w:val="26"/>
          <w:rtl/>
        </w:rPr>
        <w:t>הוגשה ליו"ר הכנסת והסגנים</w:t>
      </w:r>
    </w:p>
    <w:p w14:paraId="11ACB158" w14:textId="77777777" w:rsidR="00944F9D" w:rsidRDefault="007D7CB1">
      <w:pPr>
        <w:spacing w:before="0" w:line="360" w:lineRule="auto"/>
        <w:jc w:val="left"/>
      </w:pPr>
      <w:r>
        <w:rPr>
          <w:rFonts w:ascii="David" w:eastAsia="David" w:hAnsi="David" w:cs="David" w:hint="cs"/>
          <w:sz w:val="26"/>
          <w:szCs w:val="26"/>
          <w:rtl/>
        </w:rPr>
        <w:t>והונחה על שולחן הכנסת ביום</w:t>
      </w:r>
    </w:p>
    <w:p w14:paraId="291C499F" w14:textId="77777777" w:rsidR="00944F9D" w:rsidRDefault="007D7CB1">
      <w:pPr>
        <w:spacing w:before="0" w:line="360" w:lineRule="auto"/>
        <w:jc w:val="left"/>
      </w:pPr>
      <w:r>
        <w:rPr>
          <w:rFonts w:ascii="David" w:eastAsia="David" w:hAnsi="David" w:cs="David" w:hint="cs"/>
          <w:sz w:val="26"/>
          <w:szCs w:val="26"/>
          <w:rtl/>
        </w:rPr>
        <w:t xml:space="preserve">ה' בניסן התשפ"ג (27.03.2023) </w:t>
      </w:r>
    </w:p>
    <w:p w14:paraId="3D412BA2" w14:textId="77777777" w:rsidR="00944F9D" w:rsidRDefault="00944F9D"/>
    <w:sectPr w:rsidR="00944F9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D7CB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D9CC48B" w14:textId="77777777" w:rsidR="008D4BA5" w:rsidRDefault="008D4BA5" w:rsidP="008D4BA5">
      <w:pPr>
        <w:pStyle w:val="a4"/>
        <w:rPr>
          <w:rtl/>
        </w:rPr>
      </w:pPr>
      <w:r>
        <w:rPr>
          <w:rStyle w:val="a6"/>
        </w:rPr>
        <w:footnoteRef/>
      </w:r>
      <w:r>
        <w:rPr>
          <w:rtl/>
        </w:rPr>
        <w:t xml:space="preserve"> ס"ח התשנ"ב, עמ' 114.</w:t>
      </w:r>
    </w:p>
  </w:footnote>
  <w:footnote w:id="3">
    <w:p w14:paraId="322D021B" w14:textId="77777777" w:rsidR="008D4BA5" w:rsidRDefault="008D4BA5" w:rsidP="008D4BA5">
      <w:pPr>
        <w:pStyle w:val="a4"/>
        <w:rPr>
          <w:rtl/>
        </w:rPr>
      </w:pPr>
      <w:r>
        <w:rPr>
          <w:rStyle w:val="a6"/>
        </w:rPr>
        <w:footnoteRef/>
      </w:r>
      <w:r>
        <w:rPr>
          <w:rtl/>
        </w:rPr>
        <w:t xml:space="preserve"> ס"ח התשנ"ב, עמ' 26.</w:t>
      </w:r>
    </w:p>
  </w:footnote>
  <w:footnote w:id="4">
    <w:p w14:paraId="03B69829" w14:textId="77777777" w:rsidR="008D4BA5" w:rsidRDefault="008D4BA5" w:rsidP="008D4BA5">
      <w:pPr>
        <w:pStyle w:val="a4"/>
        <w:rPr>
          <w:rtl/>
        </w:rPr>
      </w:pPr>
      <w:r>
        <w:rPr>
          <w:rStyle w:val="a6"/>
        </w:rPr>
        <w:footnoteRef/>
      </w:r>
      <w:r>
        <w:rPr>
          <w:rtl/>
        </w:rPr>
        <w:t xml:space="preserve"> ס"ח התשנ"ג, עמ' 138.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5989"/>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D7CB1"/>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4BA5"/>
    <w:rsid w:val="008E6EC7"/>
    <w:rsid w:val="008F0D63"/>
    <w:rsid w:val="008F1308"/>
    <w:rsid w:val="008F2C35"/>
    <w:rsid w:val="008F6665"/>
    <w:rsid w:val="00904591"/>
    <w:rsid w:val="00905E5F"/>
    <w:rsid w:val="0091204F"/>
    <w:rsid w:val="009203DB"/>
    <w:rsid w:val="00923CD4"/>
    <w:rsid w:val="00930EFE"/>
    <w:rsid w:val="00943386"/>
    <w:rsid w:val="00944F9D"/>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A4A03"/>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1354F85-7157-4253-8BDC-678AF928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D4BA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290d5b49-c690-4c6f-bbb9-1e50dab33ee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00F453D-483E-400D-A9BE-574FC1D47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F378C-D1FC-4950-A438-C4B622D7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323</Words>
  <Characters>1618</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2023-03-20T18:11:00Z</cp:lastPrinted>
  <dcterms:created xsi:type="dcterms:W3CDTF">2015-04-20T09:58:00Z</dcterms:created>
  <dcterms:modified xsi:type="dcterms:W3CDTF">2023-03-20T18:11:00Z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2203280</vt:r8>
  </property>
</Properties>
</file>