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2203285</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וחמש</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930EFE">
      <w:pPr>
        <w:pStyle w:val="David"/>
        <w:spacing w:line="360" w:lineRule="auto"/>
        <w:ind w:left="3544"/>
        <w:rPr>
          <w:b/>
          <w:bCs/>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יונתן מישרקי</w:t>
      </w:r>
      <w:bookmarkEnd w:id="3"/>
    </w:p>
    <w:p w14:paraId="7F6961AA" w14:textId="39F9D96B" w:rsidR="00E13C27" w:rsidRPr="00CF1AA2" w:rsidRDefault="007D585A" w:rsidP="0036422C">
      <w:pPr>
        <w:pStyle w:val="David"/>
        <w:spacing w:before="0" w:line="360" w:lineRule="auto"/>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56138AA" w:rsidR="00E13C27" w:rsidRPr="00E06736" w:rsidRDefault="00904591" w:rsidP="00904591">
      <w:pPr>
        <w:pStyle w:val="David"/>
        <w:spacing w:before="0" w:line="240" w:lineRule="auto"/>
        <w:ind w:left="3544"/>
        <w:rPr>
          <w:rtl/>
        </w:rPr>
      </w:pPr>
      <w:r>
        <w:t xml:space="preserve">                                            </w:t>
      </w:r>
      <w:r w:rsidR="008F1308">
        <w:t xml:space="preserve"> </w:t>
      </w:r>
      <w:bookmarkStart w:id="6" w:name="Private_Number"/>
      <w:r>
        <w:rPr>
          <w:rFonts w:hint="cs"/>
          <w:rtl/>
        </w:rPr>
        <w:t>פ/2979/25</w:t>
      </w:r>
      <w:bookmarkEnd w:id="6"/>
    </w:p>
    <w:p w14:paraId="7F6961AC" w14:textId="77777777" w:rsidR="00E13C27" w:rsidRDefault="00E13C27" w:rsidP="00E13C27">
      <w:pPr>
        <w:spacing w:before="0" w:line="360" w:lineRule="auto"/>
        <w:ind w:left="2880" w:firstLine="720"/>
        <w:rPr>
          <w:rFonts w:cs="David"/>
          <w:sz w:val="26"/>
          <w:szCs w:val="26"/>
          <w:rtl/>
        </w:rPr>
      </w:pPr>
    </w:p>
    <w:p w14:paraId="7F6961AD" w14:textId="77777777" w:rsidR="00E13C27" w:rsidRPr="00F67051" w:rsidRDefault="00A443CF" w:rsidP="0021633A">
      <w:pPr>
        <w:pStyle w:val="HeadHatzaotHok"/>
        <w:rPr>
          <w:rtl/>
        </w:rPr>
      </w:pPr>
      <w:bookmarkStart w:id="7" w:name="LGS_Subject"/>
      <w:r>
        <w:rPr>
          <w:rFonts w:hint="cs"/>
          <w:rtl/>
        </w:rPr>
        <w:t>הצעת חוק הביטוח הלאומי (תיקון – דמי אבטלה לעצמאים), התשפ"ג–2023</w:t>
      </w:r>
      <w:bookmarkEnd w:id="7"/>
    </w:p>
    <w:p w14:paraId="7F6961AE" w14:textId="77777777" w:rsidR="00E13C27" w:rsidRDefault="00E13C27" w:rsidP="0021633A">
      <w:pPr>
        <w:pStyle w:val="HeadDivreiHesber"/>
        <w:spacing w:before="0" w:after="0"/>
        <w:rPr>
          <w:rtl/>
        </w:rPr>
      </w:pPr>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4"/>
        <w:gridCol w:w="624"/>
        <w:gridCol w:w="624"/>
        <w:gridCol w:w="624"/>
        <w:gridCol w:w="4650"/>
      </w:tblGrid>
      <w:tr w:rsidR="006F5E92" w:rsidRPr="005B4D5F" w14:paraId="008980F6" w14:textId="77777777" w:rsidTr="006F5E92">
        <w:tc>
          <w:tcPr>
            <w:tcW w:w="1871" w:type="dxa"/>
          </w:tcPr>
          <w:p w14:paraId="7E12697C" w14:textId="77777777" w:rsidR="006F5E92" w:rsidRDefault="006F5E92" w:rsidP="008C7E4F">
            <w:pPr>
              <w:pStyle w:val="TableSideHeading"/>
              <w:keepLines w:val="0"/>
            </w:pPr>
            <w:r>
              <w:rPr>
                <w:rFonts w:hint="cs"/>
                <w:rtl/>
              </w:rPr>
              <w:t>הוספת סעיף 28ג</w:t>
            </w:r>
          </w:p>
        </w:tc>
        <w:tc>
          <w:tcPr>
            <w:tcW w:w="624" w:type="dxa"/>
          </w:tcPr>
          <w:p w14:paraId="2365C138" w14:textId="77777777" w:rsidR="006F5E92" w:rsidRDefault="006F5E92" w:rsidP="008C7E4F">
            <w:pPr>
              <w:pStyle w:val="TableText"/>
              <w:keepLines w:val="0"/>
            </w:pPr>
            <w:r>
              <w:rPr>
                <w:rFonts w:hint="cs"/>
                <w:rtl/>
              </w:rPr>
              <w:t>1.</w:t>
            </w:r>
          </w:p>
        </w:tc>
        <w:tc>
          <w:tcPr>
            <w:tcW w:w="7146" w:type="dxa"/>
            <w:gridSpan w:val="5"/>
          </w:tcPr>
          <w:p w14:paraId="11B24EE6" w14:textId="77777777" w:rsidR="006F5E92" w:rsidRPr="008A7C58" w:rsidRDefault="006F5E92" w:rsidP="008C7E4F">
            <w:pPr>
              <w:pStyle w:val="TableBlock"/>
            </w:pPr>
            <w:r w:rsidRPr="008A7C58">
              <w:rPr>
                <w:rtl/>
              </w:rPr>
              <w:t>בחוק הביטוח הלאומי [נוסח משולב], התשנ"ה–1995</w:t>
            </w:r>
            <w:r w:rsidRPr="008A7C58">
              <w:rPr>
                <w:rFonts w:ascii="David" w:hAnsi="David"/>
                <w:sz w:val="26"/>
                <w:vertAlign w:val="superscript"/>
                <w:rtl/>
              </w:rPr>
              <w:footnoteReference w:id="2"/>
            </w:r>
            <w:r w:rsidRPr="008A7C58">
              <w:rPr>
                <w:vertAlign w:val="superscript"/>
                <w:rtl/>
              </w:rPr>
              <w:t xml:space="preserve"> </w:t>
            </w:r>
            <w:r w:rsidRPr="008A7C58">
              <w:rPr>
                <w:rtl/>
              </w:rPr>
              <w:t xml:space="preserve">(להלן – החוק העיקרי), אחרי סעיף 28ב יבוא: </w:t>
            </w:r>
          </w:p>
        </w:tc>
      </w:tr>
      <w:tr w:rsidR="006F5E92" w14:paraId="58C930C4" w14:textId="77777777" w:rsidTr="006F5E92">
        <w:tc>
          <w:tcPr>
            <w:tcW w:w="1871" w:type="dxa"/>
          </w:tcPr>
          <w:p w14:paraId="362501B5" w14:textId="77777777" w:rsidR="006F5E92" w:rsidRDefault="006F5E92" w:rsidP="008C7E4F">
            <w:pPr>
              <w:pStyle w:val="TableSideHeading"/>
            </w:pPr>
          </w:p>
        </w:tc>
        <w:tc>
          <w:tcPr>
            <w:tcW w:w="624" w:type="dxa"/>
          </w:tcPr>
          <w:p w14:paraId="44BF5A44" w14:textId="77777777" w:rsidR="006F5E92" w:rsidRDefault="006F5E92" w:rsidP="008C7E4F">
            <w:pPr>
              <w:pStyle w:val="TableText"/>
            </w:pPr>
          </w:p>
        </w:tc>
        <w:tc>
          <w:tcPr>
            <w:tcW w:w="1872" w:type="dxa"/>
            <w:gridSpan w:val="3"/>
          </w:tcPr>
          <w:p w14:paraId="7BF6BC04" w14:textId="77777777" w:rsidR="006F5E92" w:rsidRDefault="006F5E92" w:rsidP="008C7E4F">
            <w:pPr>
              <w:pStyle w:val="TableInnerSideHeading"/>
            </w:pPr>
            <w:r>
              <w:rPr>
                <w:rtl/>
              </w:rPr>
              <w:t>"ענף ביטוח אבטלה לע</w:t>
            </w:r>
            <w:r>
              <w:rPr>
                <w:rFonts w:hint="cs"/>
                <w:rtl/>
              </w:rPr>
              <w:t>ובד ע</w:t>
            </w:r>
            <w:r>
              <w:rPr>
                <w:rtl/>
              </w:rPr>
              <w:t>צמאי</w:t>
            </w:r>
          </w:p>
        </w:tc>
        <w:tc>
          <w:tcPr>
            <w:tcW w:w="624" w:type="dxa"/>
          </w:tcPr>
          <w:p w14:paraId="4397D313" w14:textId="77777777" w:rsidR="006F5E92" w:rsidRDefault="006F5E92" w:rsidP="008C7E4F">
            <w:pPr>
              <w:pStyle w:val="TableText"/>
            </w:pPr>
            <w:r>
              <w:rPr>
                <w:rFonts w:hint="cs"/>
                <w:rtl/>
              </w:rPr>
              <w:t>28ג.</w:t>
            </w:r>
          </w:p>
        </w:tc>
        <w:tc>
          <w:tcPr>
            <w:tcW w:w="4650" w:type="dxa"/>
          </w:tcPr>
          <w:p w14:paraId="32894FDA" w14:textId="77777777" w:rsidR="006F5E92" w:rsidRDefault="006F5E92" w:rsidP="008C7E4F">
            <w:pPr>
              <w:pStyle w:val="TableBlock"/>
            </w:pPr>
            <w:r>
              <w:rPr>
                <w:rtl/>
              </w:rPr>
              <w:t>ביטוח אבטלה לע</w:t>
            </w:r>
            <w:r>
              <w:rPr>
                <w:rFonts w:hint="cs"/>
                <w:rtl/>
              </w:rPr>
              <w:t>ובד ע</w:t>
            </w:r>
            <w:r>
              <w:rPr>
                <w:rtl/>
              </w:rPr>
              <w:t>צמאי ינוהל כענף ביטוח נפרד</w:t>
            </w:r>
            <w:r>
              <w:rPr>
                <w:rFonts w:hint="cs"/>
                <w:rtl/>
              </w:rPr>
              <w:t xml:space="preserve">; על אף הוראות סעיף 32, </w:t>
            </w:r>
            <w:r>
              <w:rPr>
                <w:rtl/>
              </w:rPr>
              <w:t>אוצר המדינה יקצה לענף ביטוח אבטלה לעובד עצמאי, בכל שנת כספים, סכום השווה לתקבולים שגבה המוסד  מדמי ביטוח לענף האמור</w:t>
            </w:r>
            <w:r>
              <w:rPr>
                <w:rFonts w:hint="cs"/>
                <w:rtl/>
              </w:rPr>
              <w:t xml:space="preserve"> וענף הביטוח ינוהל בקרן מיועדת</w:t>
            </w:r>
            <w:r>
              <w:rPr>
                <w:rtl/>
              </w:rPr>
              <w:t>"</w:t>
            </w:r>
            <w:r>
              <w:rPr>
                <w:rFonts w:hint="cs"/>
                <w:rtl/>
              </w:rPr>
              <w:t>.</w:t>
            </w:r>
          </w:p>
        </w:tc>
      </w:tr>
      <w:tr w:rsidR="006F5E92" w14:paraId="6CD51240" w14:textId="77777777" w:rsidTr="006F5E92">
        <w:tc>
          <w:tcPr>
            <w:tcW w:w="1871" w:type="dxa"/>
          </w:tcPr>
          <w:p w14:paraId="3960AF7D" w14:textId="77777777" w:rsidR="006F5E92" w:rsidRDefault="006F5E92" w:rsidP="008C7E4F">
            <w:pPr>
              <w:pStyle w:val="TableSideHeading"/>
            </w:pPr>
            <w:r>
              <w:rPr>
                <w:rFonts w:hint="cs"/>
                <w:rtl/>
              </w:rPr>
              <w:t>תיקון סעיף 158</w:t>
            </w:r>
          </w:p>
        </w:tc>
        <w:tc>
          <w:tcPr>
            <w:tcW w:w="624" w:type="dxa"/>
          </w:tcPr>
          <w:p w14:paraId="4D39118C" w14:textId="77777777" w:rsidR="006F5E92" w:rsidRDefault="006F5E92" w:rsidP="008C7E4F">
            <w:pPr>
              <w:pStyle w:val="TableText"/>
            </w:pPr>
            <w:r>
              <w:rPr>
                <w:rFonts w:hint="cs"/>
                <w:rtl/>
              </w:rPr>
              <w:t>2.</w:t>
            </w:r>
          </w:p>
        </w:tc>
        <w:tc>
          <w:tcPr>
            <w:tcW w:w="7146" w:type="dxa"/>
            <w:gridSpan w:val="5"/>
          </w:tcPr>
          <w:p w14:paraId="2162F81C" w14:textId="77777777" w:rsidR="006F5E92" w:rsidRDefault="006F5E92" w:rsidP="008C7E4F">
            <w:pPr>
              <w:pStyle w:val="TableBlock"/>
            </w:pPr>
            <w:r>
              <w:rPr>
                <w:rFonts w:hint="cs"/>
                <w:rtl/>
              </w:rPr>
              <w:t>בסעיף 158 לחוק העיקרי –</w:t>
            </w:r>
          </w:p>
        </w:tc>
      </w:tr>
      <w:tr w:rsidR="006F5E92" w14:paraId="5112F196" w14:textId="77777777" w:rsidTr="006F5E92">
        <w:tc>
          <w:tcPr>
            <w:tcW w:w="1871" w:type="dxa"/>
          </w:tcPr>
          <w:p w14:paraId="452A1769" w14:textId="77777777" w:rsidR="006F5E92" w:rsidRDefault="006F5E92" w:rsidP="008C7E4F">
            <w:pPr>
              <w:pStyle w:val="TableSideHeading"/>
            </w:pPr>
          </w:p>
        </w:tc>
        <w:tc>
          <w:tcPr>
            <w:tcW w:w="624" w:type="dxa"/>
          </w:tcPr>
          <w:p w14:paraId="7AD10237" w14:textId="77777777" w:rsidR="006F5E92" w:rsidRDefault="006F5E92" w:rsidP="008C7E4F">
            <w:pPr>
              <w:pStyle w:val="TableText"/>
            </w:pPr>
          </w:p>
        </w:tc>
        <w:tc>
          <w:tcPr>
            <w:tcW w:w="7146" w:type="dxa"/>
            <w:gridSpan w:val="5"/>
          </w:tcPr>
          <w:p w14:paraId="3F4EE779" w14:textId="77777777" w:rsidR="006F5E92" w:rsidRDefault="006F5E92" w:rsidP="008C7E4F">
            <w:pPr>
              <w:pStyle w:val="TableBlock"/>
            </w:pPr>
            <w:r>
              <w:rPr>
                <w:rFonts w:hint="cs"/>
                <w:rtl/>
              </w:rPr>
              <w:t>(1)</w:t>
            </w:r>
            <w:r>
              <w:rPr>
                <w:rtl/>
              </w:rPr>
              <w:tab/>
              <w:t>בהגדרה "מבוטח", בפסקה (1)</w:t>
            </w:r>
            <w:r>
              <w:rPr>
                <w:rFonts w:hint="cs"/>
                <w:rtl/>
              </w:rPr>
              <w:t xml:space="preserve">, בסופה </w:t>
            </w:r>
            <w:r>
              <w:rPr>
                <w:rtl/>
              </w:rPr>
              <w:t>יבוא "או עובד עצמאי החייב בתשלום דמי ביטוח בעד עצמו"</w:t>
            </w:r>
            <w:r>
              <w:rPr>
                <w:rFonts w:hint="cs"/>
                <w:rtl/>
              </w:rPr>
              <w:t>;</w:t>
            </w:r>
          </w:p>
        </w:tc>
      </w:tr>
      <w:tr w:rsidR="006F5E92" w14:paraId="0597F462" w14:textId="77777777" w:rsidTr="006F5E92">
        <w:tc>
          <w:tcPr>
            <w:tcW w:w="1871" w:type="dxa"/>
          </w:tcPr>
          <w:p w14:paraId="5ECADF28" w14:textId="77777777" w:rsidR="006F5E92" w:rsidRDefault="006F5E92" w:rsidP="008C7E4F">
            <w:pPr>
              <w:pStyle w:val="TableSideHeading"/>
            </w:pPr>
          </w:p>
        </w:tc>
        <w:tc>
          <w:tcPr>
            <w:tcW w:w="624" w:type="dxa"/>
          </w:tcPr>
          <w:p w14:paraId="27DFEF4E" w14:textId="77777777" w:rsidR="006F5E92" w:rsidRDefault="006F5E92" w:rsidP="008C7E4F">
            <w:pPr>
              <w:pStyle w:val="TableText"/>
            </w:pPr>
          </w:p>
        </w:tc>
        <w:tc>
          <w:tcPr>
            <w:tcW w:w="7146" w:type="dxa"/>
            <w:gridSpan w:val="5"/>
          </w:tcPr>
          <w:p w14:paraId="54EC3AC8" w14:textId="77777777" w:rsidR="006F5E92" w:rsidRDefault="006F5E92" w:rsidP="008C7E4F">
            <w:pPr>
              <w:pStyle w:val="TableBlock"/>
            </w:pPr>
            <w:r>
              <w:rPr>
                <w:rFonts w:hint="cs"/>
                <w:rtl/>
              </w:rPr>
              <w:t>(2)</w:t>
            </w:r>
            <w:r>
              <w:rPr>
                <w:rtl/>
              </w:rPr>
              <w:tab/>
              <w:t>אחרי ההגדרה "עובד" יבוא</w:t>
            </w:r>
            <w:r>
              <w:rPr>
                <w:rFonts w:hint="cs"/>
                <w:rtl/>
              </w:rPr>
              <w:t>:</w:t>
            </w:r>
          </w:p>
        </w:tc>
      </w:tr>
      <w:tr w:rsidR="006F5E92" w:rsidRPr="00F92D82" w14:paraId="18C92ABF" w14:textId="77777777" w:rsidTr="006F5E92">
        <w:tc>
          <w:tcPr>
            <w:tcW w:w="1871" w:type="dxa"/>
          </w:tcPr>
          <w:p w14:paraId="31871265" w14:textId="77777777" w:rsidR="006F5E92" w:rsidRDefault="006F5E92" w:rsidP="008C7E4F">
            <w:pPr>
              <w:pStyle w:val="TableSideHeading"/>
            </w:pPr>
          </w:p>
        </w:tc>
        <w:tc>
          <w:tcPr>
            <w:tcW w:w="624" w:type="dxa"/>
          </w:tcPr>
          <w:p w14:paraId="25D96869" w14:textId="77777777" w:rsidR="006F5E92" w:rsidRDefault="006F5E92" w:rsidP="008C7E4F">
            <w:pPr>
              <w:pStyle w:val="TableText"/>
            </w:pPr>
          </w:p>
        </w:tc>
        <w:tc>
          <w:tcPr>
            <w:tcW w:w="624" w:type="dxa"/>
          </w:tcPr>
          <w:p w14:paraId="20875512" w14:textId="77777777" w:rsidR="006F5E92" w:rsidRDefault="006F5E92" w:rsidP="008C7E4F">
            <w:pPr>
              <w:pStyle w:val="TableText"/>
            </w:pPr>
          </w:p>
        </w:tc>
        <w:tc>
          <w:tcPr>
            <w:tcW w:w="6522" w:type="dxa"/>
            <w:gridSpan w:val="4"/>
          </w:tcPr>
          <w:p w14:paraId="02D74D9D" w14:textId="77777777" w:rsidR="006F5E92" w:rsidRPr="00F92D82" w:rsidRDefault="006F5E92" w:rsidP="008C7E4F">
            <w:pPr>
              <w:pStyle w:val="TableBlockOutdent"/>
            </w:pPr>
            <w:r w:rsidRPr="00F92D82">
              <w:rPr>
                <w:rtl/>
              </w:rPr>
              <w:t>"</w:t>
            </w:r>
            <w:r w:rsidRPr="00F92D82">
              <w:rPr>
                <w:rFonts w:hint="cs"/>
                <w:rtl/>
              </w:rPr>
              <w:t>"</w:t>
            </w:r>
            <w:r w:rsidRPr="00F92D82">
              <w:rPr>
                <w:rtl/>
              </w:rPr>
              <w:t>עובד עצמאי</w:t>
            </w:r>
            <w:r w:rsidRPr="00F92D82">
              <w:rPr>
                <w:rFonts w:hint="cs"/>
                <w:rtl/>
              </w:rPr>
              <w:t>", לעניין שנת מס פלונית או חלק ממנה – מי שעסק</w:t>
            </w:r>
            <w:r w:rsidRPr="00F92D82">
              <w:rPr>
                <w:rtl/>
              </w:rPr>
              <w:t xml:space="preserve"> באותה תקופה בעסק או במשלח יד שלא כעובד</w:t>
            </w:r>
            <w:r w:rsidRPr="00F92D82">
              <w:rPr>
                <w:rFonts w:hint="cs"/>
                <w:rtl/>
              </w:rPr>
              <w:t xml:space="preserve"> או</w:t>
            </w:r>
            <w:r w:rsidRPr="00F92D82">
              <w:rPr>
                <w:rtl/>
              </w:rPr>
              <w:t xml:space="preserve"> מי שהיה באותה תקופה בעל שליטה בחברה כמשמעותו בסעיף 268 לחוק החברות, התשנ"ט–1999</w:t>
            </w:r>
            <w:r w:rsidRPr="008A7C58">
              <w:rPr>
                <w:rFonts w:ascii="David" w:hAnsi="David"/>
                <w:sz w:val="26"/>
                <w:szCs w:val="20"/>
                <w:vertAlign w:val="superscript"/>
                <w:rtl/>
              </w:rPr>
              <w:footnoteReference w:id="3"/>
            </w:r>
            <w:r w:rsidRPr="00F92D82">
              <w:rPr>
                <w:rFonts w:hint="cs"/>
                <w:rtl/>
              </w:rPr>
              <w:t>;</w:t>
            </w:r>
            <w:r w:rsidRPr="00F92D82">
              <w:rPr>
                <w:rtl/>
              </w:rPr>
              <w:t>"</w:t>
            </w:r>
            <w:r>
              <w:rPr>
                <w:rFonts w:hint="cs"/>
                <w:rtl/>
              </w:rPr>
              <w:t>.</w:t>
            </w:r>
            <w:r w:rsidRPr="00F92D82">
              <w:rPr>
                <w:rtl/>
              </w:rPr>
              <w:t xml:space="preserve"> </w:t>
            </w:r>
          </w:p>
        </w:tc>
      </w:tr>
      <w:tr w:rsidR="006F5E92" w14:paraId="01227FDC" w14:textId="77777777" w:rsidTr="006F5E92">
        <w:tc>
          <w:tcPr>
            <w:tcW w:w="1871" w:type="dxa"/>
          </w:tcPr>
          <w:p w14:paraId="7879A964" w14:textId="77777777" w:rsidR="006F5E92" w:rsidRDefault="006F5E92" w:rsidP="008C7E4F">
            <w:pPr>
              <w:pStyle w:val="TableSideHeading"/>
            </w:pPr>
            <w:r>
              <w:rPr>
                <w:rFonts w:hint="cs"/>
                <w:rtl/>
              </w:rPr>
              <w:t>תיקון סעיף 160</w:t>
            </w:r>
          </w:p>
        </w:tc>
        <w:tc>
          <w:tcPr>
            <w:tcW w:w="624" w:type="dxa"/>
          </w:tcPr>
          <w:p w14:paraId="6E646786" w14:textId="77777777" w:rsidR="006F5E92" w:rsidRDefault="006F5E92" w:rsidP="008C7E4F">
            <w:pPr>
              <w:pStyle w:val="TableText"/>
            </w:pPr>
            <w:r>
              <w:rPr>
                <w:rFonts w:hint="cs"/>
                <w:rtl/>
              </w:rPr>
              <w:t>3.</w:t>
            </w:r>
          </w:p>
        </w:tc>
        <w:tc>
          <w:tcPr>
            <w:tcW w:w="7146" w:type="dxa"/>
            <w:gridSpan w:val="5"/>
          </w:tcPr>
          <w:p w14:paraId="1CE465CF" w14:textId="77777777" w:rsidR="006F5E92" w:rsidRDefault="006F5E92" w:rsidP="008C7E4F">
            <w:pPr>
              <w:pStyle w:val="TableBlock"/>
            </w:pPr>
            <w:r>
              <w:rPr>
                <w:rFonts w:hint="cs"/>
                <w:rtl/>
              </w:rPr>
              <w:t>בסעיף 160 לחוק העיקרי, אחרי סעיף קטן (א) יבוא:</w:t>
            </w:r>
          </w:p>
        </w:tc>
      </w:tr>
      <w:tr w:rsidR="006F5E92" w14:paraId="55C37145" w14:textId="77777777" w:rsidTr="006F5E92">
        <w:tc>
          <w:tcPr>
            <w:tcW w:w="1871" w:type="dxa"/>
          </w:tcPr>
          <w:p w14:paraId="238FBD3E" w14:textId="77777777" w:rsidR="006F5E92" w:rsidRDefault="006F5E92" w:rsidP="008C7E4F">
            <w:pPr>
              <w:pStyle w:val="TableSideHeading"/>
            </w:pPr>
          </w:p>
        </w:tc>
        <w:tc>
          <w:tcPr>
            <w:tcW w:w="624" w:type="dxa"/>
          </w:tcPr>
          <w:p w14:paraId="5C5BAE58" w14:textId="77777777" w:rsidR="006F5E92" w:rsidRDefault="006F5E92" w:rsidP="008C7E4F">
            <w:pPr>
              <w:pStyle w:val="TableText"/>
            </w:pPr>
          </w:p>
        </w:tc>
        <w:tc>
          <w:tcPr>
            <w:tcW w:w="7146" w:type="dxa"/>
            <w:gridSpan w:val="5"/>
          </w:tcPr>
          <w:p w14:paraId="443C3B80" w14:textId="77777777" w:rsidR="006F5E92" w:rsidRDefault="006F5E92" w:rsidP="008C7E4F">
            <w:pPr>
              <w:pStyle w:val="TableBlock"/>
            </w:pPr>
            <w:r>
              <w:rPr>
                <w:rFonts w:hint="cs"/>
                <w:rtl/>
              </w:rPr>
              <w:t>"(א1)</w:t>
            </w:r>
            <w:r>
              <w:rPr>
                <w:rFonts w:hint="cs"/>
                <w:rtl/>
              </w:rPr>
              <w:tab/>
              <w:t>יראו</w:t>
            </w:r>
            <w:r>
              <w:rPr>
                <w:rtl/>
              </w:rPr>
              <w:t xml:space="preserve"> עובד עצמאי</w:t>
            </w:r>
            <w:r>
              <w:rPr>
                <w:rFonts w:hint="cs"/>
                <w:rtl/>
              </w:rPr>
              <w:t xml:space="preserve"> כ</w:t>
            </w:r>
            <w:r>
              <w:rPr>
                <w:rtl/>
              </w:rPr>
              <w:t>מובטל</w:t>
            </w:r>
            <w:r>
              <w:rPr>
                <w:rFonts w:hint="cs"/>
                <w:rtl/>
              </w:rPr>
              <w:t xml:space="preserve"> לפי סעיף קטן (א), אם </w:t>
            </w:r>
            <w:r>
              <w:rPr>
                <w:rtl/>
              </w:rPr>
              <w:t xml:space="preserve">מסר תצהיר מאושר על ידי עורך דין או אישור </w:t>
            </w:r>
            <w:r>
              <w:rPr>
                <w:rFonts w:hint="cs"/>
                <w:rtl/>
              </w:rPr>
              <w:t>של</w:t>
            </w:r>
            <w:r>
              <w:rPr>
                <w:rtl/>
              </w:rPr>
              <w:t xml:space="preserve"> רואה חשבון</w:t>
            </w:r>
            <w:r>
              <w:rPr>
                <w:rFonts w:hint="cs"/>
                <w:rtl/>
              </w:rPr>
              <w:t xml:space="preserve"> המגובה באישור רשות המסים המעיד על סגירת העסק, לפיו </w:t>
            </w:r>
            <w:r>
              <w:rPr>
                <w:rtl/>
              </w:rPr>
              <w:t xml:space="preserve">חדל לעסוק בעסקו או במשלח ידו או שהחברה </w:t>
            </w:r>
            <w:r>
              <w:rPr>
                <w:rFonts w:hint="cs"/>
                <w:rtl/>
              </w:rPr>
              <w:t xml:space="preserve">שהוא בעל שליטה בה </w:t>
            </w:r>
            <w:r>
              <w:rPr>
                <w:rtl/>
              </w:rPr>
              <w:t>חדלה לחלוטין מפעילותה</w:t>
            </w:r>
            <w:r>
              <w:rPr>
                <w:rFonts w:hint="cs"/>
                <w:rtl/>
              </w:rPr>
              <w:t xml:space="preserve">, לפי העניין, </w:t>
            </w:r>
            <w:r>
              <w:rPr>
                <w:rtl/>
              </w:rPr>
              <w:t xml:space="preserve">או שעמד </w:t>
            </w:r>
            <w:r>
              <w:rPr>
                <w:rtl/>
              </w:rPr>
              <w:lastRenderedPageBreak/>
              <w:t>בתנאים חלופיים שקבע השר</w:t>
            </w:r>
            <w:r>
              <w:rPr>
                <w:rFonts w:hint="cs"/>
                <w:rtl/>
              </w:rPr>
              <w:t xml:space="preserve"> </w:t>
            </w:r>
            <w:r w:rsidRPr="00781933">
              <w:rPr>
                <w:rFonts w:hint="cs"/>
                <w:rtl/>
              </w:rPr>
              <w:t>לפי סעיף קטן (א2)</w:t>
            </w:r>
            <w:r>
              <w:rPr>
                <w:rFonts w:hint="cs"/>
                <w:rtl/>
              </w:rPr>
              <w:t>.</w:t>
            </w:r>
          </w:p>
        </w:tc>
      </w:tr>
      <w:tr w:rsidR="006F5E92" w14:paraId="6F6898D5" w14:textId="77777777" w:rsidTr="006F5E92">
        <w:tc>
          <w:tcPr>
            <w:tcW w:w="1871" w:type="dxa"/>
          </w:tcPr>
          <w:p w14:paraId="45DD40C1" w14:textId="77777777" w:rsidR="006F5E92" w:rsidRDefault="006F5E92" w:rsidP="008C7E4F">
            <w:pPr>
              <w:pStyle w:val="TableSideHeading"/>
            </w:pPr>
          </w:p>
        </w:tc>
        <w:tc>
          <w:tcPr>
            <w:tcW w:w="624" w:type="dxa"/>
          </w:tcPr>
          <w:p w14:paraId="5409FA0A" w14:textId="77777777" w:rsidR="006F5E92" w:rsidRDefault="006F5E92" w:rsidP="008C7E4F">
            <w:pPr>
              <w:pStyle w:val="TableText"/>
            </w:pPr>
          </w:p>
        </w:tc>
        <w:tc>
          <w:tcPr>
            <w:tcW w:w="7146" w:type="dxa"/>
            <w:gridSpan w:val="5"/>
          </w:tcPr>
          <w:p w14:paraId="1DCA27E1" w14:textId="6C2FCEED" w:rsidR="006F5E92" w:rsidRDefault="006F5E92" w:rsidP="00A437CE">
            <w:pPr>
              <w:pStyle w:val="TableBlock"/>
              <w:rPr>
                <w:rtl/>
              </w:rPr>
            </w:pPr>
            <w:r>
              <w:rPr>
                <w:rFonts w:hint="cs"/>
                <w:rtl/>
              </w:rPr>
              <w:t>(א2)</w:t>
            </w:r>
            <w:r>
              <w:rPr>
                <w:rtl/>
              </w:rPr>
              <w:tab/>
            </w:r>
            <w:r>
              <w:rPr>
                <w:rFonts w:hint="cs"/>
                <w:rtl/>
              </w:rPr>
              <w:t>ה</w:t>
            </w:r>
            <w:r>
              <w:rPr>
                <w:rtl/>
              </w:rPr>
              <w:t xml:space="preserve">שר, באישור ועדת העבודה </w:t>
            </w:r>
            <w:r w:rsidR="00065B1C">
              <w:rPr>
                <w:rFonts w:hint="cs"/>
                <w:rtl/>
              </w:rPr>
              <w:t>ו</w:t>
            </w:r>
            <w:r>
              <w:rPr>
                <w:rtl/>
              </w:rPr>
              <w:t>הרווחה</w:t>
            </w:r>
            <w:r w:rsidR="00A437CE">
              <w:rPr>
                <w:rFonts w:hint="cs"/>
                <w:rtl/>
              </w:rPr>
              <w:t>,</w:t>
            </w:r>
            <w:r>
              <w:rPr>
                <w:rtl/>
              </w:rPr>
              <w:t xml:space="preserve"> רשאי לקבוע תנאים לגבי זכאותו של מבוטח שהוא עובד עצמאי כ</w:t>
            </w:r>
            <w:r>
              <w:rPr>
                <w:rFonts w:hint="cs"/>
                <w:rtl/>
              </w:rPr>
              <w:t>הגדרתו</w:t>
            </w:r>
            <w:r>
              <w:rPr>
                <w:rtl/>
              </w:rPr>
              <w:t xml:space="preserve"> בסעיף 158</w:t>
            </w:r>
            <w:r>
              <w:rPr>
                <w:rFonts w:hint="cs"/>
                <w:rtl/>
              </w:rPr>
              <w:t>."</w:t>
            </w:r>
          </w:p>
        </w:tc>
      </w:tr>
      <w:tr w:rsidR="006F5E92" w14:paraId="09CAEE69" w14:textId="77777777" w:rsidTr="006F5E92">
        <w:tc>
          <w:tcPr>
            <w:tcW w:w="1871" w:type="dxa"/>
          </w:tcPr>
          <w:p w14:paraId="1ABC2921" w14:textId="77777777" w:rsidR="006F5E92" w:rsidRDefault="006F5E92" w:rsidP="008C7E4F">
            <w:pPr>
              <w:pStyle w:val="TableSideHeading"/>
            </w:pPr>
            <w:r>
              <w:rPr>
                <w:rFonts w:hint="cs"/>
                <w:rtl/>
              </w:rPr>
              <w:t>תיקון סעיף 170</w:t>
            </w:r>
          </w:p>
        </w:tc>
        <w:tc>
          <w:tcPr>
            <w:tcW w:w="624" w:type="dxa"/>
          </w:tcPr>
          <w:p w14:paraId="3F82934E" w14:textId="77777777" w:rsidR="006F5E92" w:rsidRDefault="006F5E92" w:rsidP="008C7E4F">
            <w:pPr>
              <w:pStyle w:val="TableText"/>
            </w:pPr>
            <w:r>
              <w:rPr>
                <w:rFonts w:hint="cs"/>
                <w:rtl/>
              </w:rPr>
              <w:t>4.</w:t>
            </w:r>
          </w:p>
        </w:tc>
        <w:tc>
          <w:tcPr>
            <w:tcW w:w="7146" w:type="dxa"/>
            <w:gridSpan w:val="5"/>
          </w:tcPr>
          <w:p w14:paraId="0F59F9A5" w14:textId="77777777" w:rsidR="006F5E92" w:rsidRDefault="006F5E92" w:rsidP="008C7E4F">
            <w:pPr>
              <w:pStyle w:val="TableBlock"/>
            </w:pPr>
            <w:r>
              <w:rPr>
                <w:rFonts w:hint="cs"/>
                <w:rtl/>
              </w:rPr>
              <w:t xml:space="preserve">בסעיף 170 לחוק העיקרי, </w:t>
            </w:r>
            <w:r>
              <w:rPr>
                <w:rtl/>
              </w:rPr>
              <w:t>אחרי סעיף קטן (א) יבוא</w:t>
            </w:r>
            <w:r>
              <w:rPr>
                <w:rFonts w:hint="cs"/>
                <w:rtl/>
              </w:rPr>
              <w:t>:</w:t>
            </w:r>
          </w:p>
        </w:tc>
      </w:tr>
      <w:tr w:rsidR="006F5E92" w14:paraId="6F76D017" w14:textId="77777777" w:rsidTr="006F5E92">
        <w:tc>
          <w:tcPr>
            <w:tcW w:w="1871" w:type="dxa"/>
          </w:tcPr>
          <w:p w14:paraId="4928DFDA" w14:textId="77777777" w:rsidR="006F5E92" w:rsidRDefault="006F5E92" w:rsidP="008C7E4F">
            <w:pPr>
              <w:pStyle w:val="TableSideHeading"/>
            </w:pPr>
          </w:p>
        </w:tc>
        <w:tc>
          <w:tcPr>
            <w:tcW w:w="624" w:type="dxa"/>
          </w:tcPr>
          <w:p w14:paraId="40208064" w14:textId="77777777" w:rsidR="006F5E92" w:rsidRDefault="006F5E92" w:rsidP="008C7E4F">
            <w:pPr>
              <w:pStyle w:val="TableText"/>
            </w:pPr>
          </w:p>
        </w:tc>
        <w:tc>
          <w:tcPr>
            <w:tcW w:w="7146" w:type="dxa"/>
            <w:gridSpan w:val="5"/>
          </w:tcPr>
          <w:p w14:paraId="39EA6022" w14:textId="77777777" w:rsidR="006F5E92" w:rsidRDefault="006F5E92" w:rsidP="008C7E4F">
            <w:pPr>
              <w:pStyle w:val="TableBlock"/>
            </w:pPr>
            <w:r>
              <w:rPr>
                <w:rFonts w:hint="cs"/>
                <w:rtl/>
              </w:rPr>
              <w:t>"(א1)</w:t>
            </w:r>
            <w:r>
              <w:rPr>
                <w:rFonts w:hint="cs"/>
                <w:rtl/>
              </w:rPr>
              <w:tab/>
              <w:t xml:space="preserve">על אף האמור בסעיף קטן (א), השכר היומי הממוצע, </w:t>
            </w:r>
            <w:r>
              <w:rPr>
                <w:rtl/>
              </w:rPr>
              <w:t xml:space="preserve">לגבי מובטל שהוא עובד עצמאי, יחושב לפי ההכנסה שממנה מגיעים דמי ביטוח אבטלה, בתקופה של </w:t>
            </w:r>
            <w:r>
              <w:rPr>
                <w:rFonts w:hint="cs"/>
                <w:rtl/>
              </w:rPr>
              <w:t>24</w:t>
            </w:r>
            <w:r>
              <w:rPr>
                <w:rtl/>
              </w:rPr>
              <w:t xml:space="preserve"> החודשים האחרונים שבעדם שולמו דמי ביטוח אבטלה לפני התאריך הקובע; ב</w:t>
            </w:r>
            <w:r>
              <w:rPr>
                <w:rFonts w:hint="cs"/>
                <w:rtl/>
              </w:rPr>
              <w:t>של</w:t>
            </w:r>
            <w:r>
              <w:rPr>
                <w:rtl/>
              </w:rPr>
              <w:t xml:space="preserve"> חודש </w:t>
            </w:r>
            <w:r>
              <w:rPr>
                <w:rFonts w:hint="cs"/>
                <w:rtl/>
              </w:rPr>
              <w:t>ש</w:t>
            </w:r>
            <w:r>
              <w:rPr>
                <w:rtl/>
              </w:rPr>
              <w:t>בו לא הי</w:t>
            </w:r>
            <w:r>
              <w:rPr>
                <w:rFonts w:hint="cs"/>
                <w:rtl/>
              </w:rPr>
              <w:t>י</w:t>
            </w:r>
            <w:r>
              <w:rPr>
                <w:rtl/>
              </w:rPr>
              <w:t>תה הכנסה</w:t>
            </w:r>
            <w:r>
              <w:rPr>
                <w:rFonts w:hint="cs"/>
                <w:rtl/>
              </w:rPr>
              <w:t xml:space="preserve"> למובטל</w:t>
            </w:r>
            <w:r>
              <w:rPr>
                <w:rtl/>
              </w:rPr>
              <w:t xml:space="preserve">, </w:t>
            </w:r>
            <w:r>
              <w:rPr>
                <w:rFonts w:hint="cs"/>
                <w:rtl/>
              </w:rPr>
              <w:t xml:space="preserve">יחושב השכר היומי הממוצע לפי </w:t>
            </w:r>
            <w:r>
              <w:rPr>
                <w:rtl/>
              </w:rPr>
              <w:t>שכר מינימום כ</w:t>
            </w:r>
            <w:r>
              <w:rPr>
                <w:rFonts w:hint="cs"/>
                <w:rtl/>
              </w:rPr>
              <w:t>הגדרתו</w:t>
            </w:r>
            <w:r>
              <w:rPr>
                <w:rtl/>
              </w:rPr>
              <w:t xml:space="preserve"> בחוק</w:t>
            </w:r>
            <w:r>
              <w:rPr>
                <w:rFonts w:hint="cs"/>
                <w:rtl/>
              </w:rPr>
              <w:t xml:space="preserve"> </w:t>
            </w:r>
            <w:r>
              <w:rPr>
                <w:rtl/>
              </w:rPr>
              <w:t>שכר  מינימום."</w:t>
            </w:r>
          </w:p>
        </w:tc>
      </w:tr>
      <w:tr w:rsidR="006F5E92" w14:paraId="087CE528" w14:textId="77777777" w:rsidTr="006F5E92">
        <w:tc>
          <w:tcPr>
            <w:tcW w:w="1871" w:type="dxa"/>
          </w:tcPr>
          <w:p w14:paraId="3C19F718" w14:textId="77777777" w:rsidR="006F5E92" w:rsidRDefault="006F5E92" w:rsidP="008C7E4F">
            <w:pPr>
              <w:pStyle w:val="TableSideHeading"/>
            </w:pPr>
            <w:r>
              <w:rPr>
                <w:rFonts w:hint="cs"/>
                <w:rtl/>
              </w:rPr>
              <w:t>הוספת סעיף 171ב</w:t>
            </w:r>
          </w:p>
        </w:tc>
        <w:tc>
          <w:tcPr>
            <w:tcW w:w="624" w:type="dxa"/>
          </w:tcPr>
          <w:p w14:paraId="4B292D8F" w14:textId="77777777" w:rsidR="006F5E92" w:rsidRDefault="006F5E92" w:rsidP="008C7E4F">
            <w:pPr>
              <w:pStyle w:val="TableText"/>
            </w:pPr>
            <w:r>
              <w:rPr>
                <w:rFonts w:hint="cs"/>
                <w:rtl/>
              </w:rPr>
              <w:t>5.</w:t>
            </w:r>
          </w:p>
        </w:tc>
        <w:tc>
          <w:tcPr>
            <w:tcW w:w="7146" w:type="dxa"/>
            <w:gridSpan w:val="5"/>
          </w:tcPr>
          <w:p w14:paraId="05C598A0" w14:textId="77777777" w:rsidR="006F5E92" w:rsidRDefault="006F5E92" w:rsidP="008C7E4F">
            <w:pPr>
              <w:pStyle w:val="TableBlock"/>
            </w:pPr>
            <w:r>
              <w:rPr>
                <w:rFonts w:hint="cs"/>
                <w:rtl/>
              </w:rPr>
              <w:t>אחרי סעיף 171א לחוק העיקרי יבוא:</w:t>
            </w:r>
          </w:p>
        </w:tc>
      </w:tr>
      <w:tr w:rsidR="006F5E92" w14:paraId="75A7C702" w14:textId="77777777" w:rsidTr="006F5E92">
        <w:tc>
          <w:tcPr>
            <w:tcW w:w="1871" w:type="dxa"/>
          </w:tcPr>
          <w:p w14:paraId="3A6FD765" w14:textId="77777777" w:rsidR="006F5E92" w:rsidRDefault="006F5E92" w:rsidP="008C7E4F">
            <w:pPr>
              <w:pStyle w:val="TableSideHeading"/>
            </w:pPr>
          </w:p>
        </w:tc>
        <w:tc>
          <w:tcPr>
            <w:tcW w:w="624" w:type="dxa"/>
          </w:tcPr>
          <w:p w14:paraId="6FA70971" w14:textId="77777777" w:rsidR="006F5E92" w:rsidRDefault="006F5E92" w:rsidP="008C7E4F">
            <w:pPr>
              <w:pStyle w:val="TableText"/>
            </w:pPr>
          </w:p>
        </w:tc>
        <w:tc>
          <w:tcPr>
            <w:tcW w:w="1872" w:type="dxa"/>
            <w:gridSpan w:val="3"/>
          </w:tcPr>
          <w:p w14:paraId="76222663" w14:textId="77777777" w:rsidR="006F5E92" w:rsidRDefault="006F5E92" w:rsidP="008C7E4F">
            <w:pPr>
              <w:pStyle w:val="TableInnerSideHeading"/>
            </w:pPr>
            <w:r>
              <w:rPr>
                <w:rtl/>
              </w:rPr>
              <w:t>"הגבלת מספר תקופות לדמי אבטלה לע</w:t>
            </w:r>
            <w:r>
              <w:rPr>
                <w:rFonts w:hint="cs"/>
                <w:rtl/>
              </w:rPr>
              <w:t>ובד ע</w:t>
            </w:r>
            <w:r>
              <w:rPr>
                <w:rtl/>
              </w:rPr>
              <w:t>צמאי</w:t>
            </w:r>
          </w:p>
        </w:tc>
        <w:tc>
          <w:tcPr>
            <w:tcW w:w="624" w:type="dxa"/>
          </w:tcPr>
          <w:p w14:paraId="1727AB5D" w14:textId="77777777" w:rsidR="006F5E92" w:rsidRDefault="006F5E92" w:rsidP="008C7E4F">
            <w:pPr>
              <w:pStyle w:val="TableText"/>
            </w:pPr>
            <w:r>
              <w:rPr>
                <w:rFonts w:hint="cs"/>
                <w:rtl/>
              </w:rPr>
              <w:t>171ב.</w:t>
            </w:r>
          </w:p>
        </w:tc>
        <w:tc>
          <w:tcPr>
            <w:tcW w:w="4650" w:type="dxa"/>
          </w:tcPr>
          <w:p w14:paraId="67E5CAF3" w14:textId="77777777" w:rsidR="006F5E92" w:rsidRDefault="006F5E92" w:rsidP="008C7E4F">
            <w:pPr>
              <w:pStyle w:val="TableBlock"/>
            </w:pPr>
            <w:r>
              <w:rPr>
                <w:rFonts w:hint="cs"/>
                <w:rtl/>
              </w:rPr>
              <w:t>(א)</w:t>
            </w:r>
            <w:r>
              <w:rPr>
                <w:rtl/>
              </w:rPr>
              <w:tab/>
            </w:r>
            <w:r>
              <w:rPr>
                <w:rFonts w:hint="cs"/>
                <w:rtl/>
              </w:rPr>
              <w:t>בלי לגרוע מהוראות סעיף</w:t>
            </w:r>
            <w:r>
              <w:rPr>
                <w:rtl/>
              </w:rPr>
              <w:t xml:space="preserve"> 171, לא ישולמו דמי אבטלה למובטל שהוא עובד עצמאי, כמשמעותו בסעיף 160</w:t>
            </w:r>
            <w:r>
              <w:rPr>
                <w:rFonts w:hint="cs"/>
                <w:rtl/>
              </w:rPr>
              <w:t xml:space="preserve">, </w:t>
            </w:r>
            <w:r>
              <w:rPr>
                <w:rtl/>
              </w:rPr>
              <w:t xml:space="preserve">יותר </w:t>
            </w:r>
            <w:r w:rsidRPr="007D0033">
              <w:rPr>
                <w:rtl/>
              </w:rPr>
              <w:t>מ</w:t>
            </w:r>
            <w:r w:rsidRPr="007D0033">
              <w:rPr>
                <w:rFonts w:hint="cs"/>
                <w:rtl/>
              </w:rPr>
              <w:t>ארבע</w:t>
            </w:r>
            <w:r w:rsidRPr="007D0033">
              <w:rPr>
                <w:rtl/>
              </w:rPr>
              <w:t xml:space="preserve"> תק</w:t>
            </w:r>
            <w:r>
              <w:rPr>
                <w:rtl/>
              </w:rPr>
              <w:t>ופות</w:t>
            </w:r>
            <w:r>
              <w:rPr>
                <w:rFonts w:hint="cs"/>
                <w:rtl/>
              </w:rPr>
              <w:t xml:space="preserve"> תשלום</w:t>
            </w:r>
            <w:r>
              <w:rPr>
                <w:rtl/>
              </w:rPr>
              <w:t xml:space="preserve"> מרביות כמשמעותן בסעיף 171(א), </w:t>
            </w:r>
            <w:r>
              <w:rPr>
                <w:rFonts w:hint="cs"/>
                <w:rtl/>
              </w:rPr>
              <w:t xml:space="preserve">במצטבר במשך </w:t>
            </w:r>
            <w:r>
              <w:rPr>
                <w:rtl/>
              </w:rPr>
              <w:t>כל חייו</w:t>
            </w:r>
            <w:r>
              <w:rPr>
                <w:rFonts w:hint="cs"/>
                <w:rtl/>
              </w:rPr>
              <w:t xml:space="preserve">. </w:t>
            </w:r>
          </w:p>
        </w:tc>
      </w:tr>
      <w:tr w:rsidR="006F5E92" w14:paraId="05745EB2" w14:textId="77777777" w:rsidTr="006F5E92">
        <w:tc>
          <w:tcPr>
            <w:tcW w:w="1871" w:type="dxa"/>
          </w:tcPr>
          <w:p w14:paraId="408A85CC" w14:textId="77777777" w:rsidR="006F5E92" w:rsidRDefault="006F5E92" w:rsidP="008C7E4F">
            <w:pPr>
              <w:pStyle w:val="TableSideHeading"/>
            </w:pPr>
          </w:p>
        </w:tc>
        <w:tc>
          <w:tcPr>
            <w:tcW w:w="624" w:type="dxa"/>
          </w:tcPr>
          <w:p w14:paraId="1D3BB682" w14:textId="77777777" w:rsidR="006F5E92" w:rsidRDefault="006F5E92" w:rsidP="008C7E4F">
            <w:pPr>
              <w:pStyle w:val="TableText"/>
            </w:pPr>
          </w:p>
        </w:tc>
        <w:tc>
          <w:tcPr>
            <w:tcW w:w="624" w:type="dxa"/>
          </w:tcPr>
          <w:p w14:paraId="16D55313" w14:textId="77777777" w:rsidR="006F5E92" w:rsidRDefault="006F5E92" w:rsidP="008C7E4F">
            <w:pPr>
              <w:pStyle w:val="TableText"/>
            </w:pPr>
          </w:p>
        </w:tc>
        <w:tc>
          <w:tcPr>
            <w:tcW w:w="624" w:type="dxa"/>
          </w:tcPr>
          <w:p w14:paraId="10E0BC13" w14:textId="77777777" w:rsidR="006F5E92" w:rsidRDefault="006F5E92" w:rsidP="008C7E4F">
            <w:pPr>
              <w:pStyle w:val="TableText"/>
            </w:pPr>
          </w:p>
        </w:tc>
        <w:tc>
          <w:tcPr>
            <w:tcW w:w="624" w:type="dxa"/>
          </w:tcPr>
          <w:p w14:paraId="189BD2E9" w14:textId="77777777" w:rsidR="006F5E92" w:rsidRDefault="006F5E92" w:rsidP="008C7E4F">
            <w:pPr>
              <w:pStyle w:val="TableText"/>
            </w:pPr>
          </w:p>
        </w:tc>
        <w:tc>
          <w:tcPr>
            <w:tcW w:w="624" w:type="dxa"/>
          </w:tcPr>
          <w:p w14:paraId="2CF6FC5A" w14:textId="77777777" w:rsidR="006F5E92" w:rsidRDefault="006F5E92" w:rsidP="008C7E4F">
            <w:pPr>
              <w:pStyle w:val="TableText"/>
            </w:pPr>
          </w:p>
        </w:tc>
        <w:tc>
          <w:tcPr>
            <w:tcW w:w="4650" w:type="dxa"/>
          </w:tcPr>
          <w:p w14:paraId="1A3BDC05" w14:textId="77777777" w:rsidR="006F5E92" w:rsidRDefault="006F5E92" w:rsidP="008C7E4F">
            <w:pPr>
              <w:pStyle w:val="TableBlock"/>
            </w:pPr>
            <w:r>
              <w:rPr>
                <w:rFonts w:hint="cs"/>
                <w:rtl/>
              </w:rPr>
              <w:t>(ב)</w:t>
            </w:r>
            <w:r>
              <w:rPr>
                <w:rtl/>
              </w:rPr>
              <w:tab/>
              <w:t>בלי לגרוע מהוראות סעיף 161, פרק הזמן המזערי לתשלום דמי אבטלה בין תקופת תשלום מרבית אחת לזו הבאה אחריה לא יפחת משלוש שנים</w:t>
            </w:r>
            <w:r>
              <w:rPr>
                <w:rFonts w:hint="cs"/>
                <w:rtl/>
              </w:rPr>
              <w:t>."</w:t>
            </w:r>
          </w:p>
        </w:tc>
      </w:tr>
      <w:tr w:rsidR="006F5E92" w14:paraId="48868CFA" w14:textId="77777777" w:rsidTr="006F5E92">
        <w:tc>
          <w:tcPr>
            <w:tcW w:w="1871" w:type="dxa"/>
          </w:tcPr>
          <w:p w14:paraId="5C6192F3" w14:textId="77777777" w:rsidR="006F5E92" w:rsidRDefault="006F5E92" w:rsidP="008C7E4F">
            <w:pPr>
              <w:pStyle w:val="TableSideHeading"/>
            </w:pPr>
            <w:r>
              <w:rPr>
                <w:rFonts w:hint="cs"/>
                <w:rtl/>
              </w:rPr>
              <w:t>תיקון סעיף 337</w:t>
            </w:r>
          </w:p>
        </w:tc>
        <w:tc>
          <w:tcPr>
            <w:tcW w:w="624" w:type="dxa"/>
          </w:tcPr>
          <w:p w14:paraId="264F6EA3" w14:textId="77777777" w:rsidR="006F5E92" w:rsidRDefault="006F5E92" w:rsidP="008C7E4F">
            <w:pPr>
              <w:pStyle w:val="TableText"/>
            </w:pPr>
            <w:r>
              <w:rPr>
                <w:rFonts w:hint="cs"/>
                <w:rtl/>
              </w:rPr>
              <w:t>6.</w:t>
            </w:r>
          </w:p>
        </w:tc>
        <w:tc>
          <w:tcPr>
            <w:tcW w:w="7146" w:type="dxa"/>
            <w:gridSpan w:val="5"/>
          </w:tcPr>
          <w:p w14:paraId="50542E71" w14:textId="77777777" w:rsidR="006F5E92" w:rsidRDefault="006F5E92" w:rsidP="008C7E4F">
            <w:pPr>
              <w:pStyle w:val="TableBlock"/>
            </w:pPr>
            <w:r>
              <w:rPr>
                <w:rFonts w:hint="cs"/>
                <w:rtl/>
              </w:rPr>
              <w:t>בסעיף 337(א) לחוק העיקרי –</w:t>
            </w:r>
          </w:p>
        </w:tc>
      </w:tr>
      <w:tr w:rsidR="006F5E92" w:rsidRPr="00006831" w14:paraId="7FD0AC14" w14:textId="77777777" w:rsidTr="006F5E92">
        <w:tc>
          <w:tcPr>
            <w:tcW w:w="1871" w:type="dxa"/>
          </w:tcPr>
          <w:p w14:paraId="6CDB2A2F" w14:textId="77777777" w:rsidR="006F5E92" w:rsidRDefault="006F5E92" w:rsidP="008C7E4F">
            <w:pPr>
              <w:pStyle w:val="TableSideHeading"/>
            </w:pPr>
          </w:p>
        </w:tc>
        <w:tc>
          <w:tcPr>
            <w:tcW w:w="624" w:type="dxa"/>
          </w:tcPr>
          <w:p w14:paraId="2EEE4556" w14:textId="77777777" w:rsidR="006F5E92" w:rsidRDefault="006F5E92" w:rsidP="008C7E4F">
            <w:pPr>
              <w:pStyle w:val="TableText"/>
            </w:pPr>
          </w:p>
        </w:tc>
        <w:tc>
          <w:tcPr>
            <w:tcW w:w="7146" w:type="dxa"/>
            <w:gridSpan w:val="5"/>
          </w:tcPr>
          <w:p w14:paraId="05E6BC41" w14:textId="77777777" w:rsidR="006F5E92" w:rsidRPr="00006831" w:rsidRDefault="006F5E92" w:rsidP="008C7E4F">
            <w:pPr>
              <w:pStyle w:val="TableBlock"/>
            </w:pPr>
            <w:r w:rsidRPr="00006831">
              <w:rPr>
                <w:rFonts w:hint="cs"/>
                <w:rtl/>
              </w:rPr>
              <w:t>(1)</w:t>
            </w:r>
            <w:r w:rsidRPr="00006831">
              <w:rPr>
                <w:rtl/>
              </w:rPr>
              <w:tab/>
              <w:t xml:space="preserve">בפסקה (2), </w:t>
            </w:r>
            <w:r>
              <w:rPr>
                <w:rFonts w:hint="cs"/>
                <w:rtl/>
              </w:rPr>
              <w:t>אחרי</w:t>
            </w:r>
            <w:r>
              <w:rPr>
                <w:rtl/>
              </w:rPr>
              <w:t xml:space="preserve"> "לעניין מבוטח אחר" יבוא</w:t>
            </w:r>
            <w:r w:rsidRPr="00006831">
              <w:rPr>
                <w:rtl/>
              </w:rPr>
              <w:t xml:space="preserve"> "שהוא אינו עובד או עובד עצמאי";</w:t>
            </w:r>
          </w:p>
        </w:tc>
      </w:tr>
      <w:tr w:rsidR="006F5E92" w:rsidRPr="00006831" w14:paraId="59DA609A" w14:textId="77777777" w:rsidTr="006F5E92">
        <w:tc>
          <w:tcPr>
            <w:tcW w:w="1871" w:type="dxa"/>
          </w:tcPr>
          <w:p w14:paraId="03666A63" w14:textId="77777777" w:rsidR="006F5E92" w:rsidRDefault="006F5E92" w:rsidP="008C7E4F">
            <w:pPr>
              <w:pStyle w:val="TableSideHeading"/>
            </w:pPr>
          </w:p>
        </w:tc>
        <w:tc>
          <w:tcPr>
            <w:tcW w:w="624" w:type="dxa"/>
          </w:tcPr>
          <w:p w14:paraId="0B0C19D5" w14:textId="77777777" w:rsidR="006F5E92" w:rsidRDefault="006F5E92" w:rsidP="008C7E4F">
            <w:pPr>
              <w:pStyle w:val="TableText"/>
            </w:pPr>
          </w:p>
        </w:tc>
        <w:tc>
          <w:tcPr>
            <w:tcW w:w="7146" w:type="dxa"/>
            <w:gridSpan w:val="5"/>
          </w:tcPr>
          <w:p w14:paraId="6A47A6E4" w14:textId="77777777" w:rsidR="006F5E92" w:rsidRPr="00006831" w:rsidRDefault="006F5E92" w:rsidP="008C7E4F">
            <w:pPr>
              <w:pStyle w:val="TableBlock"/>
            </w:pPr>
            <w:r>
              <w:rPr>
                <w:rFonts w:hint="cs"/>
                <w:rtl/>
              </w:rPr>
              <w:t>(2)</w:t>
            </w:r>
            <w:r>
              <w:rPr>
                <w:rtl/>
              </w:rPr>
              <w:tab/>
            </w:r>
            <w:r>
              <w:rPr>
                <w:rFonts w:hint="cs"/>
                <w:rtl/>
              </w:rPr>
              <w:t>אחרי פסקה (2) יבוא:</w:t>
            </w:r>
          </w:p>
        </w:tc>
      </w:tr>
      <w:tr w:rsidR="006F5E92" w:rsidRPr="00006831" w14:paraId="16B6ADEA" w14:textId="77777777" w:rsidTr="006F5E92">
        <w:tc>
          <w:tcPr>
            <w:tcW w:w="1871" w:type="dxa"/>
          </w:tcPr>
          <w:p w14:paraId="29B8E3BD" w14:textId="77777777" w:rsidR="006F5E92" w:rsidRDefault="006F5E92" w:rsidP="008C7E4F">
            <w:pPr>
              <w:pStyle w:val="TableSideHeading"/>
            </w:pPr>
          </w:p>
        </w:tc>
        <w:tc>
          <w:tcPr>
            <w:tcW w:w="624" w:type="dxa"/>
          </w:tcPr>
          <w:p w14:paraId="3505A3CD" w14:textId="77777777" w:rsidR="006F5E92" w:rsidRDefault="006F5E92" w:rsidP="008C7E4F">
            <w:pPr>
              <w:pStyle w:val="TableText"/>
            </w:pPr>
          </w:p>
        </w:tc>
        <w:tc>
          <w:tcPr>
            <w:tcW w:w="624" w:type="dxa"/>
          </w:tcPr>
          <w:p w14:paraId="3469B6A8" w14:textId="77777777" w:rsidR="006F5E92" w:rsidRDefault="006F5E92" w:rsidP="008C7E4F">
            <w:pPr>
              <w:pStyle w:val="TableText"/>
            </w:pPr>
          </w:p>
        </w:tc>
        <w:tc>
          <w:tcPr>
            <w:tcW w:w="6522" w:type="dxa"/>
            <w:gridSpan w:val="4"/>
          </w:tcPr>
          <w:p w14:paraId="569113EF" w14:textId="77777777" w:rsidR="006F5E92" w:rsidRPr="00006831" w:rsidRDefault="006F5E92" w:rsidP="008C7E4F">
            <w:pPr>
              <w:pStyle w:val="TableBlock"/>
              <w:rPr>
                <w:sz w:val="26"/>
              </w:rPr>
            </w:pPr>
            <w:r>
              <w:rPr>
                <w:rFonts w:hint="cs"/>
                <w:rtl/>
              </w:rPr>
              <w:t>"(3)</w:t>
            </w:r>
            <w:r>
              <w:rPr>
                <w:rtl/>
              </w:rPr>
              <w:tab/>
            </w:r>
            <w:r>
              <w:rPr>
                <w:rFonts w:hint="cs"/>
                <w:rtl/>
              </w:rPr>
              <w:t xml:space="preserve">השר, באישור ועדת הכספים של הכנסת, יקבע את </w:t>
            </w:r>
            <w:r>
              <w:rPr>
                <w:rtl/>
              </w:rPr>
              <w:t>ש</w:t>
            </w:r>
            <w:r>
              <w:rPr>
                <w:rFonts w:hint="cs"/>
                <w:rtl/>
              </w:rPr>
              <w:t>י</w:t>
            </w:r>
            <w:r>
              <w:rPr>
                <w:rtl/>
              </w:rPr>
              <w:t>עור דמי הביטוח החודשיים לפי סעיף 335 לעניין עובד עצמאי</w:t>
            </w:r>
            <w:r>
              <w:rPr>
                <w:rFonts w:hint="cs"/>
                <w:rtl/>
              </w:rPr>
              <w:t>, ובהתאם לכך סכום השתתפות המדינה בקרן מיועדת לתשלום דמי אבטלה לעובדים עצמאיים.</w:t>
            </w:r>
            <w:r>
              <w:rPr>
                <w:rtl/>
              </w:rPr>
              <w:t>"</w:t>
            </w:r>
          </w:p>
        </w:tc>
      </w:tr>
    </w:tbl>
    <w:p w14:paraId="7F6961CA" w14:textId="77777777" w:rsidR="002D1EE3" w:rsidRDefault="002D1EE3" w:rsidP="002D1EE3">
      <w:pPr>
        <w:pStyle w:val="HeadDivreiHesber"/>
        <w:rPr>
          <w:rtl/>
        </w:rPr>
      </w:pPr>
      <w:r w:rsidRPr="0027450A">
        <w:rPr>
          <w:rFonts w:hint="cs"/>
          <w:rtl/>
        </w:rPr>
        <w:t>דברי הסבר</w:t>
      </w:r>
    </w:p>
    <w:p w14:paraId="74D0228A" w14:textId="77777777" w:rsidR="006F5E92" w:rsidRPr="009739F4" w:rsidRDefault="006F5E92" w:rsidP="006F5E92">
      <w:pPr>
        <w:pStyle w:val="Hesber"/>
        <w:rPr>
          <w:rtl/>
        </w:rPr>
      </w:pPr>
      <w:r w:rsidRPr="009739F4">
        <w:rPr>
          <w:rFonts w:hint="cs"/>
          <w:rtl/>
        </w:rPr>
        <w:t>חוק הביטוח הלאומי [נוסח משולב], התשנ"ה</w:t>
      </w:r>
      <w:r w:rsidRPr="009739F4">
        <w:rPr>
          <w:rtl/>
        </w:rPr>
        <w:t>–</w:t>
      </w:r>
      <w:r w:rsidRPr="009739F4">
        <w:rPr>
          <w:rFonts w:hint="cs"/>
          <w:rtl/>
        </w:rPr>
        <w:t xml:space="preserve">1995, במתכונתו היום מפלה לרעה את אוכלוסיית העובדים העצמאים לעומת העובדים השכירים במשק, שכן בניגוד לעובדים השכירים הנהנים מרשת ביטחון סוציאלית במקרה בו פרנסתם נפגעת בשל פיטורים, עובד עצמאי אשר סוגר את עסקו אינו זכאי לכל סיוע מהמדינה. </w:t>
      </w:r>
      <w:r w:rsidRPr="009739F4">
        <w:rPr>
          <w:rtl/>
        </w:rPr>
        <w:t xml:space="preserve">המשבר הכלכלי הנוכחי </w:t>
      </w:r>
      <w:r>
        <w:rPr>
          <w:rFonts w:hint="cs"/>
          <w:rtl/>
        </w:rPr>
        <w:t>שנבע</w:t>
      </w:r>
      <w:r w:rsidRPr="009739F4">
        <w:rPr>
          <w:rtl/>
        </w:rPr>
        <w:t xml:space="preserve"> ממגפת הקורונה מוכיח את הצורך בחקיקה זו. </w:t>
      </w:r>
      <w:r w:rsidRPr="009739F4">
        <w:rPr>
          <w:rFonts w:hint="cs"/>
          <w:rtl/>
        </w:rPr>
        <w:t xml:space="preserve">מאות אלפי עצמאיים, נקלעו למשבר כלכלי עצום והשלכותיו הקשות טרם התבררו עד תומם. חלק לא מבוטל </w:t>
      </w:r>
      <w:r w:rsidRPr="009739F4">
        <w:rPr>
          <w:rFonts w:hint="cs"/>
          <w:rtl/>
        </w:rPr>
        <w:lastRenderedPageBreak/>
        <w:t>מאותם עסקים נסגרו ולא שבו לפעילות, מה שמביא בטווח הארוך לפגיעה קשה ביותר במשק ובמנועי הצמיחה המניעים אותו. הצעת חוק זו מבקשת להשוות ולו במקצת את התנאים הסוציאליים של העובדים העצמאים בכך היא מבקשת לאפשר להם לקבל דמי אבטלה שאותם זכאים לקבל כלל העובדים במשק.</w:t>
      </w:r>
    </w:p>
    <w:p w14:paraId="6FCA05B6" w14:textId="2D96AE76" w:rsidR="006F5E92" w:rsidRDefault="006F5E92" w:rsidP="00A437CE">
      <w:pPr>
        <w:pStyle w:val="Hesber"/>
        <w:rPr>
          <w:rtl/>
        </w:rPr>
      </w:pPr>
      <w:r w:rsidRPr="00FA510D">
        <w:rPr>
          <w:rFonts w:hint="cs"/>
          <w:rtl/>
        </w:rPr>
        <w:t>הצעות חוק זהות הונחו על שולחן הכנסת העשרים ושלוש על ידי חבר הכנסת מאיר כהן</w:t>
      </w:r>
      <w:r w:rsidR="00452375">
        <w:rPr>
          <w:rFonts w:hint="cs"/>
          <w:rtl/>
        </w:rPr>
        <w:t xml:space="preserve"> וקבוצת חברי הכנסת (פ/1280/23), </w:t>
      </w:r>
      <w:r w:rsidRPr="00FA510D">
        <w:rPr>
          <w:rFonts w:hint="cs"/>
          <w:rtl/>
        </w:rPr>
        <w:t>על שולחן הכנסת העשרים וארבע על ידי חבר הכנסת בועז טופורובסקי וקבוצת חברי הכנסת (פ/1432/24)</w:t>
      </w:r>
      <w:r>
        <w:rPr>
          <w:rFonts w:hint="cs"/>
          <w:rtl/>
        </w:rPr>
        <w:t>,</w:t>
      </w:r>
      <w:r w:rsidRPr="00FA510D">
        <w:rPr>
          <w:rFonts w:hint="cs"/>
          <w:rtl/>
        </w:rPr>
        <w:t xml:space="preserve"> על ידי חבר הכנסת סמי אבו שחאדה (פ/1592/24; הוסרה מסדר היום ביום ל' בתשרי התשפ"ב (6 באוקטובר 2021))</w:t>
      </w:r>
      <w:r>
        <w:rPr>
          <w:rFonts w:hint="cs"/>
          <w:rtl/>
        </w:rPr>
        <w:t>,</w:t>
      </w:r>
      <w:r w:rsidRPr="00FA510D">
        <w:rPr>
          <w:rFonts w:hint="cs"/>
          <w:rtl/>
        </w:rPr>
        <w:t xml:space="preserve"> על ידי חבר הכנסת משה גפני וקבוצת חברי הכנסת (פ/1783/24; הוסרה מסדר היום ביום ל' בתשרי התשפ"ב (6 באוקטובר 2021))</w:t>
      </w:r>
      <w:r>
        <w:rPr>
          <w:rFonts w:hint="cs"/>
          <w:rtl/>
        </w:rPr>
        <w:t>,</w:t>
      </w:r>
      <w:r w:rsidRPr="00FA510D">
        <w:rPr>
          <w:rFonts w:hint="cs"/>
          <w:rtl/>
        </w:rPr>
        <w:t xml:space="preserve"> על ידי חברת הכנסת מירי מרים רגב (פ/1915/24)</w:t>
      </w:r>
      <w:r>
        <w:rPr>
          <w:rFonts w:hint="cs"/>
          <w:rtl/>
        </w:rPr>
        <w:t>, על ידי חבר הכנסת סמי אבו שחאדה (פ/2381/24) ועל ידי חבר הכנסת משה גפני וקבוצת חברי הכנסת (2402/24)</w:t>
      </w:r>
      <w:r w:rsidR="00A437CE" w:rsidRPr="00A437CE">
        <w:rPr>
          <w:rFonts w:ascii="Hadasa Roso SL" w:eastAsia="MS Mincho" w:hAnsi="Hadasa Roso SL" w:cs="Hadasa Roso SL" w:hint="cs"/>
          <w:snapToGrid/>
          <w:spacing w:val="1"/>
          <w:sz w:val="17"/>
          <w:szCs w:val="17"/>
          <w:rtl/>
        </w:rPr>
        <w:t xml:space="preserve"> </w:t>
      </w:r>
      <w:r w:rsidR="00A437CE" w:rsidRPr="00A437CE">
        <w:rPr>
          <w:rFonts w:hint="cs"/>
          <w:rtl/>
        </w:rPr>
        <w:t>ועל שולחן הכנסת העשרים וחמש על ידי חבר הכנסת אורי מקלב וקבוצת חברי הכנסת (פ/154/25), על ידי חבר הכנסת בועז טופורובסקי וקבוצת חברי הכנסת (פ/155/25), על ידי חבר הכנסת משה גפני וקבוצת חברי הכנסת (פ/1230/25), על ידי חבר הכנסת מאיר כהן (פ/1851/25)</w:t>
      </w:r>
      <w:r w:rsidR="00A437CE">
        <w:rPr>
          <w:rFonts w:hint="cs"/>
          <w:rtl/>
        </w:rPr>
        <w:t>,</w:t>
      </w:r>
      <w:r w:rsidR="00A437CE" w:rsidRPr="00A437CE">
        <w:rPr>
          <w:rFonts w:hint="cs"/>
          <w:rtl/>
        </w:rPr>
        <w:t xml:space="preserve"> על ידי חבר הכנסת ולדימיר בליאק וקבוצת חברי הכנסת (פ/2202/25)</w:t>
      </w:r>
      <w:bookmarkStart w:id="8" w:name="_GoBack"/>
      <w:bookmarkEnd w:id="8"/>
      <w:r w:rsidR="00A437CE">
        <w:rPr>
          <w:rFonts w:hint="cs"/>
          <w:rtl/>
        </w:rPr>
        <w:t xml:space="preserve"> ועל ידי חבר הכנסת יוסף עטאונה (פ/2853/25)</w:t>
      </w:r>
      <w:r>
        <w:rPr>
          <w:rFonts w:hint="cs"/>
          <w:rtl/>
        </w:rPr>
        <w:t xml:space="preserve">. </w:t>
      </w:r>
    </w:p>
    <w:p w14:paraId="16261C4D" w14:textId="77777777" w:rsidR="006F5E92" w:rsidRPr="00FA510D" w:rsidRDefault="006F5E92" w:rsidP="006F5E92">
      <w:pPr>
        <w:pStyle w:val="Hesber"/>
        <w:ind w:firstLine="0"/>
        <w:rPr>
          <w:rtl/>
        </w:rPr>
      </w:pPr>
      <w:r>
        <w:rPr>
          <w:rFonts w:hint="cs"/>
          <w:rtl/>
        </w:rPr>
        <w:t>הצעת החוק זהה לפ/2402/24 ולפיכך לא נבדקה מחדש על ידי הלשכה המשפטית של הכנסת.</w:t>
      </w:r>
    </w:p>
    <w:p w14:paraId="7F6961CB" w14:textId="77777777" w:rsidR="00E13C27" w:rsidRDefault="00E13C27" w:rsidP="00E13C27">
      <w:pPr>
        <w:pStyle w:val="Hesber"/>
        <w:rPr>
          <w:rtl/>
        </w:rPr>
      </w:pPr>
    </w:p>
    <w:p w14:paraId="527C5396" w14:textId="77777777" w:rsidR="006F3AE9" w:rsidRDefault="00452375">
      <w:pPr>
        <w:spacing w:before="0" w:line="360" w:lineRule="auto"/>
        <w:jc w:val="left"/>
      </w:pPr>
      <w:bookmarkStart w:id="9" w:name="selectedDocDateB"/>
      <w:bookmarkEnd w:id="9"/>
      <w:r>
        <w:rPr>
          <w:rFonts w:ascii="David" w:eastAsia="David" w:hAnsi="David" w:cs="David" w:hint="cs"/>
          <w:sz w:val="26"/>
          <w:szCs w:val="26"/>
          <w:rtl/>
        </w:rPr>
        <w:t>--------------------------------</w:t>
      </w:r>
    </w:p>
    <w:p w14:paraId="069F82FA" w14:textId="77777777" w:rsidR="006F3AE9" w:rsidRDefault="00452375">
      <w:pPr>
        <w:spacing w:before="0" w:line="360" w:lineRule="auto"/>
        <w:jc w:val="left"/>
      </w:pPr>
      <w:r>
        <w:rPr>
          <w:rFonts w:ascii="David" w:eastAsia="David" w:hAnsi="David" w:cs="David" w:hint="cs"/>
          <w:sz w:val="26"/>
          <w:szCs w:val="26"/>
          <w:rtl/>
        </w:rPr>
        <w:t>הוגשה ליו"ר הכנסת והסגנים</w:t>
      </w:r>
    </w:p>
    <w:p w14:paraId="3070705C" w14:textId="77777777" w:rsidR="006F3AE9" w:rsidRDefault="00452375">
      <w:pPr>
        <w:spacing w:before="0" w:line="360" w:lineRule="auto"/>
        <w:jc w:val="left"/>
      </w:pPr>
      <w:r>
        <w:rPr>
          <w:rFonts w:ascii="David" w:eastAsia="David" w:hAnsi="David" w:cs="David" w:hint="cs"/>
          <w:sz w:val="26"/>
          <w:szCs w:val="26"/>
          <w:rtl/>
        </w:rPr>
        <w:t>והונחה על שולחן הכנסת ביום</w:t>
      </w:r>
    </w:p>
    <w:p w14:paraId="64935475" w14:textId="77777777" w:rsidR="006F3AE9" w:rsidRDefault="00452375">
      <w:pPr>
        <w:spacing w:before="0" w:line="360" w:lineRule="auto"/>
        <w:jc w:val="left"/>
      </w:pPr>
      <w:r>
        <w:rPr>
          <w:rFonts w:ascii="David" w:eastAsia="David" w:hAnsi="David" w:cs="David" w:hint="cs"/>
          <w:sz w:val="26"/>
          <w:szCs w:val="26"/>
          <w:rtl/>
        </w:rPr>
        <w:t xml:space="preserve">ה' בניסן התשפ"ג (27.03.2023) </w:t>
      </w:r>
    </w:p>
    <w:p w14:paraId="3339FBC4" w14:textId="77777777" w:rsidR="006F3AE9" w:rsidRDefault="006F3AE9">
      <w:pPr>
        <w:spacing w:before="0" w:line="276" w:lineRule="auto"/>
        <w:jc w:val="left"/>
      </w:pPr>
    </w:p>
    <w:sectPr w:rsidR="006F3AE9"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452375">
      <w:rPr>
        <w:rStyle w:val="ab"/>
        <w:noProof/>
        <w:rtl/>
      </w:rPr>
      <w:t>3</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793AA7AC" w14:textId="77777777" w:rsidR="006F5E92" w:rsidRDefault="006F5E92" w:rsidP="006F5E92">
      <w:pPr>
        <w:pStyle w:val="a4"/>
      </w:pPr>
      <w:r>
        <w:rPr>
          <w:rStyle w:val="a6"/>
        </w:rPr>
        <w:footnoteRef/>
      </w:r>
      <w:r>
        <w:rPr>
          <w:rtl/>
        </w:rPr>
        <w:t xml:space="preserve"> </w:t>
      </w:r>
      <w:r>
        <w:rPr>
          <w:rFonts w:hint="cs"/>
          <w:rtl/>
        </w:rPr>
        <w:t xml:space="preserve">ס"ח התשנ"ה, עמ' 210. </w:t>
      </w:r>
    </w:p>
  </w:footnote>
  <w:footnote w:id="3">
    <w:p w14:paraId="5A3F5E21" w14:textId="77777777" w:rsidR="006F5E92" w:rsidRDefault="006F5E92" w:rsidP="006F5E92">
      <w:pPr>
        <w:pStyle w:val="a4"/>
      </w:pPr>
      <w:r>
        <w:rPr>
          <w:rStyle w:val="a6"/>
        </w:rPr>
        <w:footnoteRef/>
      </w:r>
      <w:r>
        <w:t xml:space="preserve"> </w:t>
      </w:r>
      <w:r>
        <w:rPr>
          <w:rFonts w:hint="cs"/>
          <w:rtl/>
        </w:rPr>
        <w:t xml:space="preserve"> </w:t>
      </w:r>
      <w:r>
        <w:rPr>
          <w:rtl/>
        </w:rPr>
        <w:t>ס"ח התשנ"ט, עמ' 189</w:t>
      </w:r>
      <w:r>
        <w:rPr>
          <w:rFonts w:hint="cs"/>
          <w:rt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65B1C"/>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52375"/>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C1D0D"/>
    <w:rsid w:val="006F3AE9"/>
    <w:rsid w:val="006F5E92"/>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37CE"/>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B3862"/>
    <w:rsid w:val="00BC45FB"/>
    <w:rsid w:val="00BF148D"/>
    <w:rsid w:val="00C23B1A"/>
    <w:rsid w:val="00C310EB"/>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95B1EE9B-9294-444C-B69D-9BA7D7B92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6F5E92"/>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54E21C28B32ECF49ADBB6A5BBBCCB3CD" ma:contentTypeVersion="" ma:contentTypeDescription="צור מסמך חדש." ma:contentTypeScope="" ma:versionID="f81d89568b860eeaa06327f0f2d2f14b">
  <xsd:schema xmlns:xsd="http://www.w3.org/2001/XMLSchema" xmlns:xs="http://www.w3.org/2001/XMLSchema" xmlns:p="http://schemas.microsoft.com/office/2006/metadata/properties" xmlns:ns2="290d5b49-c690-4c6f-bbb9-1e50dab33eee" targetNamespace="http://schemas.microsoft.com/office/2006/metadata/properties" ma:root="true" ma:fieldsID="a6db6e33f8462d87724f237088727803"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AFE3-9455-419C-8851-785A55F44517}">
  <ds:schemaRef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purl.org/dc/dcmitype/"/>
    <ds:schemaRef ds:uri="http://schemas.microsoft.com/office/infopath/2007/PartnerControls"/>
    <ds:schemaRef ds:uri="290d5b49-c690-4c6f-bbb9-1e50dab33eee"/>
    <ds:schemaRef ds:uri="http://purl.org/dc/terms/"/>
    <ds:schemaRef ds:uri="http://www.w3.org/XML/1998/namespace"/>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564DA1CD-5EFC-4147-AC93-03E8719EB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604BBC-6715-4F8C-BE6A-B8714F657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654</Words>
  <Characters>3728</Characters>
  <Application>Microsoft Office Word</Application>
  <DocSecurity>0</DocSecurity>
  <Lines>31</Lines>
  <Paragraphs>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4374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8</cp:revision>
  <cp:lastPrinted>2013-07-04T08:25:00Z</cp:lastPrinted>
  <dcterms:created xsi:type="dcterms:W3CDTF">2015-04-20T09:58:00Z</dcterms:created>
  <dcterms:modified xsi:type="dcterms:W3CDTF">2023-03-22T07:55:00Z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0x01010054E21C28B32ECF49ADBB6A5BBBCCB3CD</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2203285</vt:r8>
  </property>
</Properties>
</file>