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2203085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1E5E17D2" w:rsidR="00E13C27" w:rsidRPr="00CF1AA2" w:rsidRDefault="008F6665" w:rsidP="005100C9">
      <w:pPr>
        <w:pStyle w:val="David"/>
        <w:spacing w:before="102"/>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פנינה תמנו</w:t>
      </w:r>
      <w:r>
        <w:br/>
      </w:r>
      <w:r>
        <w:rPr>
          <w:rFonts w:hint="cs"/>
          <w:b/>
          <w:bCs/>
          <w:rtl/>
        </w:rPr>
        <w:t xml:space="preserve"> </w:t>
      </w:r>
      <w:r>
        <w:tab/>
      </w:r>
      <w:r>
        <w:tab/>
      </w:r>
      <w:r>
        <w:tab/>
      </w:r>
      <w:r>
        <w:tab/>
      </w:r>
      <w:r>
        <w:rPr>
          <w:rFonts w:hint="cs"/>
          <w:b/>
          <w:bCs/>
          <w:rtl/>
        </w:rPr>
        <w:t>אליהו רביבו</w:t>
      </w:r>
      <w:r>
        <w:br/>
      </w:r>
      <w:r>
        <w:rPr>
          <w:rFonts w:hint="cs"/>
          <w:b/>
          <w:bCs/>
          <w:rtl/>
        </w:rPr>
        <w:t xml:space="preserve"> </w:t>
      </w:r>
      <w:r>
        <w:tab/>
      </w:r>
      <w:r>
        <w:tab/>
      </w:r>
      <w:r>
        <w:tab/>
      </w:r>
      <w:r>
        <w:tab/>
      </w:r>
      <w:r>
        <w:rPr>
          <w:rFonts w:hint="cs"/>
          <w:b/>
          <w:bCs/>
          <w:rtl/>
        </w:rPr>
        <w:t>אלי דלל</w:t>
      </w:r>
      <w:r>
        <w:br/>
      </w:r>
      <w:r>
        <w:rPr>
          <w:rFonts w:hint="cs"/>
          <w:b/>
          <w:bCs/>
          <w:rtl/>
        </w:rPr>
        <w:t xml:space="preserve"> </w:t>
      </w:r>
      <w:r>
        <w:tab/>
      </w:r>
      <w:r>
        <w:tab/>
      </w:r>
      <w:r>
        <w:tab/>
      </w:r>
      <w:r>
        <w:tab/>
      </w:r>
      <w:r>
        <w:rPr>
          <w:rFonts w:hint="cs"/>
          <w:b/>
          <w:bCs/>
          <w:rtl/>
        </w:rPr>
        <w:t>משה סולומון</w:t>
      </w:r>
      <w:r>
        <w:br/>
      </w:r>
      <w:r>
        <w:rPr>
          <w:rFonts w:hint="cs"/>
          <w:b/>
          <w:bCs/>
          <w:rtl/>
        </w:rPr>
        <w:t xml:space="preserve"> </w:t>
      </w:r>
      <w:r>
        <w:tab/>
      </w:r>
      <w:r>
        <w:tab/>
      </w:r>
      <w:r>
        <w:tab/>
      </w:r>
      <w:r>
        <w:tab/>
      </w:r>
      <w:r>
        <w:rPr>
          <w:rFonts w:hint="cs"/>
          <w:b/>
          <w:bCs/>
          <w:rtl/>
        </w:rPr>
        <w:t>קטי קטרין שטרית</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A33BF8B"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5100C9">
        <w:rPr>
          <w:rtl/>
        </w:rPr>
        <w:tab/>
      </w:r>
      <w:r>
        <w:rPr>
          <w:rFonts w:hint="cs"/>
          <w:rtl/>
        </w:rPr>
        <w:t>פ/2883/25</w:t>
      </w:r>
      <w:bookmarkEnd w:id="6"/>
    </w:p>
    <w:p w14:paraId="7F6961AC" w14:textId="77777777" w:rsidR="00E13C27" w:rsidRDefault="00E13C27" w:rsidP="00E13C27">
      <w:pPr>
        <w:ind w:left="2880" w:firstLine="720"/>
        <w:rPr>
          <w:sz w:val="26"/>
          <w:szCs w:val="26"/>
          <w:rtl/>
        </w:rPr>
      </w:pPr>
    </w:p>
    <w:p w14:paraId="6EC37704" w14:textId="768719E6" w:rsidR="0051647E" w:rsidRPr="00F67051" w:rsidRDefault="00A443CF" w:rsidP="005100C9">
      <w:pPr>
        <w:pStyle w:val="HeadHatzaotHok"/>
        <w:rPr>
          <w:rtl/>
        </w:rPr>
      </w:pPr>
      <w:bookmarkStart w:id="7" w:name="LGS_Subject"/>
      <w:r>
        <w:rPr>
          <w:rFonts w:hint="cs"/>
          <w:rtl/>
        </w:rPr>
        <w:t>הצעת חוק יחסי ממון בין בני זוג (תיקון – הפקעת זכות האיזון מבן זוג שהורשע ברצח בן הזוג השני), התשפ"ג–2023</w:t>
      </w:r>
      <w:bookmarkStart w:id="8" w:name="_GoBack"/>
      <w:bookmarkEnd w:id="7"/>
      <w:bookmarkEnd w:id="8"/>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51647E" w:rsidRPr="00271709" w14:paraId="5C023537" w14:textId="77777777" w:rsidTr="005100C9">
        <w:trPr>
          <w:cantSplit/>
        </w:trPr>
        <w:tc>
          <w:tcPr>
            <w:tcW w:w="1871" w:type="dxa"/>
          </w:tcPr>
          <w:p w14:paraId="5BB9C020" w14:textId="77777777" w:rsidR="0051647E" w:rsidRPr="008D0CD4" w:rsidRDefault="0051647E" w:rsidP="00BB6D5C">
            <w:pPr>
              <w:pStyle w:val="TableSideHeading"/>
              <w:keepLines w:val="0"/>
            </w:pPr>
            <w:r w:rsidRPr="008D0CD4">
              <w:rPr>
                <w:rFonts w:hint="cs"/>
                <w:rtl/>
              </w:rPr>
              <w:t xml:space="preserve">תיקון סעיף 5        </w:t>
            </w:r>
            <w:r w:rsidRPr="008D0CD4">
              <w:rPr>
                <w:rtl/>
              </w:rPr>
              <w:t xml:space="preserve"> </w:t>
            </w:r>
            <w:r w:rsidRPr="008D0CD4">
              <w:rPr>
                <w:rFonts w:hint="cs"/>
                <w:rtl/>
              </w:rPr>
              <w:t xml:space="preserve">             </w:t>
            </w:r>
          </w:p>
        </w:tc>
        <w:tc>
          <w:tcPr>
            <w:tcW w:w="624" w:type="dxa"/>
          </w:tcPr>
          <w:p w14:paraId="000C6638" w14:textId="77777777" w:rsidR="0051647E" w:rsidRPr="008D0CD4" w:rsidRDefault="0051647E" w:rsidP="00BB6D5C">
            <w:pPr>
              <w:pStyle w:val="TableText"/>
              <w:keepLines w:val="0"/>
            </w:pPr>
            <w:r w:rsidRPr="008D0CD4">
              <w:rPr>
                <w:rFonts w:hint="cs"/>
                <w:rtl/>
              </w:rPr>
              <w:t>1.</w:t>
            </w:r>
          </w:p>
        </w:tc>
        <w:tc>
          <w:tcPr>
            <w:tcW w:w="7143" w:type="dxa"/>
          </w:tcPr>
          <w:p w14:paraId="76BA169B" w14:textId="77777777" w:rsidR="0051647E" w:rsidRPr="009A66BD" w:rsidRDefault="0051647E" w:rsidP="005100C9">
            <w:pPr>
              <w:pStyle w:val="TableBlock"/>
            </w:pPr>
            <w:r w:rsidRPr="009A66BD">
              <w:rPr>
                <w:rtl/>
              </w:rPr>
              <w:t xml:space="preserve">בחוק </w:t>
            </w:r>
            <w:r w:rsidRPr="009A66BD">
              <w:rPr>
                <w:rFonts w:hint="cs"/>
                <w:rtl/>
              </w:rPr>
              <w:t>יחסי ממון בין בני זוג</w:t>
            </w:r>
            <w:r w:rsidRPr="009A66BD">
              <w:rPr>
                <w:rtl/>
              </w:rPr>
              <w:t xml:space="preserve">, </w:t>
            </w:r>
            <w:r w:rsidRPr="009A66BD">
              <w:rPr>
                <w:rFonts w:hint="cs"/>
                <w:rtl/>
              </w:rPr>
              <w:t>התשל"ג</w:t>
            </w:r>
            <w:r w:rsidRPr="009A66BD">
              <w:rPr>
                <w:rFonts w:hint="eastAsia"/>
                <w:rtl/>
              </w:rPr>
              <w:t>–</w:t>
            </w:r>
            <w:r w:rsidRPr="009A66BD">
              <w:rPr>
                <w:rFonts w:hint="cs"/>
                <w:rtl/>
              </w:rPr>
              <w:t>1973</w:t>
            </w:r>
            <w:r w:rsidRPr="005100C9">
              <w:rPr>
                <w:rFonts w:ascii="David" w:hAnsi="David"/>
                <w:sz w:val="26"/>
                <w:vertAlign w:val="superscript"/>
                <w:rtl/>
              </w:rPr>
              <w:footnoteReference w:id="2"/>
            </w:r>
            <w:r w:rsidRPr="009A66BD">
              <w:rPr>
                <w:rFonts w:hint="cs"/>
                <w:rtl/>
              </w:rPr>
              <w:t>, ב</w:t>
            </w:r>
            <w:r w:rsidRPr="009A66BD">
              <w:rPr>
                <w:rtl/>
              </w:rPr>
              <w:t xml:space="preserve">סעיף </w:t>
            </w:r>
            <w:r w:rsidRPr="009A66BD">
              <w:rPr>
                <w:rFonts w:hint="cs"/>
                <w:rtl/>
              </w:rPr>
              <w:t xml:space="preserve">5(א), </w:t>
            </w:r>
            <w:r>
              <w:rPr>
                <w:rFonts w:hint="cs"/>
                <w:rtl/>
              </w:rPr>
              <w:t>בסופו</w:t>
            </w:r>
            <w:r w:rsidRPr="009A66BD">
              <w:rPr>
                <w:rtl/>
              </w:rPr>
              <w:t xml:space="preserve"> יבוא</w:t>
            </w:r>
            <w:r w:rsidRPr="009A66BD">
              <w:rPr>
                <w:rFonts w:hint="cs"/>
                <w:rtl/>
              </w:rPr>
              <w:t>:</w:t>
            </w:r>
            <w:r w:rsidRPr="009A66BD">
              <w:rPr>
                <w:rtl/>
              </w:rPr>
              <w:t xml:space="preserve"> </w:t>
            </w:r>
            <w:r w:rsidRPr="009A66BD">
              <w:t xml:space="preserve">  </w:t>
            </w:r>
            <w:r w:rsidRPr="009A66BD">
              <w:rPr>
                <w:rFonts w:hint="cs"/>
                <w:rtl/>
              </w:rPr>
              <w:t xml:space="preserve">  </w:t>
            </w:r>
          </w:p>
        </w:tc>
      </w:tr>
      <w:tr w:rsidR="0051647E" w:rsidRPr="00271709" w14:paraId="74A97797" w14:textId="77777777" w:rsidTr="005100C9">
        <w:trPr>
          <w:cantSplit/>
        </w:trPr>
        <w:tc>
          <w:tcPr>
            <w:tcW w:w="1871" w:type="dxa"/>
          </w:tcPr>
          <w:p w14:paraId="5BC05EAA" w14:textId="77777777" w:rsidR="0051647E" w:rsidRPr="008D0CD4" w:rsidRDefault="0051647E" w:rsidP="00BB6D5C">
            <w:pPr>
              <w:pStyle w:val="TableSideHeading"/>
              <w:keepLines w:val="0"/>
              <w:rPr>
                <w:rtl/>
              </w:rPr>
            </w:pPr>
          </w:p>
        </w:tc>
        <w:tc>
          <w:tcPr>
            <w:tcW w:w="624" w:type="dxa"/>
          </w:tcPr>
          <w:p w14:paraId="7DFC77DF" w14:textId="77777777" w:rsidR="0051647E" w:rsidRPr="008D0CD4" w:rsidRDefault="0051647E" w:rsidP="00BB6D5C">
            <w:pPr>
              <w:pStyle w:val="TableText"/>
              <w:keepLines w:val="0"/>
            </w:pPr>
          </w:p>
        </w:tc>
        <w:tc>
          <w:tcPr>
            <w:tcW w:w="7143" w:type="dxa"/>
          </w:tcPr>
          <w:p w14:paraId="598F973A" w14:textId="77777777" w:rsidR="0051647E" w:rsidRPr="00E97533" w:rsidRDefault="0051647E" w:rsidP="005100C9">
            <w:pPr>
              <w:pStyle w:val="TableBlock"/>
              <w:tabs>
                <w:tab w:val="left" w:pos="624"/>
                <w:tab w:val="left" w:pos="1247"/>
              </w:tabs>
              <w:rPr>
                <w:rtl/>
              </w:rPr>
            </w:pPr>
            <w:r>
              <w:rPr>
                <w:rFonts w:hint="cs"/>
                <w:rtl/>
              </w:rPr>
              <w:t>"(4)</w:t>
            </w:r>
            <w:r>
              <w:rPr>
                <w:rFonts w:hint="cs"/>
                <w:rtl/>
              </w:rPr>
              <w:tab/>
              <w:t>דירה משותפת של בני הזוג, אם אחד מבני הזוג הורשע ברצח בן זוגו לפי סעיפים 300 ו-301א לחוק העונשין, התשל"ז–1977</w:t>
            </w:r>
            <w:r w:rsidRPr="005100C9">
              <w:rPr>
                <w:rStyle w:val="a6"/>
                <w:rFonts w:ascii="David" w:hAnsi="David"/>
                <w:sz w:val="26"/>
                <w:rtl/>
              </w:rPr>
              <w:footnoteReference w:id="3"/>
            </w:r>
            <w:r>
              <w:rPr>
                <w:rFonts w:hint="cs"/>
                <w:rtl/>
              </w:rPr>
              <w:t>; בנסיבות כאמור, חלקו של בן הזוג הרוצח יצורף לחלקם של יורשי בן הזוג הנרצח.".</w:t>
            </w:r>
            <w:r>
              <w:rPr>
                <w:rtl/>
              </w:rPr>
              <w:t xml:space="preserve"> </w:t>
            </w:r>
            <w:r w:rsidRPr="00E97533">
              <w:rPr>
                <w:rtl/>
              </w:rPr>
              <w:t xml:space="preserve"> </w:t>
            </w:r>
          </w:p>
        </w:tc>
      </w:tr>
    </w:tbl>
    <w:p w14:paraId="245DCECC" w14:textId="77777777" w:rsidR="0051647E" w:rsidRDefault="0051647E" w:rsidP="0051647E">
      <w:pPr>
        <w:pStyle w:val="HeadDivreiHesber"/>
        <w:rPr>
          <w:rtl/>
        </w:rPr>
      </w:pPr>
      <w:r w:rsidRPr="0027450A">
        <w:rPr>
          <w:rFonts w:hint="cs"/>
          <w:rtl/>
        </w:rPr>
        <w:t>דברי הסבר</w:t>
      </w:r>
    </w:p>
    <w:p w14:paraId="3DD33429" w14:textId="77777777" w:rsidR="0051647E" w:rsidRPr="000835DE" w:rsidRDefault="0051647E" w:rsidP="000835DE">
      <w:pPr>
        <w:pStyle w:val="Hesber"/>
      </w:pPr>
      <w:r w:rsidRPr="000835DE">
        <w:rPr>
          <w:rFonts w:hint="cs"/>
          <w:rtl/>
        </w:rPr>
        <w:t xml:space="preserve">הצעת חוק זו נועדה לשנות את המצב החוקי הקיים, לפיו במקרה של מוות של אחד מבני הזוג, הרכוש המשותף יתחלק בין בן הזוג שנותר בחיים לבין יורשיו של הנפטר. מוצע לקבוע כי במקרה של הרשעת אחד מבני הזוג ברצח לפי סעיף 300 לחוק העונשין, התשל"ז–1977 של בן הזוג השני, או רצח בנסיבות מחמירות (לפי סעיף 301א), יופקעו זכויותיו של בן הזוג הרוצח ביחס לדירתם המשותפת של בני הזוג. במקרה כזה, חלקו של הרוצח בדירה המשותפת יעבור ליורשיו של הנרצח.  </w:t>
      </w:r>
    </w:p>
    <w:p w14:paraId="6A84F0BE" w14:textId="77777777" w:rsidR="0051647E" w:rsidRPr="000835DE" w:rsidRDefault="0051647E" w:rsidP="000835DE">
      <w:pPr>
        <w:pStyle w:val="Hesber"/>
        <w:rPr>
          <w:rtl/>
        </w:rPr>
      </w:pPr>
      <w:r w:rsidRPr="000835DE">
        <w:rPr>
          <w:rFonts w:hint="cs"/>
          <w:rtl/>
        </w:rPr>
        <w:t>תכליתה של הצעת חוק זו היא להגן על יורשיו של הנרצח, אשר לרוב יהיו ילדיו או הוריו, ולחסוך מהם את הצורך בעימות משפטי מול רוצח יקירם על הדירה המשותפת של בני הזוג.</w:t>
      </w:r>
    </w:p>
    <w:p w14:paraId="09149FCA" w14:textId="77777777" w:rsidR="0051647E" w:rsidRPr="000835DE" w:rsidRDefault="0051647E" w:rsidP="000835DE">
      <w:pPr>
        <w:pStyle w:val="Hesber"/>
        <w:rPr>
          <w:rtl/>
        </w:rPr>
      </w:pPr>
      <w:r w:rsidRPr="000835DE">
        <w:rPr>
          <w:rFonts w:hint="cs"/>
          <w:rtl/>
        </w:rPr>
        <w:t xml:space="preserve">לעיתים קרובות מדובר בילדים אשר נותרו יתומים בנסיבות מורכבות וקשות ביותר, והמעט שיש בידי המחוקק לעשות כדי להיטיב עם אלו שנותרו מאחור לאחר טרגדיה משפחתית ואישית שכזו, היא לשמור על דירתם המשותפת של בני הזוג בידי יורשי הנרצח.  </w:t>
      </w:r>
    </w:p>
    <w:p w14:paraId="7742B809" w14:textId="77777777" w:rsidR="0051647E" w:rsidRPr="000835DE" w:rsidRDefault="0051647E" w:rsidP="000835DE">
      <w:pPr>
        <w:pStyle w:val="Hesber"/>
        <w:rPr>
          <w:rtl/>
        </w:rPr>
      </w:pPr>
      <w:r w:rsidRPr="000835DE">
        <w:rPr>
          <w:rFonts w:hint="cs"/>
          <w:rtl/>
        </w:rPr>
        <w:t xml:space="preserve">הצעת החוק אינה כוללת מקרים אחרים של המתה ובכלל זה, המתה כשהנאשם היה נתון במצב של מצוקה נפשית קשה, עקב התעללות חמורה ומתמשכת בו או בבן משפחתו, בידי מי שהנאשם גרם למותו. </w:t>
      </w:r>
      <w:r w:rsidRPr="000835DE">
        <w:rPr>
          <w:rFonts w:hint="cs"/>
          <w:rtl/>
        </w:rPr>
        <w:lastRenderedPageBreak/>
        <w:t xml:space="preserve">בהתאם לכך, במקרה ואישה ממיתה את בעלה לאחר התעללות מתמשכת מצידו, היא לא תאבד את זכויותיה בדירה המשותפת.  </w:t>
      </w:r>
    </w:p>
    <w:p w14:paraId="51D38E36" w14:textId="650BFED5" w:rsidR="000835DE" w:rsidRPr="000835DE" w:rsidRDefault="005100C9" w:rsidP="000835DE">
      <w:pPr>
        <w:pStyle w:val="Hesber"/>
        <w:rPr>
          <w:rtl/>
        </w:rPr>
      </w:pPr>
      <w:r>
        <w:rPr>
          <w:rFonts w:hint="cs"/>
          <w:rtl/>
        </w:rPr>
        <w:t xml:space="preserve">הצעת חוק זהה הונחה </w:t>
      </w:r>
      <w:r w:rsidR="000835DE" w:rsidRPr="000835DE">
        <w:rPr>
          <w:rFonts w:hint="cs"/>
          <w:rtl/>
        </w:rPr>
        <w:t>על שולחן הכנסת העשרים וחמש על ידי חברת הכנסת עאידה תומא סלימאן (פ/358/25)</w:t>
      </w:r>
      <w:r w:rsidR="000835DE">
        <w:rPr>
          <w:rFonts w:hint="cs"/>
          <w:rtl/>
        </w:rPr>
        <w:t>.</w:t>
      </w:r>
    </w:p>
    <w:p w14:paraId="760A1779" w14:textId="77777777" w:rsidR="005100C9" w:rsidRDefault="005100C9" w:rsidP="005F56A4">
      <w:pPr>
        <w:pStyle w:val="Hesber"/>
        <w:rPr>
          <w:rFonts w:hint="cs"/>
          <w:rtl/>
        </w:rPr>
      </w:pPr>
      <w:r w:rsidRPr="000835DE">
        <w:rPr>
          <w:rFonts w:hint="cs"/>
          <w:rtl/>
        </w:rPr>
        <w:t xml:space="preserve">הצעת חוק בנוסח זהה הונחה לקריאה הראשונה על שולחן הכנסת העשרים וארבע (הצעות חוק הכנסת </w:t>
      </w:r>
      <w:r w:rsidRPr="000835DE">
        <w:rPr>
          <w:rtl/>
        </w:rPr>
        <w:t>–</w:t>
      </w:r>
      <w:r>
        <w:rPr>
          <w:rFonts w:hint="cs"/>
          <w:rtl/>
        </w:rPr>
        <w:t xml:space="preserve"> 935).</w:t>
      </w:r>
    </w:p>
    <w:p w14:paraId="3B086043" w14:textId="33AC5A1F" w:rsidR="0051647E" w:rsidRDefault="0051647E" w:rsidP="005F56A4">
      <w:pPr>
        <w:pStyle w:val="Hesber"/>
        <w:rPr>
          <w:rtl/>
        </w:rPr>
      </w:pPr>
      <w:r w:rsidRPr="000835DE">
        <w:rPr>
          <w:rFonts w:hint="cs"/>
          <w:rtl/>
        </w:rPr>
        <w:t>הצעות חוק דומות בעיקרן הונחו על שולחן הכנסת העשרים וארבע על יד</w:t>
      </w:r>
      <w:r w:rsidR="00E20A0A">
        <w:rPr>
          <w:rFonts w:hint="cs"/>
          <w:rtl/>
        </w:rPr>
        <w:t xml:space="preserve">י חברת הכנסת קרן ברק וקבוצת חברי הכנסת </w:t>
      </w:r>
      <w:r w:rsidR="000835DE" w:rsidRPr="000835DE">
        <w:rPr>
          <w:rFonts w:hint="cs"/>
          <w:rtl/>
        </w:rPr>
        <w:t>(פ/718/24) ועל שולחן הכנסת העשרים וחמש על ידי חברת הכנסת אימאן ח'טיב יאסין וקבוצת חברי הכנסת (פ/1208/25).</w:t>
      </w:r>
      <w:r w:rsidRPr="000835DE">
        <w:rPr>
          <w:rFonts w:hint="cs"/>
          <w:rtl/>
        </w:rPr>
        <w:t xml:space="preserve"> </w:t>
      </w:r>
    </w:p>
    <w:p w14:paraId="084CD923" w14:textId="44BC95B1" w:rsidR="000835DE" w:rsidRPr="000835DE" w:rsidRDefault="000835DE" w:rsidP="000835DE">
      <w:pPr>
        <w:pStyle w:val="Hesber"/>
      </w:pPr>
      <w:r>
        <w:rPr>
          <w:rFonts w:hint="cs"/>
          <w:rtl/>
        </w:rPr>
        <w:t>הצעת החוק זהה לפ/358/25 ולפיכך לא נבדקה מחדש על ידי הלשכה המשפטית של הכנסת.</w:t>
      </w:r>
    </w:p>
    <w:p w14:paraId="4B61AC6D" w14:textId="77777777" w:rsidR="0051647E" w:rsidRPr="00E97533" w:rsidRDefault="0051647E" w:rsidP="0051647E">
      <w:pPr>
        <w:pStyle w:val="HeadDivreiHesber"/>
        <w:spacing w:before="0" w:after="0"/>
        <w:rPr>
          <w:rtl/>
        </w:rPr>
      </w:pPr>
    </w:p>
    <w:p w14:paraId="6A8E6BA6" w14:textId="77777777" w:rsidR="0051647E" w:rsidRDefault="0051647E" w:rsidP="0051647E">
      <w:pPr>
        <w:spacing w:line="276" w:lineRule="auto"/>
        <w:jc w:val="left"/>
      </w:pPr>
    </w:p>
    <w:p w14:paraId="7A163A05" w14:textId="77777777" w:rsidR="0051647E" w:rsidRPr="00F67051" w:rsidRDefault="0051647E" w:rsidP="0021633A">
      <w:pPr>
        <w:pStyle w:val="HeadHatzaotHok"/>
        <w:rPr>
          <w:rtl/>
        </w:rPr>
      </w:pPr>
    </w:p>
    <w:p w14:paraId="24D0DD72" w14:textId="77777777" w:rsidR="00CF4CF8" w:rsidRDefault="005100C9">
      <w:pPr>
        <w:jc w:val="left"/>
      </w:pPr>
      <w:bookmarkStart w:id="9" w:name="selectedDocDateB"/>
      <w:bookmarkEnd w:id="9"/>
      <w:r>
        <w:rPr>
          <w:rFonts w:eastAsia="David" w:hint="cs"/>
          <w:sz w:val="26"/>
          <w:szCs w:val="26"/>
          <w:rtl/>
        </w:rPr>
        <w:t>------------------------------</w:t>
      </w:r>
      <w:r>
        <w:rPr>
          <w:rFonts w:eastAsia="David" w:hint="cs"/>
          <w:sz w:val="26"/>
          <w:szCs w:val="26"/>
          <w:rtl/>
        </w:rPr>
        <w:t>--</w:t>
      </w:r>
    </w:p>
    <w:p w14:paraId="7BCC2B36" w14:textId="77777777" w:rsidR="00CF4CF8" w:rsidRDefault="005100C9">
      <w:pPr>
        <w:jc w:val="left"/>
      </w:pPr>
      <w:r>
        <w:rPr>
          <w:rFonts w:eastAsia="David" w:hint="cs"/>
          <w:sz w:val="26"/>
          <w:szCs w:val="26"/>
          <w:rtl/>
        </w:rPr>
        <w:t>הוגשה ליו"ר הכנסת והסגנים</w:t>
      </w:r>
    </w:p>
    <w:p w14:paraId="62A2BDC9" w14:textId="77777777" w:rsidR="00CF4CF8" w:rsidRDefault="005100C9">
      <w:pPr>
        <w:jc w:val="left"/>
      </w:pPr>
      <w:r>
        <w:rPr>
          <w:rFonts w:eastAsia="David" w:hint="cs"/>
          <w:sz w:val="26"/>
          <w:szCs w:val="26"/>
          <w:rtl/>
        </w:rPr>
        <w:t>והונחה על שולחן הכנסת ביום</w:t>
      </w:r>
    </w:p>
    <w:p w14:paraId="1857BBF0" w14:textId="77777777" w:rsidR="00CF4CF8" w:rsidRDefault="005100C9">
      <w:pPr>
        <w:jc w:val="left"/>
      </w:pPr>
      <w:r>
        <w:rPr>
          <w:rFonts w:eastAsia="David" w:hint="cs"/>
          <w:sz w:val="26"/>
          <w:szCs w:val="26"/>
          <w:rtl/>
        </w:rPr>
        <w:t xml:space="preserve">כ"ז באדר התשפ"ג (20.03.2023) </w:t>
      </w:r>
    </w:p>
    <w:p w14:paraId="0E4915AA" w14:textId="77777777" w:rsidR="00CF4CF8" w:rsidRDefault="00CF4CF8">
      <w:pPr>
        <w:spacing w:line="276" w:lineRule="auto"/>
        <w:jc w:val="left"/>
      </w:pPr>
    </w:p>
    <w:sectPr w:rsidR="00CF4CF8" w:rsidSect="005100C9">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9DC787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100C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5100C9">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4C4B038" w14:textId="77777777" w:rsidR="0051647E" w:rsidRDefault="0051647E" w:rsidP="0051647E">
      <w:pPr>
        <w:pStyle w:val="a4"/>
      </w:pPr>
      <w:r>
        <w:rPr>
          <w:rStyle w:val="a6"/>
        </w:rPr>
        <w:footnoteRef/>
      </w:r>
      <w:r>
        <w:rPr>
          <w:rtl/>
        </w:rPr>
        <w:t xml:space="preserve"> </w:t>
      </w:r>
      <w:r>
        <w:rPr>
          <w:rFonts w:hint="cs"/>
          <w:rtl/>
        </w:rPr>
        <w:t>ס"ח התשל"ג, עמ' 267.</w:t>
      </w:r>
    </w:p>
  </w:footnote>
  <w:footnote w:id="3">
    <w:p w14:paraId="38A94A48" w14:textId="77777777" w:rsidR="0051647E" w:rsidRDefault="0051647E" w:rsidP="0051647E">
      <w:pPr>
        <w:pStyle w:val="a4"/>
        <w:rPr>
          <w:rtl/>
        </w:rPr>
      </w:pPr>
      <w:r>
        <w:rPr>
          <w:rStyle w:val="a6"/>
        </w:rPr>
        <w:footnoteRef/>
      </w:r>
      <w:r>
        <w:rPr>
          <w:rFonts w:hint="cs"/>
          <w:rtl/>
        </w:rPr>
        <w:t xml:space="preserve"> ס"ח התשל"ז, עמ' 226.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35DE"/>
    <w:rsid w:val="000A542E"/>
    <w:rsid w:val="00102B6B"/>
    <w:rsid w:val="001052D4"/>
    <w:rsid w:val="0010644B"/>
    <w:rsid w:val="001207F8"/>
    <w:rsid w:val="00121924"/>
    <w:rsid w:val="001279A8"/>
    <w:rsid w:val="0014195F"/>
    <w:rsid w:val="00152609"/>
    <w:rsid w:val="00153E1B"/>
    <w:rsid w:val="00157505"/>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C59FC"/>
    <w:rsid w:val="004D2D82"/>
    <w:rsid w:val="004D3876"/>
    <w:rsid w:val="004E4552"/>
    <w:rsid w:val="004E6CDF"/>
    <w:rsid w:val="005100C9"/>
    <w:rsid w:val="0051647E"/>
    <w:rsid w:val="00553C9D"/>
    <w:rsid w:val="00562A66"/>
    <w:rsid w:val="005B064E"/>
    <w:rsid w:val="005D51AE"/>
    <w:rsid w:val="005F56A4"/>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E36B8"/>
    <w:rsid w:val="00CF1AA2"/>
    <w:rsid w:val="00CF4CF8"/>
    <w:rsid w:val="00D142D3"/>
    <w:rsid w:val="00D17774"/>
    <w:rsid w:val="00D63620"/>
    <w:rsid w:val="00D74C25"/>
    <w:rsid w:val="00D8410D"/>
    <w:rsid w:val="00D867D7"/>
    <w:rsid w:val="00DB7060"/>
    <w:rsid w:val="00DE3153"/>
    <w:rsid w:val="00E06736"/>
    <w:rsid w:val="00E13C27"/>
    <w:rsid w:val="00E20A0A"/>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2C40591-8A17-4C45-A844-AA001BEF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0C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100C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100C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100C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100C9"/>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100C9"/>
    <w:pPr>
      <w:spacing w:line="259" w:lineRule="auto"/>
      <w:outlineLvl w:val="4"/>
    </w:pPr>
    <w:rPr>
      <w:color w:val="000000" w:themeColor="text1"/>
    </w:rPr>
  </w:style>
  <w:style w:type="character" w:default="1" w:styleId="a0">
    <w:name w:val="Default Paragraph Font"/>
    <w:uiPriority w:val="1"/>
    <w:semiHidden/>
    <w:unhideWhenUsed/>
    <w:rsid w:val="005100C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100C9"/>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100C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100C9"/>
    <w:rPr>
      <w:sz w:val="36"/>
      <w:szCs w:val="52"/>
    </w:rPr>
  </w:style>
  <w:style w:type="paragraph" w:customStyle="1" w:styleId="Cover3-Haknesset">
    <w:name w:val="Cover 3-Haknesset"/>
    <w:basedOn w:val="Cover1-Reshumot"/>
    <w:rsid w:val="005100C9"/>
    <w:rPr>
      <w:b/>
      <w:bCs/>
      <w:spacing w:val="60"/>
    </w:rPr>
  </w:style>
  <w:style w:type="paragraph" w:customStyle="1" w:styleId="Cover4-Date">
    <w:name w:val="Cover 4-Date"/>
    <w:basedOn w:val="a"/>
    <w:rsid w:val="005100C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100C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100C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100C9"/>
    <w:pPr>
      <w:spacing w:before="120" w:after="120"/>
    </w:pPr>
    <w:rPr>
      <w:color w:val="FF0000"/>
      <w:w w:val="80"/>
    </w:rPr>
  </w:style>
  <w:style w:type="paragraph" w:styleId="a3">
    <w:name w:val="endnote text"/>
    <w:basedOn w:val="a"/>
    <w:semiHidden/>
    <w:rsid w:val="005100C9"/>
    <w:pPr>
      <w:ind w:left="227" w:hanging="227"/>
    </w:pPr>
    <w:rPr>
      <w:sz w:val="14"/>
      <w:szCs w:val="22"/>
    </w:rPr>
  </w:style>
  <w:style w:type="paragraph" w:customStyle="1" w:styleId="TableText">
    <w:name w:val="Table Text"/>
    <w:basedOn w:val="a"/>
    <w:rsid w:val="005100C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100C9"/>
    <w:pPr>
      <w:outlineLvl w:val="2"/>
    </w:pPr>
  </w:style>
  <w:style w:type="paragraph" w:customStyle="1" w:styleId="TableBlock">
    <w:name w:val="Table Block"/>
    <w:basedOn w:val="TableText"/>
    <w:rsid w:val="005100C9"/>
    <w:pPr>
      <w:jc w:val="both"/>
    </w:pPr>
  </w:style>
  <w:style w:type="paragraph" w:customStyle="1" w:styleId="TableHead">
    <w:name w:val="Table Head"/>
    <w:basedOn w:val="TableText"/>
    <w:rsid w:val="005100C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100C9"/>
    <w:pPr>
      <w:outlineLvl w:val="9"/>
    </w:pPr>
  </w:style>
  <w:style w:type="paragraph" w:customStyle="1" w:styleId="Hesber">
    <w:name w:val="Hesber"/>
    <w:basedOn w:val="a"/>
    <w:rsid w:val="005100C9"/>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5100C9"/>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5100C9"/>
    <w:rPr>
      <w:vertAlign w:val="superscript"/>
    </w:rPr>
  </w:style>
  <w:style w:type="paragraph" w:customStyle="1" w:styleId="HesberHeading">
    <w:name w:val="Hesber Heading"/>
    <w:basedOn w:val="Hesber"/>
    <w:rsid w:val="005100C9"/>
    <w:pPr>
      <w:tabs>
        <w:tab w:val="left" w:pos="624"/>
        <w:tab w:val="left" w:pos="1247"/>
      </w:tabs>
    </w:pPr>
    <w:rPr>
      <w:b/>
      <w:bCs/>
    </w:rPr>
  </w:style>
  <w:style w:type="paragraph" w:customStyle="1" w:styleId="HesberWriters">
    <w:name w:val="Hesber Writers"/>
    <w:basedOn w:val="Hesber"/>
    <w:rsid w:val="005100C9"/>
    <w:pPr>
      <w:spacing w:before="120" w:after="120"/>
      <w:ind w:left="1418"/>
      <w:jc w:val="right"/>
    </w:pPr>
    <w:rPr>
      <w:b/>
      <w:bCs/>
    </w:rPr>
  </w:style>
  <w:style w:type="paragraph" w:customStyle="1" w:styleId="Hesber1st">
    <w:name w:val="Hesber 1st"/>
    <w:basedOn w:val="Hesber"/>
    <w:rsid w:val="005100C9"/>
    <w:pPr>
      <w:tabs>
        <w:tab w:val="left" w:pos="680"/>
        <w:tab w:val="left" w:pos="1020"/>
      </w:tabs>
      <w:ind w:firstLine="0"/>
    </w:pPr>
  </w:style>
  <w:style w:type="character" w:styleId="a7">
    <w:name w:val="endnote reference"/>
    <w:basedOn w:val="a0"/>
    <w:semiHidden/>
    <w:rsid w:val="005100C9"/>
    <w:rPr>
      <w:vertAlign w:val="superscript"/>
    </w:rPr>
  </w:style>
  <w:style w:type="paragraph" w:customStyle="1" w:styleId="TableBlockOutdent">
    <w:name w:val="Table BlockOutdent"/>
    <w:basedOn w:val="TableBlock"/>
    <w:rsid w:val="005100C9"/>
    <w:pPr>
      <w:ind w:left="624" w:hanging="624"/>
    </w:pPr>
  </w:style>
  <w:style w:type="paragraph" w:styleId="a8">
    <w:name w:val="header"/>
    <w:basedOn w:val="a"/>
    <w:rsid w:val="005100C9"/>
    <w:pPr>
      <w:tabs>
        <w:tab w:val="center" w:pos="4153"/>
        <w:tab w:val="right" w:pos="8306"/>
      </w:tabs>
    </w:pPr>
  </w:style>
  <w:style w:type="paragraph" w:styleId="a9">
    <w:name w:val="footer"/>
    <w:basedOn w:val="a"/>
    <w:rsid w:val="005100C9"/>
    <w:pPr>
      <w:tabs>
        <w:tab w:val="center" w:pos="4153"/>
        <w:tab w:val="right" w:pos="8306"/>
      </w:tabs>
    </w:pPr>
  </w:style>
  <w:style w:type="paragraph" w:customStyle="1" w:styleId="HeadDivreiHesber">
    <w:name w:val="Head DivreiHesber"/>
    <w:basedOn w:val="a"/>
    <w:rsid w:val="005100C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100C9"/>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5100C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1647E"/>
    <w:rPr>
      <w:rFonts w:ascii="Arial" w:eastAsia="Arial Unicode MS" w:hAnsi="Arial" w:cs="David"/>
      <w:snapToGrid w:val="0"/>
      <w:sz w:val="14"/>
    </w:rPr>
  </w:style>
  <w:style w:type="character" w:customStyle="1" w:styleId="10">
    <w:name w:val="כותרת 1 תו"/>
    <w:basedOn w:val="a0"/>
    <w:link w:val="1"/>
    <w:uiPriority w:val="9"/>
    <w:rsid w:val="005100C9"/>
    <w:rPr>
      <w:rFonts w:asciiTheme="majorHAnsi" w:eastAsiaTheme="majorEastAsia" w:hAnsiTheme="majorHAnsi" w:cs="David"/>
      <w:bCs/>
      <w:sz w:val="32"/>
      <w:szCs w:val="36"/>
    </w:rPr>
  </w:style>
  <w:style w:type="character" w:customStyle="1" w:styleId="20">
    <w:name w:val="כותרת 2 תו"/>
    <w:basedOn w:val="a0"/>
    <w:link w:val="2"/>
    <w:rsid w:val="005100C9"/>
    <w:rPr>
      <w:rFonts w:asciiTheme="majorHAnsi" w:eastAsiaTheme="majorEastAsia" w:hAnsiTheme="majorHAnsi" w:cs="David"/>
      <w:bCs/>
      <w:sz w:val="26"/>
      <w:szCs w:val="36"/>
      <w:u w:val="single"/>
    </w:rPr>
  </w:style>
  <w:style w:type="character" w:customStyle="1" w:styleId="30">
    <w:name w:val="כותרת 3 תו"/>
    <w:basedOn w:val="a0"/>
    <w:link w:val="3"/>
    <w:rsid w:val="005100C9"/>
    <w:rPr>
      <w:rFonts w:asciiTheme="majorHAnsi" w:eastAsiaTheme="majorEastAsia" w:hAnsiTheme="majorHAnsi" w:cs="David"/>
      <w:sz w:val="24"/>
      <w:szCs w:val="28"/>
      <w:u w:val="double"/>
    </w:rPr>
  </w:style>
  <w:style w:type="character" w:customStyle="1" w:styleId="40">
    <w:name w:val="כותרת 4 תו"/>
    <w:basedOn w:val="a0"/>
    <w:link w:val="4"/>
    <w:uiPriority w:val="9"/>
    <w:rsid w:val="005100C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100C9"/>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5100C9"/>
    <w:pPr>
      <w:widowControl/>
      <w:spacing w:before="120" w:after="120"/>
      <w:outlineLvl w:val="9"/>
    </w:pPr>
    <w:rPr>
      <w:rtl/>
      <w:cs/>
    </w:rPr>
  </w:style>
  <w:style w:type="paragraph" w:styleId="TOC1">
    <w:name w:val="toc 1"/>
    <w:basedOn w:val="a"/>
    <w:next w:val="a"/>
    <w:autoRedefine/>
    <w:uiPriority w:val="39"/>
    <w:unhideWhenUsed/>
    <w:rsid w:val="005100C9"/>
    <w:pPr>
      <w:tabs>
        <w:tab w:val="right" w:leader="dot" w:pos="9629"/>
      </w:tabs>
      <w:spacing w:after="100"/>
    </w:pPr>
    <w:rPr>
      <w:bCs/>
      <w:szCs w:val="22"/>
    </w:rPr>
  </w:style>
  <w:style w:type="paragraph" w:styleId="TOC2">
    <w:name w:val="toc 2"/>
    <w:basedOn w:val="a"/>
    <w:next w:val="a"/>
    <w:uiPriority w:val="39"/>
    <w:unhideWhenUsed/>
    <w:rsid w:val="005100C9"/>
    <w:pPr>
      <w:tabs>
        <w:tab w:val="right" w:leader="dot" w:pos="9628"/>
      </w:tabs>
      <w:spacing w:after="100"/>
    </w:pPr>
    <w:rPr>
      <w:szCs w:val="22"/>
    </w:rPr>
  </w:style>
  <w:style w:type="character" w:styleId="Hyperlink">
    <w:name w:val="Hyperlink"/>
    <w:basedOn w:val="a0"/>
    <w:uiPriority w:val="99"/>
    <w:unhideWhenUsed/>
    <w:rsid w:val="005100C9"/>
    <w:rPr>
      <w:color w:val="0000FF" w:themeColor="hyperlink"/>
      <w:u w:val="single"/>
    </w:rPr>
  </w:style>
  <w:style w:type="paragraph" w:styleId="TOC3">
    <w:name w:val="toc 3"/>
    <w:basedOn w:val="a"/>
    <w:next w:val="a"/>
    <w:uiPriority w:val="39"/>
    <w:unhideWhenUsed/>
    <w:rsid w:val="005100C9"/>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100C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100C9"/>
    <w:pPr>
      <w:tabs>
        <w:tab w:val="right" w:leader="dot" w:pos="9628"/>
      </w:tabs>
      <w:spacing w:after="100"/>
      <w:ind w:left="567"/>
    </w:pPr>
    <w:rPr>
      <w:szCs w:val="22"/>
    </w:rPr>
  </w:style>
  <w:style w:type="paragraph" w:styleId="TOC6">
    <w:name w:val="toc 6"/>
    <w:basedOn w:val="a"/>
    <w:next w:val="a"/>
    <w:autoRedefine/>
    <w:semiHidden/>
    <w:unhideWhenUsed/>
    <w:rsid w:val="005100C9"/>
    <w:pPr>
      <w:spacing w:after="100"/>
      <w:ind w:left="850"/>
    </w:pPr>
  </w:style>
  <w:style w:type="paragraph" w:styleId="TOC7">
    <w:name w:val="toc 7"/>
    <w:basedOn w:val="a"/>
    <w:next w:val="a"/>
    <w:autoRedefine/>
    <w:semiHidden/>
    <w:unhideWhenUsed/>
    <w:rsid w:val="005100C9"/>
    <w:pPr>
      <w:spacing w:after="100"/>
      <w:ind w:left="1020"/>
    </w:pPr>
  </w:style>
  <w:style w:type="paragraph" w:styleId="TOC8">
    <w:name w:val="toc 8"/>
    <w:basedOn w:val="a"/>
    <w:next w:val="a"/>
    <w:autoRedefine/>
    <w:semiHidden/>
    <w:unhideWhenUsed/>
    <w:rsid w:val="005100C9"/>
    <w:pPr>
      <w:spacing w:after="100"/>
      <w:ind w:left="1190"/>
    </w:pPr>
  </w:style>
  <w:style w:type="paragraph" w:styleId="TOC9">
    <w:name w:val="toc 9"/>
    <w:basedOn w:val="a"/>
    <w:next w:val="a"/>
    <w:autoRedefine/>
    <w:semiHidden/>
    <w:unhideWhenUsed/>
    <w:rsid w:val="005100C9"/>
    <w:pPr>
      <w:spacing w:after="100"/>
      <w:ind w:left="1360"/>
    </w:pPr>
  </w:style>
  <w:style w:type="paragraph" w:customStyle="1" w:styleId="TableHead2">
    <w:name w:val="Table Head2"/>
    <w:basedOn w:val="TableHead"/>
    <w:qFormat/>
    <w:rsid w:val="005100C9"/>
    <w:pPr>
      <w:outlineLvl w:val="9"/>
    </w:pPr>
  </w:style>
  <w:style w:type="paragraph" w:customStyle="1" w:styleId="TableSideHeading2">
    <w:name w:val="Table SideHeading2"/>
    <w:basedOn w:val="TableSideHeading"/>
    <w:autoRedefine/>
    <w:qFormat/>
    <w:rsid w:val="005100C9"/>
    <w:pPr>
      <w:keepLines w:val="0"/>
      <w:outlineLvl w:val="9"/>
    </w:pPr>
  </w:style>
  <w:style w:type="paragraph" w:customStyle="1" w:styleId="0">
    <w:name w:val="סגנון שורה ראשונה:  0  ס''מ"/>
    <w:basedOn w:val="2"/>
    <w:rsid w:val="005100C9"/>
    <w:rPr>
      <w:rFonts w:eastAsia="Times New Roman"/>
    </w:rPr>
  </w:style>
  <w:style w:type="paragraph" w:styleId="af">
    <w:name w:val="List Paragraph"/>
    <w:basedOn w:val="a"/>
    <w:uiPriority w:val="34"/>
    <w:qFormat/>
    <w:rsid w:val="005100C9"/>
    <w:pPr>
      <w:widowControl/>
      <w:spacing w:line="259" w:lineRule="auto"/>
    </w:pPr>
    <w:rPr>
      <w:rFonts w:asciiTheme="minorHAnsi" w:hAnsiTheme="minorHAnsi"/>
      <w:sz w:val="22"/>
    </w:rPr>
  </w:style>
  <w:style w:type="table" w:styleId="af0">
    <w:name w:val="Table Grid"/>
    <w:basedOn w:val="a1"/>
    <w:rsid w:val="0051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100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100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5100C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100C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B5AD-89BC-42CD-9F49-72FE5809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290d5b49-c690-4c6f-bbb9-1e50dab33ee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56684872-435F-407F-9045-747284D5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392</Words>
  <Characters>1962</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2013-07-04T08:25:00Z</cp:lastPrinted>
  <dcterms:created xsi:type="dcterms:W3CDTF">2015-04-20T09:58:00Z</dcterms:created>
  <dcterms:modified xsi:type="dcterms:W3CDTF">2023-03-16T07:50:00Z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2203085</vt:r8>
  </property>
</Properties>
</file>