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2201443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A" w14:textId="37E42580" w:rsidR="00E13C27" w:rsidRPr="00CF1AA2" w:rsidRDefault="008F6665" w:rsidP="004E579A">
      <w:pPr>
        <w:pStyle w:val="David"/>
        <w:spacing w:before="102"/>
        <w:ind w:left="3544"/>
        <w:rPr>
          <w:b/>
          <w:bCs/>
          <w:sz w:val="16"/>
          <w:szCs w:val="16"/>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זאב אלקין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0F39EF0" w:rsidR="00E13C27" w:rsidRPr="00E06736" w:rsidRDefault="00904591" w:rsidP="00904591">
      <w:pPr>
        <w:pStyle w:val="David"/>
        <w:spacing w:line="240" w:lineRule="auto"/>
        <w:ind w:left="3544"/>
        <w:rPr>
          <w:rtl/>
        </w:rPr>
      </w:pPr>
      <w:r>
        <w:t xml:space="preserve">                                            </w:t>
      </w:r>
      <w:r w:rsidR="008F1308">
        <w:t xml:space="preserve"> </w:t>
      </w:r>
      <w:bookmarkStart w:id="6" w:name="Private_Number"/>
      <w:r w:rsidR="004E579A">
        <w:rPr>
          <w:rtl/>
        </w:rPr>
        <w:tab/>
      </w:r>
      <w:bookmarkStart w:id="7" w:name="_GoBack"/>
      <w:bookmarkEnd w:id="7"/>
      <w:r>
        <w:rPr>
          <w:rFonts w:hint="cs"/>
          <w:rtl/>
        </w:rPr>
        <w:t>פ/2442/25</w:t>
      </w:r>
      <w:bookmarkEnd w:id="6"/>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8" w:name="LGS_Subject"/>
      <w:r>
        <w:rPr>
          <w:rFonts w:hint="cs"/>
          <w:rtl/>
        </w:rPr>
        <w:t>הצעת חוק המועצה להשכלה גבוהה (תיקון – איסור פעילות פוגענית), התשפ"ג–2023</w:t>
      </w:r>
      <w:bookmarkEnd w:id="8"/>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519"/>
      </w:tblGrid>
      <w:tr w:rsidR="002B178D" w14:paraId="6D9F2D65" w14:textId="77777777" w:rsidTr="004E579A">
        <w:trPr>
          <w:cantSplit/>
        </w:trPr>
        <w:tc>
          <w:tcPr>
            <w:tcW w:w="1869" w:type="dxa"/>
            <w:hideMark/>
          </w:tcPr>
          <w:p w14:paraId="4D8599DA" w14:textId="77777777" w:rsidR="002B178D" w:rsidRDefault="002B178D">
            <w:pPr>
              <w:pStyle w:val="TableSideHeading"/>
              <w:keepLines w:val="0"/>
              <w:rPr>
                <w:rtl/>
              </w:rPr>
            </w:pPr>
            <w:r>
              <w:rPr>
                <w:rtl/>
              </w:rPr>
              <w:t>תיקון סעיף 15</w:t>
            </w:r>
          </w:p>
        </w:tc>
        <w:tc>
          <w:tcPr>
            <w:tcW w:w="624" w:type="dxa"/>
            <w:hideMark/>
          </w:tcPr>
          <w:p w14:paraId="196C1F35" w14:textId="77777777" w:rsidR="002B178D" w:rsidRDefault="002B178D">
            <w:pPr>
              <w:pStyle w:val="TableText"/>
              <w:keepLines w:val="0"/>
            </w:pPr>
            <w:r>
              <w:rPr>
                <w:rtl/>
              </w:rPr>
              <w:t>1.</w:t>
            </w:r>
          </w:p>
        </w:tc>
        <w:tc>
          <w:tcPr>
            <w:tcW w:w="7143" w:type="dxa"/>
            <w:gridSpan w:val="2"/>
            <w:hideMark/>
          </w:tcPr>
          <w:p w14:paraId="63F5F404" w14:textId="77777777" w:rsidR="002B178D" w:rsidRPr="004E579A" w:rsidRDefault="002B178D" w:rsidP="004E579A">
            <w:pPr>
              <w:pStyle w:val="TableBlock"/>
            </w:pPr>
            <w:r w:rsidRPr="004E579A">
              <w:rPr>
                <w:rtl/>
              </w:rPr>
              <w:t>בחוק המועצה להשכלה גבוהה, התשי"ח–1958</w:t>
            </w:r>
            <w:r w:rsidRPr="004E579A">
              <w:rPr>
                <w:vertAlign w:val="superscript"/>
                <w:rtl/>
              </w:rPr>
              <w:footnoteReference w:id="2"/>
            </w:r>
            <w:r w:rsidRPr="004E579A">
              <w:rPr>
                <w:rtl/>
              </w:rPr>
              <w:t>, בסעיף 15, האמור בו יסומן "(א)" ואחריו יבוא:</w:t>
            </w:r>
          </w:p>
        </w:tc>
      </w:tr>
      <w:tr w:rsidR="002B178D" w14:paraId="4A1417AC" w14:textId="77777777" w:rsidTr="004E579A">
        <w:trPr>
          <w:cantSplit/>
        </w:trPr>
        <w:tc>
          <w:tcPr>
            <w:tcW w:w="1869" w:type="dxa"/>
          </w:tcPr>
          <w:p w14:paraId="0E9D63C5" w14:textId="77777777" w:rsidR="002B178D" w:rsidRDefault="002B178D">
            <w:pPr>
              <w:pStyle w:val="TableSideHeading"/>
            </w:pPr>
          </w:p>
        </w:tc>
        <w:tc>
          <w:tcPr>
            <w:tcW w:w="624" w:type="dxa"/>
          </w:tcPr>
          <w:p w14:paraId="47093B95" w14:textId="77777777" w:rsidR="002B178D" w:rsidRDefault="002B178D">
            <w:pPr>
              <w:pStyle w:val="TableText"/>
            </w:pPr>
          </w:p>
        </w:tc>
        <w:tc>
          <w:tcPr>
            <w:tcW w:w="7143" w:type="dxa"/>
            <w:gridSpan w:val="2"/>
            <w:hideMark/>
          </w:tcPr>
          <w:p w14:paraId="483F93C0" w14:textId="77777777" w:rsidR="002B178D" w:rsidRPr="004E579A" w:rsidRDefault="002B178D" w:rsidP="004E579A">
            <w:pPr>
              <w:pStyle w:val="TableBlock"/>
            </w:pPr>
            <w:r w:rsidRPr="004E579A">
              <w:rPr>
                <w:rtl/>
              </w:rPr>
              <w:t>"(ב)</w:t>
            </w:r>
            <w:r w:rsidRPr="004E579A">
              <w:rPr>
                <w:rtl/>
              </w:rPr>
              <w:tab/>
              <w:t>מוסד להשכלה גבוהה לא יאפשר לקיים בתחומו פעילות שיש בה אחד מאלה:</w:t>
            </w:r>
          </w:p>
        </w:tc>
      </w:tr>
      <w:tr w:rsidR="002B178D" w14:paraId="61B8F35B" w14:textId="77777777" w:rsidTr="004E579A">
        <w:trPr>
          <w:cantSplit/>
        </w:trPr>
        <w:tc>
          <w:tcPr>
            <w:tcW w:w="1869" w:type="dxa"/>
          </w:tcPr>
          <w:p w14:paraId="7FDD030A" w14:textId="77777777" w:rsidR="002B178D" w:rsidRDefault="002B178D">
            <w:pPr>
              <w:pStyle w:val="TableSideHeading"/>
            </w:pPr>
          </w:p>
        </w:tc>
        <w:tc>
          <w:tcPr>
            <w:tcW w:w="624" w:type="dxa"/>
          </w:tcPr>
          <w:p w14:paraId="5CCA8381" w14:textId="77777777" w:rsidR="002B178D" w:rsidRDefault="002B178D">
            <w:pPr>
              <w:pStyle w:val="TableText"/>
            </w:pPr>
          </w:p>
        </w:tc>
        <w:tc>
          <w:tcPr>
            <w:tcW w:w="624" w:type="dxa"/>
          </w:tcPr>
          <w:p w14:paraId="6023C2DA" w14:textId="77777777" w:rsidR="002B178D" w:rsidRDefault="002B178D">
            <w:pPr>
              <w:pStyle w:val="TableText"/>
            </w:pPr>
          </w:p>
        </w:tc>
        <w:tc>
          <w:tcPr>
            <w:tcW w:w="6519" w:type="dxa"/>
            <w:hideMark/>
          </w:tcPr>
          <w:p w14:paraId="56F720FA" w14:textId="77777777" w:rsidR="002B178D" w:rsidRDefault="002B178D" w:rsidP="004E579A">
            <w:pPr>
              <w:pStyle w:val="TableBlock"/>
              <w:rPr>
                <w:rtl/>
              </w:rPr>
            </w:pPr>
            <w:r>
              <w:rPr>
                <w:rtl/>
              </w:rPr>
              <w:t>(1)</w:t>
            </w:r>
            <w:r>
              <w:rPr>
                <w:rtl/>
              </w:rPr>
              <w:tab/>
              <w:t>שלילת קיומה של מדינת ישראל כמדינה יהודית ודמוקרטית;</w:t>
            </w:r>
          </w:p>
        </w:tc>
      </w:tr>
      <w:tr w:rsidR="002B178D" w14:paraId="508E462B" w14:textId="77777777" w:rsidTr="004E579A">
        <w:trPr>
          <w:cantSplit/>
        </w:trPr>
        <w:tc>
          <w:tcPr>
            <w:tcW w:w="1869" w:type="dxa"/>
          </w:tcPr>
          <w:p w14:paraId="0F5CD06A" w14:textId="77777777" w:rsidR="002B178D" w:rsidRDefault="002B178D">
            <w:pPr>
              <w:pStyle w:val="TableSideHeading"/>
              <w:rPr>
                <w:rtl/>
              </w:rPr>
            </w:pPr>
          </w:p>
        </w:tc>
        <w:tc>
          <w:tcPr>
            <w:tcW w:w="624" w:type="dxa"/>
          </w:tcPr>
          <w:p w14:paraId="76B42AA0" w14:textId="77777777" w:rsidR="002B178D" w:rsidRDefault="002B178D">
            <w:pPr>
              <w:pStyle w:val="TableText"/>
            </w:pPr>
          </w:p>
        </w:tc>
        <w:tc>
          <w:tcPr>
            <w:tcW w:w="624" w:type="dxa"/>
          </w:tcPr>
          <w:p w14:paraId="78D43E33" w14:textId="77777777" w:rsidR="002B178D" w:rsidRDefault="002B178D">
            <w:pPr>
              <w:pStyle w:val="TableText"/>
            </w:pPr>
          </w:p>
        </w:tc>
        <w:tc>
          <w:tcPr>
            <w:tcW w:w="6519" w:type="dxa"/>
            <w:hideMark/>
          </w:tcPr>
          <w:p w14:paraId="016310F5" w14:textId="77777777" w:rsidR="002B178D" w:rsidRDefault="002B178D" w:rsidP="004E579A">
            <w:pPr>
              <w:pStyle w:val="TableBlock"/>
              <w:rPr>
                <w:rtl/>
              </w:rPr>
            </w:pPr>
            <w:r>
              <w:rPr>
                <w:rtl/>
              </w:rPr>
              <w:t>(2)</w:t>
            </w:r>
            <w:r>
              <w:rPr>
                <w:rtl/>
              </w:rPr>
              <w:tab/>
              <w:t>הסתה לגזענות, לאלימות או לטרור;</w:t>
            </w:r>
          </w:p>
        </w:tc>
      </w:tr>
      <w:tr w:rsidR="002B178D" w14:paraId="520DF516" w14:textId="77777777" w:rsidTr="004E579A">
        <w:trPr>
          <w:cantSplit/>
        </w:trPr>
        <w:tc>
          <w:tcPr>
            <w:tcW w:w="1869" w:type="dxa"/>
          </w:tcPr>
          <w:p w14:paraId="7D26BE2E" w14:textId="77777777" w:rsidR="002B178D" w:rsidRDefault="002B178D">
            <w:pPr>
              <w:pStyle w:val="TableSideHeading"/>
              <w:rPr>
                <w:rtl/>
              </w:rPr>
            </w:pPr>
          </w:p>
        </w:tc>
        <w:tc>
          <w:tcPr>
            <w:tcW w:w="624" w:type="dxa"/>
          </w:tcPr>
          <w:p w14:paraId="525AD8DB" w14:textId="77777777" w:rsidR="002B178D" w:rsidRDefault="002B178D">
            <w:pPr>
              <w:pStyle w:val="TableText"/>
            </w:pPr>
          </w:p>
        </w:tc>
        <w:tc>
          <w:tcPr>
            <w:tcW w:w="624" w:type="dxa"/>
          </w:tcPr>
          <w:p w14:paraId="023E2400" w14:textId="77777777" w:rsidR="002B178D" w:rsidRDefault="002B178D">
            <w:pPr>
              <w:pStyle w:val="TableText"/>
            </w:pPr>
          </w:p>
        </w:tc>
        <w:tc>
          <w:tcPr>
            <w:tcW w:w="6519" w:type="dxa"/>
            <w:hideMark/>
          </w:tcPr>
          <w:p w14:paraId="24F7D0B2" w14:textId="77777777" w:rsidR="002B178D" w:rsidRDefault="002B178D" w:rsidP="004E579A">
            <w:pPr>
              <w:pStyle w:val="TableBlock"/>
              <w:rPr>
                <w:rtl/>
              </w:rPr>
            </w:pPr>
            <w:r>
              <w:rPr>
                <w:rtl/>
              </w:rPr>
              <w:t>(3)</w:t>
            </w:r>
            <w:r>
              <w:rPr>
                <w:rtl/>
              </w:rPr>
              <w:tab/>
              <w:t>תמיכה במאבק מזוין או במעשה טרור, של מדינת אויב או של ארגון טרור, נגד מדינת ישראל;</w:t>
            </w:r>
          </w:p>
        </w:tc>
      </w:tr>
      <w:tr w:rsidR="002B178D" w14:paraId="66E21038" w14:textId="77777777" w:rsidTr="004E579A">
        <w:trPr>
          <w:cantSplit/>
        </w:trPr>
        <w:tc>
          <w:tcPr>
            <w:tcW w:w="1869" w:type="dxa"/>
          </w:tcPr>
          <w:p w14:paraId="7C803537" w14:textId="77777777" w:rsidR="002B178D" w:rsidRDefault="002B178D">
            <w:pPr>
              <w:pStyle w:val="TableSideHeading"/>
              <w:rPr>
                <w:rtl/>
              </w:rPr>
            </w:pPr>
          </w:p>
        </w:tc>
        <w:tc>
          <w:tcPr>
            <w:tcW w:w="624" w:type="dxa"/>
          </w:tcPr>
          <w:p w14:paraId="5D867238" w14:textId="77777777" w:rsidR="002B178D" w:rsidRDefault="002B178D">
            <w:pPr>
              <w:pStyle w:val="TableText"/>
            </w:pPr>
          </w:p>
        </w:tc>
        <w:tc>
          <w:tcPr>
            <w:tcW w:w="624" w:type="dxa"/>
          </w:tcPr>
          <w:p w14:paraId="09D8B646" w14:textId="77777777" w:rsidR="002B178D" w:rsidRDefault="002B178D">
            <w:pPr>
              <w:pStyle w:val="TableText"/>
            </w:pPr>
          </w:p>
        </w:tc>
        <w:tc>
          <w:tcPr>
            <w:tcW w:w="6519" w:type="dxa"/>
            <w:hideMark/>
          </w:tcPr>
          <w:p w14:paraId="59D54C6E" w14:textId="77777777" w:rsidR="002B178D" w:rsidRDefault="002B178D" w:rsidP="004E579A">
            <w:pPr>
              <w:pStyle w:val="TableBlock"/>
              <w:rPr>
                <w:rtl/>
              </w:rPr>
            </w:pPr>
            <w:r>
              <w:rPr>
                <w:rtl/>
              </w:rPr>
              <w:t>(4)</w:t>
            </w:r>
            <w:r>
              <w:rPr>
                <w:rtl/>
              </w:rPr>
              <w:tab/>
              <w:t>ציון יום העצמאות או יום הקמת המדינה כיום אבל;</w:t>
            </w:r>
          </w:p>
        </w:tc>
      </w:tr>
      <w:tr w:rsidR="002B178D" w14:paraId="429F77CE" w14:textId="77777777" w:rsidTr="004E579A">
        <w:trPr>
          <w:cantSplit/>
        </w:trPr>
        <w:tc>
          <w:tcPr>
            <w:tcW w:w="1869" w:type="dxa"/>
          </w:tcPr>
          <w:p w14:paraId="099522A4" w14:textId="77777777" w:rsidR="002B178D" w:rsidRDefault="002B178D">
            <w:pPr>
              <w:pStyle w:val="TableSideHeading"/>
              <w:rPr>
                <w:rtl/>
              </w:rPr>
            </w:pPr>
          </w:p>
        </w:tc>
        <w:tc>
          <w:tcPr>
            <w:tcW w:w="624" w:type="dxa"/>
          </w:tcPr>
          <w:p w14:paraId="395EAF71" w14:textId="77777777" w:rsidR="002B178D" w:rsidRDefault="002B178D">
            <w:pPr>
              <w:pStyle w:val="TableText"/>
            </w:pPr>
          </w:p>
        </w:tc>
        <w:tc>
          <w:tcPr>
            <w:tcW w:w="624" w:type="dxa"/>
          </w:tcPr>
          <w:p w14:paraId="007D4EEE" w14:textId="77777777" w:rsidR="002B178D" w:rsidRDefault="002B178D">
            <w:pPr>
              <w:pStyle w:val="TableText"/>
            </w:pPr>
          </w:p>
        </w:tc>
        <w:tc>
          <w:tcPr>
            <w:tcW w:w="6519" w:type="dxa"/>
            <w:hideMark/>
          </w:tcPr>
          <w:p w14:paraId="6249C1DF" w14:textId="77777777" w:rsidR="002B178D" w:rsidRDefault="002B178D" w:rsidP="004E579A">
            <w:pPr>
              <w:pStyle w:val="TableBlock"/>
              <w:rPr>
                <w:rtl/>
              </w:rPr>
            </w:pPr>
            <w:r>
              <w:rPr>
                <w:rtl/>
              </w:rPr>
              <w:t>(5)</w:t>
            </w:r>
            <w:r>
              <w:rPr>
                <w:rtl/>
              </w:rPr>
              <w:tab/>
              <w:t>מעשה של השחתה או ביזוי פיזי הפוגע בכבוד דגל המדינה או סמל המדינה.</w:t>
            </w:r>
          </w:p>
        </w:tc>
      </w:tr>
      <w:tr w:rsidR="002B178D" w14:paraId="4BC735AF" w14:textId="77777777" w:rsidTr="004E579A">
        <w:trPr>
          <w:cantSplit/>
        </w:trPr>
        <w:tc>
          <w:tcPr>
            <w:tcW w:w="1869" w:type="dxa"/>
          </w:tcPr>
          <w:p w14:paraId="7AC3FF6F" w14:textId="77777777" w:rsidR="002B178D" w:rsidRDefault="002B178D">
            <w:pPr>
              <w:pStyle w:val="TableSideHeading"/>
              <w:rPr>
                <w:rtl/>
              </w:rPr>
            </w:pPr>
          </w:p>
        </w:tc>
        <w:tc>
          <w:tcPr>
            <w:tcW w:w="624" w:type="dxa"/>
          </w:tcPr>
          <w:p w14:paraId="4C2B5137" w14:textId="77777777" w:rsidR="002B178D" w:rsidRDefault="002B178D">
            <w:pPr>
              <w:pStyle w:val="TableText"/>
            </w:pPr>
          </w:p>
        </w:tc>
        <w:tc>
          <w:tcPr>
            <w:tcW w:w="7143" w:type="dxa"/>
            <w:gridSpan w:val="2"/>
            <w:hideMark/>
          </w:tcPr>
          <w:p w14:paraId="34D7899E" w14:textId="77777777" w:rsidR="002B178D" w:rsidRPr="004E579A" w:rsidRDefault="002B178D" w:rsidP="004E579A">
            <w:pPr>
              <w:pStyle w:val="TableBlock"/>
            </w:pPr>
            <w:r w:rsidRPr="004E579A">
              <w:rPr>
                <w:rtl/>
              </w:rPr>
              <w:t>(ג)</w:t>
            </w:r>
            <w:r w:rsidRPr="004E579A">
              <w:rPr>
                <w:rtl/>
              </w:rPr>
              <w:tab/>
              <w:t>יושב ראש המועצה להשכלה גבוהה יקבע, בצו, סנקציות שיוטלו על מוסד להשכלה לגבוהה אשר הפר את הוראות סעיף קטן (ב)."</w:t>
            </w:r>
          </w:p>
        </w:tc>
      </w:tr>
    </w:tbl>
    <w:p w14:paraId="346358C3" w14:textId="77777777" w:rsidR="002B178D" w:rsidRDefault="002B178D" w:rsidP="002B178D">
      <w:pPr>
        <w:pStyle w:val="HeadDivreiHesber"/>
        <w:rPr>
          <w:rtl/>
        </w:rPr>
      </w:pPr>
      <w:r>
        <w:rPr>
          <w:rtl/>
        </w:rPr>
        <w:t>דברי הסבר</w:t>
      </w:r>
    </w:p>
    <w:p w14:paraId="6250F0AD" w14:textId="77777777" w:rsidR="002B178D" w:rsidRDefault="002B178D" w:rsidP="005877B1">
      <w:pPr>
        <w:pStyle w:val="Hesber"/>
        <w:ind w:firstLine="0"/>
        <w:rPr>
          <w:rtl/>
        </w:rPr>
      </w:pPr>
      <w:r>
        <w:rPr>
          <w:rtl/>
        </w:rPr>
        <w:t xml:space="preserve">בעולם המודרני, מוסדות להשכלה גבוהה מהווים את אחד הכלים החשובים ביותר לקידום חברתי וכלכלי. לצד הענקת הידע לתלמידיהם, מעודדים מוסדות אלה גם ביצוע מחקרים בתחומים שונים ותורמים רבות להתפתחות. בנוסף לכך, מעניקים המוסדות להשכלה גבוהה גם שירותים נוספים כגון מתן מלגות לצורך הנגשת האפשרות לרכוש השכלה גבוהה ולא להשאירה נחלת מעמדות מבוססים בלבד, קיום פעילויות חברתיות, ולעיתים גם מתן במה לפעילות פוליטית. בהקשר זה, כל זמן שהפעילויות שהוזכרו לעיל נושאות אופי דמוקרטי וראוי, הרי שהן מבורכות – השיח הפוליטי צריך להיות נגיש </w:t>
      </w:r>
      <w:r>
        <w:rPr>
          <w:rtl/>
        </w:rPr>
        <w:lastRenderedPageBreak/>
        <w:t>לציבור כולו, על אחת כמה וכמה ככל שמדובר בציבור של אנשים צעירים ומשכילים, אשר עתידים להנהיג את המדינה.</w:t>
      </w:r>
    </w:p>
    <w:p w14:paraId="562E13C2" w14:textId="77777777" w:rsidR="002B178D" w:rsidRDefault="002B178D" w:rsidP="002B178D">
      <w:pPr>
        <w:pStyle w:val="Hesber"/>
        <w:rPr>
          <w:rtl/>
        </w:rPr>
      </w:pPr>
      <w:r>
        <w:rPr>
          <w:rtl/>
        </w:rPr>
        <w:t>אולם, לא ייתכן כי פעילות זו או אחרת של מוסד, אשר חרט על דגלו את החובה לתרום למדע ולגדל דורות של אנשים משכילים, שתורמים למדינה, תעמוד בניגוד לעקרונות הבסיסיים, עליהם מושתת המדינה. לא ייתכן שמוסד להשכלה גבוהה ייתן ידו ויעודד פעילות מסוכנת, כשכל מטרתה היא לפעול ליצירת דה-לגיטימציה למדינת ישראל.</w:t>
      </w:r>
    </w:p>
    <w:p w14:paraId="40B8DD6E" w14:textId="77777777" w:rsidR="002B178D" w:rsidRDefault="002B178D" w:rsidP="002B178D">
      <w:pPr>
        <w:pStyle w:val="Hesber"/>
        <w:rPr>
          <w:rtl/>
        </w:rPr>
      </w:pPr>
      <w:r>
        <w:rPr>
          <w:rtl/>
        </w:rPr>
        <w:t>לפיכך, מוצע לקבוע כי עקרון "דמוקרטיה מתגוננת" יבוא לידי ביטוי בהצעת חוק זו, ויאפשר ליושב ראש המועצה להשכלה גבוהה, שר החינוך, לקבוע סנקציות, אשר יוטלו על מוסד, אם התקיימו בפעילותו התנאים המפורטים בחוק, ובכך יוכל למנוע תופעה פסולה של הפיכת מוסד להשכלה גבוהה לאכסניה פוליטית, הנוגדת את קיומה של המדינה ועקרונותיה.</w:t>
      </w:r>
    </w:p>
    <w:p w14:paraId="0F13AAA4" w14:textId="77777777" w:rsidR="002B178D" w:rsidRDefault="002B178D" w:rsidP="002B178D">
      <w:pPr>
        <w:pStyle w:val="Hesber"/>
        <w:rPr>
          <w:rtl/>
        </w:rPr>
      </w:pPr>
      <w:r>
        <w:rPr>
          <w:rtl/>
        </w:rPr>
        <w:t>על כן, מוצע לקבוע כי מוסד אשר תומך או נותן במה לפעילות, אשר במהותה מהווה שלילת קיומה של מדינת ישראל כמדינה יהודית ודמוקרטית, הסתה לגזענות, לאלימות או לטרור או תמיכה במאבק מזוין או במעשה טרור נגד המדינה, יישא בסנקציות, אותן יקבע יושב ראש המועצה להשכלה גבוהה.</w:t>
      </w:r>
    </w:p>
    <w:p w14:paraId="00861BB7" w14:textId="77777777" w:rsidR="002B178D" w:rsidRDefault="002B178D" w:rsidP="002B178D">
      <w:pPr>
        <w:pStyle w:val="Hesber"/>
        <w:rPr>
          <w:rtl/>
        </w:rPr>
      </w:pPr>
      <w:r>
        <w:rPr>
          <w:rtl/>
        </w:rPr>
        <w:t>נראה, כי יושב ראש המועצה להשכלה גבוהה הוא הגוף המתאים להטיל סנקציות על גופים אלה, ויפעיל סמכותו תוך שיקול דעת.</w:t>
      </w:r>
    </w:p>
    <w:p w14:paraId="33E1EF8F" w14:textId="440EB12F" w:rsidR="002B178D" w:rsidRDefault="005877B1" w:rsidP="002B178D">
      <w:pPr>
        <w:pStyle w:val="Hesber"/>
        <w:rPr>
          <w:rtl/>
        </w:rPr>
      </w:pPr>
      <w:r>
        <w:rPr>
          <w:rFonts w:hint="cs"/>
          <w:rtl/>
        </w:rPr>
        <w:t>הצעת חוק זהה הונחה על שולחן הכנסת העשרים וארבע על ידי חבר הכנסת יריב לוין (פ/1679/24).</w:t>
      </w:r>
    </w:p>
    <w:p w14:paraId="02B02CD2" w14:textId="21358B75" w:rsidR="005877B1" w:rsidRDefault="005877B1" w:rsidP="002B178D">
      <w:pPr>
        <w:pStyle w:val="Hesber"/>
        <w:rPr>
          <w:rtl/>
        </w:rPr>
      </w:pPr>
      <w:r>
        <w:rPr>
          <w:rFonts w:hint="cs"/>
          <w:rtl/>
        </w:rPr>
        <w:t>הצעת החוק זהה לפ/1679/24 ולפיכך לא נבדקה מחדש על ידי הלשכה המשפטית של הכנסת.</w:t>
      </w:r>
    </w:p>
    <w:p w14:paraId="7F6961CB" w14:textId="77777777" w:rsidR="00E13C27" w:rsidRDefault="00E13C27" w:rsidP="00E13C27">
      <w:pPr>
        <w:pStyle w:val="Hesber"/>
        <w:rPr>
          <w:rtl/>
        </w:rPr>
      </w:pPr>
    </w:p>
    <w:p w14:paraId="4D783165" w14:textId="77777777" w:rsidR="00DB1B3D" w:rsidRDefault="004E579A">
      <w:pPr>
        <w:jc w:val="left"/>
      </w:pPr>
      <w:bookmarkStart w:id="9" w:name="selectedDocDateB"/>
      <w:bookmarkEnd w:id="9"/>
      <w:r>
        <w:rPr>
          <w:rFonts w:eastAsia="David" w:hint="cs"/>
          <w:sz w:val="26"/>
          <w:szCs w:val="26"/>
          <w:rtl/>
        </w:rPr>
        <w:t>--------------------------------</w:t>
      </w:r>
    </w:p>
    <w:p w14:paraId="170BD406" w14:textId="77777777" w:rsidR="00DB1B3D" w:rsidRDefault="004E579A">
      <w:pPr>
        <w:jc w:val="left"/>
      </w:pPr>
      <w:r>
        <w:rPr>
          <w:rFonts w:eastAsia="David" w:hint="cs"/>
          <w:sz w:val="26"/>
          <w:szCs w:val="26"/>
          <w:rtl/>
        </w:rPr>
        <w:t xml:space="preserve">הוגשה </w:t>
      </w:r>
      <w:r>
        <w:rPr>
          <w:rFonts w:eastAsia="David" w:hint="cs"/>
          <w:sz w:val="26"/>
          <w:szCs w:val="26"/>
          <w:rtl/>
        </w:rPr>
        <w:t>ליו"ר הכנסת והסגנים</w:t>
      </w:r>
    </w:p>
    <w:p w14:paraId="3BD1A5F9" w14:textId="77777777" w:rsidR="00DB1B3D" w:rsidRDefault="004E579A">
      <w:pPr>
        <w:jc w:val="left"/>
      </w:pPr>
      <w:r>
        <w:rPr>
          <w:rFonts w:eastAsia="David" w:hint="cs"/>
          <w:sz w:val="26"/>
          <w:szCs w:val="26"/>
          <w:rtl/>
        </w:rPr>
        <w:t>והונחה על שולחן הכנסת ביום</w:t>
      </w:r>
    </w:p>
    <w:p w14:paraId="74D91958" w14:textId="77777777" w:rsidR="00DB1B3D" w:rsidRDefault="004E579A">
      <w:pPr>
        <w:jc w:val="left"/>
      </w:pPr>
      <w:r>
        <w:rPr>
          <w:rFonts w:eastAsia="David" w:hint="cs"/>
          <w:sz w:val="26"/>
          <w:szCs w:val="26"/>
          <w:rtl/>
        </w:rPr>
        <w:t xml:space="preserve">כ"ט בשבט התשפ"ג (20.02.2023) </w:t>
      </w:r>
    </w:p>
    <w:p w14:paraId="1CE9B958" w14:textId="77777777" w:rsidR="00DB1B3D" w:rsidRDefault="00DB1B3D">
      <w:pPr>
        <w:spacing w:line="276" w:lineRule="auto"/>
        <w:jc w:val="left"/>
      </w:pPr>
    </w:p>
    <w:sectPr w:rsidR="00DB1B3D" w:rsidSect="004E579A">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2C0B560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E579A">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4E579A">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DAFFDA4" w14:textId="77777777" w:rsidR="002B178D" w:rsidRDefault="002B178D" w:rsidP="002B178D">
      <w:pPr>
        <w:pStyle w:val="a4"/>
      </w:pPr>
      <w:r>
        <w:rPr>
          <w:rStyle w:val="a6"/>
        </w:rPr>
        <w:footnoteRef/>
      </w:r>
      <w:r>
        <w:rPr>
          <w:rtl/>
        </w:rPr>
        <w:t xml:space="preserve"> </w:t>
      </w:r>
      <w:r>
        <w:rPr>
          <w:rFonts w:hint="cs"/>
          <w:rtl/>
        </w:rPr>
        <w:t>ס"ח התשי"ח, עמ' 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B178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579A"/>
    <w:rsid w:val="004E6CDF"/>
    <w:rsid w:val="00553C9D"/>
    <w:rsid w:val="00562A66"/>
    <w:rsid w:val="005877B1"/>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1B3D"/>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C7D4998-B60C-43F4-8C29-85A95D3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9A"/>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4E579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E579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E579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E579A"/>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E579A"/>
    <w:pPr>
      <w:spacing w:line="259" w:lineRule="auto"/>
      <w:outlineLvl w:val="4"/>
    </w:pPr>
    <w:rPr>
      <w:color w:val="000000" w:themeColor="text1"/>
    </w:rPr>
  </w:style>
  <w:style w:type="character" w:default="1" w:styleId="a0">
    <w:name w:val="Default Paragraph Font"/>
    <w:uiPriority w:val="1"/>
    <w:semiHidden/>
    <w:unhideWhenUsed/>
    <w:rsid w:val="004E57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579A"/>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4E579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E579A"/>
    <w:rPr>
      <w:sz w:val="36"/>
      <w:szCs w:val="52"/>
    </w:rPr>
  </w:style>
  <w:style w:type="paragraph" w:customStyle="1" w:styleId="Cover3-Haknesset">
    <w:name w:val="Cover 3-Haknesset"/>
    <w:basedOn w:val="Cover1-Reshumot"/>
    <w:rsid w:val="004E579A"/>
    <w:rPr>
      <w:b/>
      <w:bCs/>
      <w:spacing w:val="60"/>
    </w:rPr>
  </w:style>
  <w:style w:type="paragraph" w:customStyle="1" w:styleId="Cover4-Date">
    <w:name w:val="Cover 4-Date"/>
    <w:basedOn w:val="a"/>
    <w:rsid w:val="004E579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4E579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E579A"/>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4E579A"/>
    <w:pPr>
      <w:spacing w:before="120" w:after="120"/>
    </w:pPr>
    <w:rPr>
      <w:color w:val="FF0000"/>
      <w:w w:val="80"/>
    </w:rPr>
  </w:style>
  <w:style w:type="paragraph" w:styleId="a3">
    <w:name w:val="endnote text"/>
    <w:basedOn w:val="a"/>
    <w:semiHidden/>
    <w:rsid w:val="004E579A"/>
    <w:pPr>
      <w:ind w:left="227" w:hanging="227"/>
    </w:pPr>
    <w:rPr>
      <w:sz w:val="14"/>
      <w:szCs w:val="22"/>
    </w:rPr>
  </w:style>
  <w:style w:type="paragraph" w:customStyle="1" w:styleId="TableText">
    <w:name w:val="Table Text"/>
    <w:basedOn w:val="a"/>
    <w:rsid w:val="004E579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E579A"/>
    <w:pPr>
      <w:outlineLvl w:val="2"/>
    </w:pPr>
  </w:style>
  <w:style w:type="paragraph" w:customStyle="1" w:styleId="TableBlock">
    <w:name w:val="Table Block"/>
    <w:basedOn w:val="TableText"/>
    <w:rsid w:val="004E579A"/>
    <w:pPr>
      <w:jc w:val="both"/>
    </w:pPr>
  </w:style>
  <w:style w:type="paragraph" w:customStyle="1" w:styleId="TableHead">
    <w:name w:val="Table Head"/>
    <w:basedOn w:val="TableText"/>
    <w:rsid w:val="004E579A"/>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4E579A"/>
    <w:pPr>
      <w:outlineLvl w:val="9"/>
    </w:pPr>
  </w:style>
  <w:style w:type="paragraph" w:customStyle="1" w:styleId="Hesber">
    <w:name w:val="Hesber"/>
    <w:basedOn w:val="a"/>
    <w:rsid w:val="004E579A"/>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4E579A"/>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4E579A"/>
    <w:rPr>
      <w:vertAlign w:val="superscript"/>
    </w:rPr>
  </w:style>
  <w:style w:type="paragraph" w:customStyle="1" w:styleId="HesberHeading">
    <w:name w:val="Hesber Heading"/>
    <w:basedOn w:val="Hesber"/>
    <w:rsid w:val="004E579A"/>
    <w:pPr>
      <w:tabs>
        <w:tab w:val="left" w:pos="624"/>
        <w:tab w:val="left" w:pos="1247"/>
      </w:tabs>
    </w:pPr>
    <w:rPr>
      <w:b/>
      <w:bCs/>
    </w:rPr>
  </w:style>
  <w:style w:type="paragraph" w:customStyle="1" w:styleId="HesberWriters">
    <w:name w:val="Hesber Writers"/>
    <w:basedOn w:val="Hesber"/>
    <w:rsid w:val="004E579A"/>
    <w:pPr>
      <w:spacing w:before="120" w:after="120"/>
      <w:ind w:left="1418"/>
      <w:jc w:val="right"/>
    </w:pPr>
    <w:rPr>
      <w:b/>
      <w:bCs/>
    </w:rPr>
  </w:style>
  <w:style w:type="paragraph" w:customStyle="1" w:styleId="Hesber1st">
    <w:name w:val="Hesber 1st"/>
    <w:basedOn w:val="Hesber"/>
    <w:rsid w:val="004E579A"/>
    <w:pPr>
      <w:tabs>
        <w:tab w:val="left" w:pos="680"/>
        <w:tab w:val="left" w:pos="1020"/>
      </w:tabs>
      <w:ind w:firstLine="0"/>
    </w:pPr>
  </w:style>
  <w:style w:type="character" w:styleId="a7">
    <w:name w:val="endnote reference"/>
    <w:basedOn w:val="a0"/>
    <w:semiHidden/>
    <w:rsid w:val="004E579A"/>
    <w:rPr>
      <w:vertAlign w:val="superscript"/>
    </w:rPr>
  </w:style>
  <w:style w:type="paragraph" w:customStyle="1" w:styleId="TableBlockOutdent">
    <w:name w:val="Table BlockOutdent"/>
    <w:basedOn w:val="TableBlock"/>
    <w:rsid w:val="004E579A"/>
    <w:pPr>
      <w:ind w:left="624" w:hanging="624"/>
    </w:pPr>
  </w:style>
  <w:style w:type="paragraph" w:styleId="a8">
    <w:name w:val="header"/>
    <w:basedOn w:val="a"/>
    <w:rsid w:val="004E579A"/>
    <w:pPr>
      <w:tabs>
        <w:tab w:val="center" w:pos="4153"/>
        <w:tab w:val="right" w:pos="8306"/>
      </w:tabs>
    </w:pPr>
  </w:style>
  <w:style w:type="paragraph" w:styleId="a9">
    <w:name w:val="footer"/>
    <w:basedOn w:val="a"/>
    <w:rsid w:val="004E579A"/>
    <w:pPr>
      <w:tabs>
        <w:tab w:val="center" w:pos="4153"/>
        <w:tab w:val="right" w:pos="8306"/>
      </w:tabs>
    </w:pPr>
  </w:style>
  <w:style w:type="paragraph" w:customStyle="1" w:styleId="HeadDivreiHesber">
    <w:name w:val="Head DivreiHesber"/>
    <w:basedOn w:val="a"/>
    <w:rsid w:val="004E579A"/>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4E579A"/>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4E579A"/>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2B178D"/>
    <w:rPr>
      <w:rFonts w:ascii="Arial" w:eastAsia="Arial Unicode MS" w:hAnsi="Arial" w:cs="David"/>
      <w:snapToGrid w:val="0"/>
      <w:sz w:val="14"/>
    </w:rPr>
  </w:style>
  <w:style w:type="character" w:customStyle="1" w:styleId="10">
    <w:name w:val="כותרת 1 תו"/>
    <w:basedOn w:val="a0"/>
    <w:link w:val="1"/>
    <w:uiPriority w:val="9"/>
    <w:rsid w:val="004E579A"/>
    <w:rPr>
      <w:rFonts w:asciiTheme="majorHAnsi" w:eastAsiaTheme="majorEastAsia" w:hAnsiTheme="majorHAnsi" w:cs="David"/>
      <w:bCs/>
      <w:sz w:val="32"/>
      <w:szCs w:val="36"/>
    </w:rPr>
  </w:style>
  <w:style w:type="character" w:customStyle="1" w:styleId="20">
    <w:name w:val="כותרת 2 תו"/>
    <w:basedOn w:val="a0"/>
    <w:link w:val="2"/>
    <w:rsid w:val="004E579A"/>
    <w:rPr>
      <w:rFonts w:asciiTheme="majorHAnsi" w:eastAsiaTheme="majorEastAsia" w:hAnsiTheme="majorHAnsi" w:cs="David"/>
      <w:bCs/>
      <w:sz w:val="26"/>
      <w:szCs w:val="36"/>
      <w:u w:val="single"/>
    </w:rPr>
  </w:style>
  <w:style w:type="character" w:customStyle="1" w:styleId="30">
    <w:name w:val="כותרת 3 תו"/>
    <w:basedOn w:val="a0"/>
    <w:link w:val="3"/>
    <w:rsid w:val="004E579A"/>
    <w:rPr>
      <w:rFonts w:asciiTheme="majorHAnsi" w:eastAsiaTheme="majorEastAsia" w:hAnsiTheme="majorHAnsi" w:cs="David"/>
      <w:sz w:val="24"/>
      <w:szCs w:val="28"/>
      <w:u w:val="double"/>
    </w:rPr>
  </w:style>
  <w:style w:type="character" w:customStyle="1" w:styleId="40">
    <w:name w:val="כותרת 4 תו"/>
    <w:basedOn w:val="a0"/>
    <w:link w:val="4"/>
    <w:uiPriority w:val="9"/>
    <w:rsid w:val="004E579A"/>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4E579A"/>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4E579A"/>
    <w:pPr>
      <w:widowControl/>
      <w:spacing w:before="120" w:after="120"/>
      <w:outlineLvl w:val="9"/>
    </w:pPr>
    <w:rPr>
      <w:rtl/>
      <w:cs/>
    </w:rPr>
  </w:style>
  <w:style w:type="paragraph" w:styleId="TOC1">
    <w:name w:val="toc 1"/>
    <w:basedOn w:val="a"/>
    <w:next w:val="a"/>
    <w:autoRedefine/>
    <w:uiPriority w:val="39"/>
    <w:unhideWhenUsed/>
    <w:rsid w:val="004E579A"/>
    <w:pPr>
      <w:tabs>
        <w:tab w:val="right" w:leader="dot" w:pos="9629"/>
      </w:tabs>
      <w:spacing w:after="100"/>
    </w:pPr>
    <w:rPr>
      <w:bCs/>
      <w:szCs w:val="22"/>
    </w:rPr>
  </w:style>
  <w:style w:type="paragraph" w:styleId="TOC2">
    <w:name w:val="toc 2"/>
    <w:basedOn w:val="a"/>
    <w:next w:val="a"/>
    <w:uiPriority w:val="39"/>
    <w:unhideWhenUsed/>
    <w:rsid w:val="004E579A"/>
    <w:pPr>
      <w:tabs>
        <w:tab w:val="right" w:leader="dot" w:pos="9628"/>
      </w:tabs>
      <w:spacing w:after="100"/>
    </w:pPr>
    <w:rPr>
      <w:szCs w:val="22"/>
    </w:rPr>
  </w:style>
  <w:style w:type="character" w:styleId="Hyperlink">
    <w:name w:val="Hyperlink"/>
    <w:basedOn w:val="a0"/>
    <w:uiPriority w:val="99"/>
    <w:unhideWhenUsed/>
    <w:rsid w:val="004E579A"/>
    <w:rPr>
      <w:color w:val="0000FF" w:themeColor="hyperlink"/>
      <w:u w:val="single"/>
    </w:rPr>
  </w:style>
  <w:style w:type="paragraph" w:styleId="TOC3">
    <w:name w:val="toc 3"/>
    <w:basedOn w:val="a"/>
    <w:next w:val="a"/>
    <w:uiPriority w:val="39"/>
    <w:unhideWhenUsed/>
    <w:rsid w:val="004E579A"/>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4E579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E579A"/>
    <w:pPr>
      <w:tabs>
        <w:tab w:val="right" w:leader="dot" w:pos="9628"/>
      </w:tabs>
      <w:spacing w:after="100"/>
      <w:ind w:left="567"/>
    </w:pPr>
    <w:rPr>
      <w:szCs w:val="22"/>
    </w:rPr>
  </w:style>
  <w:style w:type="paragraph" w:styleId="TOC6">
    <w:name w:val="toc 6"/>
    <w:basedOn w:val="a"/>
    <w:next w:val="a"/>
    <w:autoRedefine/>
    <w:semiHidden/>
    <w:unhideWhenUsed/>
    <w:rsid w:val="004E579A"/>
    <w:pPr>
      <w:spacing w:after="100"/>
      <w:ind w:left="850"/>
    </w:pPr>
  </w:style>
  <w:style w:type="paragraph" w:styleId="TOC7">
    <w:name w:val="toc 7"/>
    <w:basedOn w:val="a"/>
    <w:next w:val="a"/>
    <w:autoRedefine/>
    <w:semiHidden/>
    <w:unhideWhenUsed/>
    <w:rsid w:val="004E579A"/>
    <w:pPr>
      <w:spacing w:after="100"/>
      <w:ind w:left="1020"/>
    </w:pPr>
  </w:style>
  <w:style w:type="paragraph" w:styleId="TOC8">
    <w:name w:val="toc 8"/>
    <w:basedOn w:val="a"/>
    <w:next w:val="a"/>
    <w:autoRedefine/>
    <w:semiHidden/>
    <w:unhideWhenUsed/>
    <w:rsid w:val="004E579A"/>
    <w:pPr>
      <w:spacing w:after="100"/>
      <w:ind w:left="1190"/>
    </w:pPr>
  </w:style>
  <w:style w:type="paragraph" w:styleId="TOC9">
    <w:name w:val="toc 9"/>
    <w:basedOn w:val="a"/>
    <w:next w:val="a"/>
    <w:autoRedefine/>
    <w:semiHidden/>
    <w:unhideWhenUsed/>
    <w:rsid w:val="004E579A"/>
    <w:pPr>
      <w:spacing w:after="100"/>
      <w:ind w:left="1360"/>
    </w:pPr>
  </w:style>
  <w:style w:type="paragraph" w:customStyle="1" w:styleId="TableHead2">
    <w:name w:val="Table Head2"/>
    <w:basedOn w:val="TableHead"/>
    <w:qFormat/>
    <w:rsid w:val="004E579A"/>
    <w:pPr>
      <w:outlineLvl w:val="9"/>
    </w:pPr>
  </w:style>
  <w:style w:type="paragraph" w:customStyle="1" w:styleId="TableSideHeading2">
    <w:name w:val="Table SideHeading2"/>
    <w:basedOn w:val="TableSideHeading"/>
    <w:autoRedefine/>
    <w:qFormat/>
    <w:rsid w:val="004E579A"/>
    <w:pPr>
      <w:keepLines w:val="0"/>
      <w:outlineLvl w:val="9"/>
    </w:pPr>
  </w:style>
  <w:style w:type="paragraph" w:customStyle="1" w:styleId="0">
    <w:name w:val="סגנון שורה ראשונה:  0  ס''מ"/>
    <w:basedOn w:val="2"/>
    <w:rsid w:val="004E579A"/>
    <w:rPr>
      <w:rFonts w:eastAsia="Times New Roman"/>
    </w:rPr>
  </w:style>
  <w:style w:type="paragraph" w:styleId="af">
    <w:name w:val="List Paragraph"/>
    <w:basedOn w:val="a"/>
    <w:uiPriority w:val="34"/>
    <w:qFormat/>
    <w:rsid w:val="004E579A"/>
    <w:pPr>
      <w:widowControl/>
      <w:spacing w:line="259" w:lineRule="auto"/>
    </w:pPr>
    <w:rPr>
      <w:rFonts w:asciiTheme="minorHAnsi" w:hAnsiTheme="minorHAnsi"/>
      <w:sz w:val="22"/>
    </w:rPr>
  </w:style>
  <w:style w:type="table" w:styleId="af0">
    <w:name w:val="Table Grid"/>
    <w:basedOn w:val="a1"/>
    <w:rsid w:val="004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E57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E57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E579A"/>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E579A"/>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733">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BC5A-4198-4906-8B85-1A32AC37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openxmlformats.org/package/2006/metadata/core-properties"/>
    <ds:schemaRef ds:uri="http://purl.org/dc/dcmitype/"/>
    <ds:schemaRef ds:uri="http://purl.org/dc/terms/"/>
    <ds:schemaRef ds:uri="290d5b49-c690-4c6f-bbb9-1e50dab33ee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D1A9B7D5-4994-40E2-97A4-E61F5D57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410</Words>
  <Characters>2343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6</cp:revision>
  <cp:lastPrinted>2023-02-14T11:19:00Z</cp:lastPrinted>
  <dcterms:created xsi:type="dcterms:W3CDTF">2015-04-20T09:58:00Z</dcterms:created>
  <dcterms:modified xsi:type="dcterms:W3CDTF">2023-02-14T11:19:00Z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2201443</vt:r8>
  </property>
</Properties>
</file>