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2200720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26ADE005" w:rsidR="00E13C27" w:rsidRPr="00CF1AA2" w:rsidRDefault="008F6665" w:rsidP="004F1FCD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אליהו רביבו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48E2AD4A" w:rsidR="00E13C27" w:rsidRDefault="00904591" w:rsidP="004F1FCD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פ/2383/25</w:t>
      </w:r>
      <w:bookmarkEnd w:id="6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לתיקון פקודת מס הכנסה (ניכוי הוצאות בשל ארוחה עסקית לעצמאים), התשפ"ג–2023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1872"/>
        <w:gridCol w:w="624"/>
        <w:gridCol w:w="4647"/>
      </w:tblGrid>
      <w:tr w:rsidR="00850E83" w:rsidRPr="00C34DE2" w14:paraId="688F84B5" w14:textId="77777777" w:rsidTr="004F1FCD">
        <w:trPr>
          <w:cantSplit/>
        </w:trPr>
        <w:tc>
          <w:tcPr>
            <w:tcW w:w="1871" w:type="dxa"/>
          </w:tcPr>
          <w:p w14:paraId="21AFBEA7" w14:textId="77777777" w:rsidR="00850E83" w:rsidRDefault="00850E83" w:rsidP="005B1B96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17</w:t>
            </w:r>
          </w:p>
        </w:tc>
        <w:tc>
          <w:tcPr>
            <w:tcW w:w="624" w:type="dxa"/>
          </w:tcPr>
          <w:p w14:paraId="6E31CCE2" w14:textId="77777777" w:rsidR="00850E83" w:rsidRDefault="00850E83" w:rsidP="005B1B96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3"/>
          </w:tcPr>
          <w:p w14:paraId="078DDE22" w14:textId="77777777" w:rsidR="00850E83" w:rsidRPr="00E55696" w:rsidRDefault="00850E83" w:rsidP="004F1FCD">
            <w:pPr>
              <w:pStyle w:val="TableBlock"/>
              <w:rPr>
                <w:b/>
                <w:bCs/>
              </w:rPr>
            </w:pPr>
            <w:r w:rsidRPr="00E55696">
              <w:rPr>
                <w:rtl/>
              </w:rPr>
              <w:t>בפקודת מס הכנסה</w:t>
            </w:r>
            <w:r w:rsidRPr="004F1FCD">
              <w:rPr>
                <w:rStyle w:val="a6"/>
                <w:rFonts w:ascii="David" w:hAnsi="David"/>
                <w:sz w:val="26"/>
                <w:szCs w:val="18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 (להלן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DC5AC1">
              <w:rPr>
                <w:rFonts w:hint="cs"/>
                <w:rtl/>
              </w:rPr>
              <w:t>החוק</w:t>
            </w:r>
            <w:r>
              <w:rPr>
                <w:rFonts w:hint="cs"/>
                <w:rtl/>
              </w:rPr>
              <w:t xml:space="preserve"> העיקרי)</w:t>
            </w:r>
            <w:r w:rsidRPr="00E55696">
              <w:rPr>
                <w:rtl/>
              </w:rPr>
              <w:t>, בסעיף 17</w:t>
            </w:r>
            <w:r w:rsidRPr="00E55696">
              <w:rPr>
                <w:rFonts w:hint="cs"/>
                <w:rtl/>
              </w:rPr>
              <w:t>, אחרי פסקה (5א) יבוא</w:t>
            </w:r>
            <w:r w:rsidRPr="00E55696">
              <w:rPr>
                <w:rtl/>
              </w:rPr>
              <w:t>:</w:t>
            </w:r>
          </w:p>
        </w:tc>
      </w:tr>
      <w:tr w:rsidR="00850E83" w14:paraId="29E56CBF" w14:textId="77777777" w:rsidTr="004F1FCD">
        <w:trPr>
          <w:cantSplit/>
        </w:trPr>
        <w:tc>
          <w:tcPr>
            <w:tcW w:w="1871" w:type="dxa"/>
          </w:tcPr>
          <w:p w14:paraId="64E30318" w14:textId="77777777" w:rsidR="00850E83" w:rsidRDefault="00850E83" w:rsidP="005B1B96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73FAACC5" w14:textId="77777777" w:rsidR="00850E83" w:rsidRDefault="00850E83" w:rsidP="005B1B96">
            <w:pPr>
              <w:pStyle w:val="TableText"/>
              <w:keepLines w:val="0"/>
            </w:pPr>
          </w:p>
        </w:tc>
        <w:tc>
          <w:tcPr>
            <w:tcW w:w="1872" w:type="dxa"/>
          </w:tcPr>
          <w:p w14:paraId="72C307D6" w14:textId="77777777" w:rsidR="00850E83" w:rsidRDefault="00850E83" w:rsidP="005B1B96">
            <w:pPr>
              <w:pStyle w:val="TableInnerSideHeading"/>
            </w:pPr>
            <w:r>
              <w:rPr>
                <w:rFonts w:hint="cs"/>
                <w:rtl/>
              </w:rPr>
              <w:t>"תשלומים עבור הוצאות בשל ארוחה עסקית</w:t>
            </w:r>
          </w:p>
        </w:tc>
        <w:tc>
          <w:tcPr>
            <w:tcW w:w="624" w:type="dxa"/>
          </w:tcPr>
          <w:p w14:paraId="3F1089C3" w14:textId="77777777" w:rsidR="00850E83" w:rsidRDefault="00850E83" w:rsidP="005B1B96">
            <w:pPr>
              <w:pStyle w:val="TableText"/>
            </w:pPr>
            <w:r>
              <w:rPr>
                <w:rFonts w:hint="cs"/>
                <w:rtl/>
              </w:rPr>
              <w:t>(5ב)</w:t>
            </w:r>
          </w:p>
        </w:tc>
        <w:tc>
          <w:tcPr>
            <w:tcW w:w="4647" w:type="dxa"/>
          </w:tcPr>
          <w:p w14:paraId="7881E2C4" w14:textId="77777777" w:rsidR="00850E83" w:rsidRDefault="00850E83" w:rsidP="004F1FCD">
            <w:pPr>
              <w:pStyle w:val="TableBlock"/>
            </w:pPr>
            <w:r>
              <w:rPr>
                <w:rFonts w:hint="cs"/>
                <w:rtl/>
              </w:rPr>
              <w:t xml:space="preserve">סכומים ששילם יחיד שיש לו הכנסה מעסק או ממשלח יד בשל ארוחה עסקית עד לתקרה של 3,000 שקלים חדשים בחודש; </w:t>
            </w:r>
            <w:r w:rsidRPr="008F2940">
              <w:rPr>
                <w:rtl/>
              </w:rPr>
              <w:t xml:space="preserve">לעניין זה – "ארוחה עסקית" – ארוחה במסגרתה קיים </w:t>
            </w:r>
            <w:r>
              <w:rPr>
                <w:rFonts w:hint="cs"/>
                <w:rtl/>
              </w:rPr>
              <w:t>היחיד</w:t>
            </w:r>
            <w:r w:rsidRPr="008F2940">
              <w:rPr>
                <w:rtl/>
              </w:rPr>
              <w:t xml:space="preserve"> פגישת עבודה עם </w:t>
            </w:r>
            <w:r>
              <w:rPr>
                <w:rFonts w:hint="cs"/>
                <w:rtl/>
              </w:rPr>
              <w:t>ספק או לקוח או מי שיש לו אתו קשרים עסקיים ובלבד שאינו מועסק אצל היחיד</w:t>
            </w:r>
            <w:r w:rsidRPr="008F2940">
              <w:rPr>
                <w:rtl/>
              </w:rPr>
              <w:t xml:space="preserve">, והפגישה </w:t>
            </w:r>
            <w:r>
              <w:rPr>
                <w:rFonts w:hint="cs"/>
                <w:rtl/>
              </w:rPr>
              <w:t>שימשה</w:t>
            </w:r>
            <w:r w:rsidRPr="008F2940">
              <w:rPr>
                <w:rtl/>
              </w:rPr>
              <w:t xml:space="preserve"> לייצור הכנסתו של </w:t>
            </w:r>
            <w:r>
              <w:rPr>
                <w:rFonts w:hint="cs"/>
                <w:rtl/>
              </w:rPr>
              <w:t>היחיד</w:t>
            </w:r>
            <w:r w:rsidRPr="008F2940">
              <w:rPr>
                <w:rtl/>
              </w:rPr>
              <w:t>;</w:t>
            </w:r>
            <w:r>
              <w:rPr>
                <w:rFonts w:hint="cs"/>
                <w:rtl/>
              </w:rPr>
              <w:t>".</w:t>
            </w:r>
          </w:p>
        </w:tc>
      </w:tr>
      <w:tr w:rsidR="00850E83" w14:paraId="6FEFB7B9" w14:textId="77777777" w:rsidTr="004F1FCD">
        <w:trPr>
          <w:cantSplit/>
        </w:trPr>
        <w:tc>
          <w:tcPr>
            <w:tcW w:w="1871" w:type="dxa"/>
          </w:tcPr>
          <w:p w14:paraId="61899275" w14:textId="77777777" w:rsidR="00850E83" w:rsidRDefault="00850E83" w:rsidP="005B1B96">
            <w:pPr>
              <w:pStyle w:val="TableSideHeading"/>
            </w:pPr>
            <w:r>
              <w:rPr>
                <w:rFonts w:hint="cs"/>
                <w:rtl/>
              </w:rPr>
              <w:t>תיקון סעיף 32</w:t>
            </w:r>
          </w:p>
        </w:tc>
        <w:tc>
          <w:tcPr>
            <w:tcW w:w="624" w:type="dxa"/>
          </w:tcPr>
          <w:p w14:paraId="75C47FBF" w14:textId="77777777" w:rsidR="00850E83" w:rsidRDefault="00850E83" w:rsidP="005B1B96">
            <w:pPr>
              <w:pStyle w:val="TableText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  <w:gridSpan w:val="3"/>
          </w:tcPr>
          <w:p w14:paraId="0E65BC26" w14:textId="7F1A6246" w:rsidR="00850E83" w:rsidRPr="00C34DE2" w:rsidRDefault="00850E83" w:rsidP="004F1FCD">
            <w:pPr>
              <w:pStyle w:val="TableBlock"/>
            </w:pPr>
            <w:r>
              <w:rPr>
                <w:rFonts w:hint="cs"/>
                <w:rtl/>
              </w:rPr>
              <w:t>בסעיף 32(1) לח</w:t>
            </w:r>
            <w:r w:rsidR="004F1FCD">
              <w:rPr>
                <w:rFonts w:hint="cs"/>
                <w:rtl/>
              </w:rPr>
              <w:t>וק העיקרי, בהגדרה "הוצאות אש"ל", אחרי "ולמעט" יבוא "אלה:", הסיפה החל מהמילה "הוצאות" תסומן "(א</w:t>
            </w:r>
            <w:r w:rsidR="00DE2E1D">
              <w:rPr>
                <w:rFonts w:hint="cs"/>
                <w:rtl/>
              </w:rPr>
              <w:t>)</w:t>
            </w:r>
            <w:r w:rsidR="004F1FCD">
              <w:rPr>
                <w:rFonts w:hint="cs"/>
                <w:rtl/>
              </w:rPr>
              <w:t>" ואחריה יבוא:</w:t>
            </w:r>
          </w:p>
        </w:tc>
      </w:tr>
      <w:tr w:rsidR="004F1FCD" w14:paraId="01D84A6E" w14:textId="77777777" w:rsidTr="0066136A">
        <w:trPr>
          <w:cantSplit/>
        </w:trPr>
        <w:tc>
          <w:tcPr>
            <w:tcW w:w="1871" w:type="dxa"/>
          </w:tcPr>
          <w:p w14:paraId="32A3B211" w14:textId="77777777" w:rsidR="004F1FCD" w:rsidRDefault="004F1FCD" w:rsidP="005B1B96">
            <w:pPr>
              <w:pStyle w:val="TableSideHeading"/>
            </w:pPr>
          </w:p>
        </w:tc>
        <w:tc>
          <w:tcPr>
            <w:tcW w:w="624" w:type="dxa"/>
          </w:tcPr>
          <w:p w14:paraId="4CF303BA" w14:textId="77777777" w:rsidR="004F1FCD" w:rsidRDefault="004F1FCD" w:rsidP="005B1B96">
            <w:pPr>
              <w:pStyle w:val="TableText"/>
            </w:pPr>
          </w:p>
        </w:tc>
        <w:tc>
          <w:tcPr>
            <w:tcW w:w="7143" w:type="dxa"/>
            <w:gridSpan w:val="3"/>
          </w:tcPr>
          <w:p w14:paraId="155F3DF3" w14:textId="48BAAF31" w:rsidR="004F1FCD" w:rsidRDefault="004F1FCD" w:rsidP="004F1FCD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הוצאות בשל ארוחה עסקית כאמור בסעיף 17(5ב);".</w:t>
            </w:r>
          </w:p>
        </w:tc>
      </w:tr>
    </w:tbl>
    <w:p w14:paraId="7F6961AE" w14:textId="77777777" w:rsidR="00E13C27" w:rsidRPr="00850E83" w:rsidRDefault="00E13C27" w:rsidP="0021633A">
      <w:pPr>
        <w:pStyle w:val="HeadDivreiHesber"/>
        <w:spacing w:before="0" w:after="0"/>
        <w:rPr>
          <w:rtl/>
        </w:rPr>
      </w:pPr>
    </w:p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804DCA2" w14:textId="77777777" w:rsidR="00850E83" w:rsidRDefault="00850E83" w:rsidP="00850E83">
      <w:pPr>
        <w:pStyle w:val="Hesber"/>
        <w:rPr>
          <w:rtl/>
        </w:rPr>
      </w:pPr>
      <w:r>
        <w:rPr>
          <w:rFonts w:hint="cs"/>
          <w:rtl/>
        </w:rPr>
        <w:t xml:space="preserve">עסקים רבים מנהלים פגישות עסקיות בקשר לפעילות השוטפת של העסק במסעדות ובבתי קפה. </w:t>
      </w:r>
    </w:p>
    <w:p w14:paraId="6D91312E" w14:textId="77777777" w:rsidR="00850E83" w:rsidRDefault="00850E83" w:rsidP="00850E83">
      <w:pPr>
        <w:pStyle w:val="Hesber"/>
        <w:rPr>
          <w:rtl/>
        </w:rPr>
      </w:pPr>
      <w:r>
        <w:rPr>
          <w:rFonts w:hint="cs"/>
          <w:rtl/>
        </w:rPr>
        <w:t xml:space="preserve">במדינות רבות הנושא כבר מעוגן בחקיקה, ודוגמה לכך ניתן לראות </w:t>
      </w:r>
      <w:r w:rsidRPr="006E2C14">
        <w:rPr>
          <w:rFonts w:hint="cs"/>
          <w:rtl/>
        </w:rPr>
        <w:t>בארה</w:t>
      </w:r>
      <w:r>
        <w:rPr>
          <w:rtl/>
        </w:rPr>
        <w:t>"ב</w:t>
      </w:r>
      <w:r>
        <w:rPr>
          <w:rFonts w:hint="cs"/>
          <w:rtl/>
        </w:rPr>
        <w:t xml:space="preserve">, כאשר </w:t>
      </w:r>
      <w:r w:rsidRPr="006E2C14">
        <w:rPr>
          <w:rtl/>
        </w:rPr>
        <w:t>עצמאי</w:t>
      </w:r>
      <w:r w:rsidRPr="006E2C14">
        <w:rPr>
          <w:rFonts w:hint="cs"/>
          <w:rtl/>
        </w:rPr>
        <w:t>ם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יכולים</w:t>
      </w:r>
      <w:r w:rsidRPr="006E2C14">
        <w:rPr>
          <w:rtl/>
        </w:rPr>
        <w:t xml:space="preserve"> לקבל ניכוי </w:t>
      </w:r>
      <w:r w:rsidRPr="006E2C14">
        <w:rPr>
          <w:rFonts w:hint="cs"/>
          <w:rtl/>
        </w:rPr>
        <w:t>במס</w:t>
      </w:r>
      <w:r w:rsidRPr="006E2C14">
        <w:rPr>
          <w:rtl/>
        </w:rPr>
        <w:t xml:space="preserve"> </w:t>
      </w:r>
      <w:r>
        <w:rPr>
          <w:rFonts w:hint="cs"/>
          <w:rtl/>
        </w:rPr>
        <w:t>בשיעור</w:t>
      </w:r>
      <w:r w:rsidRPr="006E2C14">
        <w:rPr>
          <w:rtl/>
        </w:rPr>
        <w:t xml:space="preserve"> 50% מסך הארוחה. </w:t>
      </w:r>
      <w:r w:rsidRPr="006E2C14">
        <w:rPr>
          <w:rFonts w:hint="cs"/>
          <w:rtl/>
        </w:rPr>
        <w:t>הוצאות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ארוחה</w:t>
      </w:r>
      <w:r w:rsidRPr="006E2C14">
        <w:rPr>
          <w:rtl/>
        </w:rPr>
        <w:t xml:space="preserve"> </w:t>
      </w:r>
      <w:r>
        <w:rPr>
          <w:rFonts w:hint="cs"/>
          <w:rtl/>
        </w:rPr>
        <w:t>הינן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מוכרות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במס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אם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הנסיעה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העסקית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כוללת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לינה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מחוץ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לבית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או</w:t>
      </w:r>
      <w:r w:rsidRPr="006E2C14">
        <w:rPr>
          <w:rtl/>
        </w:rPr>
        <w:t xml:space="preserve"> </w:t>
      </w:r>
      <w:r>
        <w:rPr>
          <w:rFonts w:hint="cs"/>
          <w:rtl/>
        </w:rPr>
        <w:t xml:space="preserve">שהיא </w:t>
      </w:r>
      <w:r w:rsidRPr="006E2C14">
        <w:rPr>
          <w:rFonts w:hint="cs"/>
          <w:rtl/>
        </w:rPr>
        <w:t>ארוכה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מספיק</w:t>
      </w:r>
      <w:r>
        <w:rPr>
          <w:rFonts w:hint="cs"/>
          <w:rtl/>
        </w:rPr>
        <w:t>,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כך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שנדרשת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מנוחה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או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שינה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משמעותית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על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מנת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לתפקד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כראוי</w:t>
      </w:r>
      <w:r w:rsidRPr="006E2C14">
        <w:rPr>
          <w:rtl/>
        </w:rPr>
        <w:t xml:space="preserve">. </w:t>
      </w:r>
      <w:r w:rsidRPr="006E2C14">
        <w:rPr>
          <w:rFonts w:hint="cs"/>
          <w:rtl/>
        </w:rPr>
        <w:t>בנוסף</w:t>
      </w:r>
      <w:r w:rsidRPr="006E2C14">
        <w:rPr>
          <w:rtl/>
        </w:rPr>
        <w:t xml:space="preserve">, </w:t>
      </w:r>
      <w:r w:rsidRPr="006E2C14">
        <w:rPr>
          <w:rFonts w:hint="cs"/>
          <w:rtl/>
        </w:rPr>
        <w:t>ניתן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לנכות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הוצאות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ארוחה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גם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במקרה</w:t>
      </w:r>
      <w:r w:rsidRPr="006E2C14">
        <w:rPr>
          <w:rtl/>
        </w:rPr>
        <w:t xml:space="preserve"> </w:t>
      </w:r>
      <w:r>
        <w:rPr>
          <w:rFonts w:hint="cs"/>
          <w:rtl/>
        </w:rPr>
        <w:t>בו הארוחה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קשורה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באופן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ישיר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לעסק</w:t>
      </w:r>
      <w:r w:rsidRPr="006E2C14">
        <w:rPr>
          <w:rtl/>
        </w:rPr>
        <w:t>. כך</w:t>
      </w:r>
      <w:r>
        <w:rPr>
          <w:rFonts w:hint="cs"/>
          <w:rtl/>
        </w:rPr>
        <w:t xml:space="preserve"> למשל</w:t>
      </w:r>
      <w:r w:rsidRPr="006E2C14">
        <w:rPr>
          <w:rtl/>
        </w:rPr>
        <w:t xml:space="preserve"> בגרמניה, עצמאי שנוסע בתוך גרמניה זכאי להכרה במס להוצאות על ארוחות </w:t>
      </w:r>
      <w:r>
        <w:rPr>
          <w:rFonts w:hint="cs"/>
          <w:rtl/>
        </w:rPr>
        <w:t>בסך</w:t>
      </w:r>
      <w:r w:rsidRPr="006E2C14">
        <w:rPr>
          <w:rtl/>
        </w:rPr>
        <w:t xml:space="preserve"> 24 אירו ליום (מלבד יום ההגעה ויום העזיבה שבהם זכאי ל-12 אירו ליום, כמו גם בימים שבהם נמצא במרחק מסוים מהבית בין 8 ל-24 שעות). בנוסף, עצמאי בגרמניה זכאי לניכוי </w:t>
      </w:r>
      <w:r>
        <w:rPr>
          <w:rFonts w:hint="cs"/>
          <w:rtl/>
        </w:rPr>
        <w:t>בשיעור</w:t>
      </w:r>
      <w:r w:rsidRPr="006E2C14">
        <w:rPr>
          <w:rtl/>
        </w:rPr>
        <w:t xml:space="preserve"> 70% </w:t>
      </w:r>
      <w:r w:rsidRPr="006E2C14">
        <w:rPr>
          <w:rFonts w:hint="cs"/>
          <w:rtl/>
        </w:rPr>
        <w:t>מעלויות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ארוחות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הקשורות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באופן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ישיר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לעסק</w:t>
      </w:r>
      <w:r w:rsidRPr="006E2C14">
        <w:rPr>
          <w:rtl/>
        </w:rPr>
        <w:t xml:space="preserve">. </w:t>
      </w:r>
      <w:r w:rsidRPr="006E2C14">
        <w:rPr>
          <w:rFonts w:hint="cs"/>
          <w:rtl/>
        </w:rPr>
        <w:t>כמו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כן</w:t>
      </w:r>
      <w:r w:rsidRPr="006E2C14">
        <w:rPr>
          <w:rtl/>
        </w:rPr>
        <w:t xml:space="preserve">, </w:t>
      </w:r>
      <w:r w:rsidRPr="006E2C14">
        <w:rPr>
          <w:rFonts w:hint="cs"/>
          <w:rtl/>
        </w:rPr>
        <w:t>הוא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מקבל</w:t>
      </w:r>
      <w:r w:rsidRPr="006E2C14">
        <w:rPr>
          <w:rtl/>
        </w:rPr>
        <w:t xml:space="preserve"> </w:t>
      </w:r>
      <w:r>
        <w:rPr>
          <w:rFonts w:hint="cs"/>
          <w:rtl/>
        </w:rPr>
        <w:t>החזר בשיעור</w:t>
      </w:r>
      <w:r w:rsidRPr="006E2C14">
        <w:rPr>
          <w:rtl/>
        </w:rPr>
        <w:t xml:space="preserve"> 100% </w:t>
      </w:r>
      <w:r w:rsidRPr="006E2C14">
        <w:rPr>
          <w:rFonts w:hint="cs"/>
          <w:rtl/>
        </w:rPr>
        <w:t>מסכום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המע</w:t>
      </w:r>
      <w:r w:rsidRPr="006E2C14">
        <w:rPr>
          <w:rtl/>
        </w:rPr>
        <w:t>"</w:t>
      </w:r>
      <w:r w:rsidRPr="006E2C14">
        <w:rPr>
          <w:rFonts w:hint="cs"/>
          <w:rtl/>
        </w:rPr>
        <w:t>מ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ששולם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על</w:t>
      </w:r>
      <w:r w:rsidRPr="006E2C14">
        <w:rPr>
          <w:rtl/>
        </w:rPr>
        <w:t xml:space="preserve"> </w:t>
      </w:r>
      <w:r w:rsidRPr="006E2C14">
        <w:rPr>
          <w:rFonts w:hint="cs"/>
          <w:rtl/>
        </w:rPr>
        <w:t>הארוחה</w:t>
      </w:r>
      <w:r w:rsidRPr="006E2C14">
        <w:rPr>
          <w:rtl/>
        </w:rPr>
        <w:t>.</w:t>
      </w:r>
    </w:p>
    <w:p w14:paraId="76189523" w14:textId="77777777" w:rsidR="00850E83" w:rsidRDefault="00850E83" w:rsidP="00850E83">
      <w:pPr>
        <w:pStyle w:val="Hesber"/>
        <w:rPr>
          <w:rtl/>
        </w:rPr>
      </w:pPr>
      <w:r>
        <w:rPr>
          <w:rFonts w:hint="cs"/>
          <w:rtl/>
        </w:rPr>
        <w:lastRenderedPageBreak/>
        <w:t xml:space="preserve">בהצעת חוק זו מוצע להכיר בהוצאות בשל ארוחות עסקיות עד לתקרה של 3,000 שקלים חדשים בחודש </w:t>
      </w:r>
      <w:r w:rsidRPr="002D4001">
        <w:rPr>
          <w:rFonts w:hint="eastAsia"/>
          <w:rtl/>
        </w:rPr>
        <w:t>המותרים</w:t>
      </w:r>
      <w:r w:rsidRPr="002D4001">
        <w:rPr>
          <w:rtl/>
        </w:rPr>
        <w:t xml:space="preserve"> </w:t>
      </w:r>
      <w:r w:rsidRPr="002D4001">
        <w:rPr>
          <w:rFonts w:hint="eastAsia"/>
          <w:rtl/>
        </w:rPr>
        <w:t>בניכוי</w:t>
      </w:r>
      <w:r w:rsidRPr="002D4001">
        <w:rPr>
          <w:rtl/>
        </w:rPr>
        <w:t xml:space="preserve"> </w:t>
      </w:r>
      <w:r w:rsidRPr="002D4001">
        <w:rPr>
          <w:rFonts w:hint="eastAsia"/>
          <w:rtl/>
        </w:rPr>
        <w:t>לאותם</w:t>
      </w:r>
      <w:r w:rsidRPr="002D4001">
        <w:rPr>
          <w:rtl/>
        </w:rPr>
        <w:t xml:space="preserve"> </w:t>
      </w:r>
      <w:r w:rsidRPr="002D4001">
        <w:rPr>
          <w:rFonts w:hint="eastAsia"/>
          <w:rtl/>
        </w:rPr>
        <w:t>עסקים</w:t>
      </w:r>
      <w:r w:rsidRPr="002D4001">
        <w:rPr>
          <w:rtl/>
        </w:rPr>
        <w:t>.</w:t>
      </w:r>
    </w:p>
    <w:p w14:paraId="281E616B" w14:textId="58C6174F" w:rsidR="00850E83" w:rsidRDefault="00850E83" w:rsidP="00DE2E1D">
      <w:pPr>
        <w:pStyle w:val="Hesber"/>
        <w:rPr>
          <w:rtl/>
        </w:rPr>
      </w:pPr>
      <w:r>
        <w:rPr>
          <w:rFonts w:hint="cs"/>
          <w:rtl/>
        </w:rPr>
        <w:t>הצע</w:t>
      </w:r>
      <w:r w:rsidR="00E72DC6">
        <w:rPr>
          <w:rFonts w:hint="cs"/>
          <w:rtl/>
        </w:rPr>
        <w:t>ו</w:t>
      </w:r>
      <w:r>
        <w:rPr>
          <w:rFonts w:hint="cs"/>
          <w:rtl/>
        </w:rPr>
        <w:t xml:space="preserve">ת חוק </w:t>
      </w:r>
      <w:r w:rsidR="00E72DC6">
        <w:rPr>
          <w:rFonts w:hint="cs"/>
          <w:rtl/>
        </w:rPr>
        <w:t xml:space="preserve">זהות הונחו </w:t>
      </w:r>
      <w:r>
        <w:rPr>
          <w:rFonts w:hint="cs"/>
          <w:rtl/>
        </w:rPr>
        <w:t>על שולחן הכנסת העשרים ושלוש על ידי חבר</w:t>
      </w:r>
      <w:r w:rsidR="00DE2E1D">
        <w:rPr>
          <w:rFonts w:hint="cs"/>
          <w:rtl/>
        </w:rPr>
        <w:t>י</w:t>
      </w:r>
      <w:r>
        <w:rPr>
          <w:rFonts w:hint="cs"/>
          <w:rtl/>
        </w:rPr>
        <w:t xml:space="preserve"> הכנסת עודד פורר ו</w:t>
      </w:r>
      <w:bookmarkStart w:id="8" w:name="_GoBack"/>
      <w:bookmarkEnd w:id="8"/>
      <w:r>
        <w:rPr>
          <w:rFonts w:hint="cs"/>
          <w:rtl/>
        </w:rPr>
        <w:t>יוליה מלינובסקי קונין (פ/2181/23) ועל שולחן הכנסת העשרים וחמש על ידי חבר הכנסת עודד פורר וקבוצת חברי כנסת (פ/1755/25).</w:t>
      </w:r>
    </w:p>
    <w:p w14:paraId="3DFD8872" w14:textId="3866A498" w:rsidR="00E72DC6" w:rsidRDefault="00E72DC6" w:rsidP="00E72DC6">
      <w:pPr>
        <w:pStyle w:val="Hesber"/>
        <w:rPr>
          <w:rtl/>
        </w:rPr>
      </w:pPr>
      <w:r>
        <w:rPr>
          <w:rFonts w:hint="cs"/>
          <w:rtl/>
        </w:rPr>
        <w:t>הצעת החוק זהה לפ/1755/25 ולפיכך לא נבדקה מחדש על ידי הלשכה המשפטית של הכנסת.</w:t>
      </w:r>
    </w:p>
    <w:p w14:paraId="7F6961CB" w14:textId="77777777" w:rsidR="00E13C27" w:rsidRDefault="00E13C27" w:rsidP="00E13C27">
      <w:pPr>
        <w:pStyle w:val="Hesber"/>
        <w:rPr>
          <w:rtl/>
        </w:rPr>
      </w:pPr>
    </w:p>
    <w:p w14:paraId="011A5159" w14:textId="77777777" w:rsidR="005138F2" w:rsidRDefault="004F1FCD">
      <w:pPr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69AF72D6" w14:textId="77777777" w:rsidR="005138F2" w:rsidRDefault="004F1FCD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0AD55BBB" w14:textId="77777777" w:rsidR="005138F2" w:rsidRDefault="004F1FCD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362CC7A9" w14:textId="77777777" w:rsidR="005138F2" w:rsidRDefault="004F1FCD">
      <w:pPr>
        <w:jc w:val="left"/>
      </w:pPr>
      <w:r>
        <w:rPr>
          <w:rFonts w:eastAsia="David" w:hint="cs"/>
          <w:sz w:val="26"/>
          <w:szCs w:val="26"/>
          <w:rtl/>
        </w:rPr>
        <w:t xml:space="preserve">כ"ב בשבט התשפ"ג (13.02.2023) </w:t>
      </w:r>
    </w:p>
    <w:p w14:paraId="579B6FBC" w14:textId="77777777" w:rsidR="005138F2" w:rsidRDefault="005138F2">
      <w:pPr>
        <w:spacing w:line="276" w:lineRule="auto"/>
        <w:jc w:val="left"/>
      </w:pPr>
    </w:p>
    <w:sectPr w:rsidR="005138F2" w:rsidSect="004F1FCD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07C5F0CB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DE2E1D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4F1FCD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1AC0572" w14:textId="77777777" w:rsidR="00850E83" w:rsidRDefault="00850E83" w:rsidP="00850E83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6, עמ' 120.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4F2E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4F1FCD"/>
    <w:rsid w:val="005138F2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50E83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2E1D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72DC6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8C2C291-4CD2-4ECF-B35F-49A6B636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CD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1FCD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4F1FCD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4F1FCD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4F1FCD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F1FCD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4F1FCD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4F1FCD"/>
    <w:rPr>
      <w:sz w:val="36"/>
      <w:szCs w:val="52"/>
    </w:rPr>
  </w:style>
  <w:style w:type="paragraph" w:customStyle="1" w:styleId="Cover3-Haknesset">
    <w:name w:val="Cover 3-Haknesset"/>
    <w:basedOn w:val="Cover1-Reshumot"/>
    <w:rsid w:val="004F1FCD"/>
    <w:rPr>
      <w:b/>
      <w:bCs/>
      <w:spacing w:val="60"/>
    </w:rPr>
  </w:style>
  <w:style w:type="paragraph" w:customStyle="1" w:styleId="Cover4-Date">
    <w:name w:val="Cover 4-Date"/>
    <w:basedOn w:val="a"/>
    <w:rsid w:val="004F1FC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4F1FCD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4F1FCD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4F1FC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4F1FC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4F1FCD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4F1FCD"/>
    <w:pPr>
      <w:outlineLvl w:val="2"/>
    </w:pPr>
  </w:style>
  <w:style w:type="paragraph" w:customStyle="1" w:styleId="TableBlock">
    <w:name w:val="Table Block"/>
    <w:basedOn w:val="TableText"/>
    <w:rsid w:val="004F1FCD"/>
    <w:pPr>
      <w:jc w:val="both"/>
    </w:pPr>
  </w:style>
  <w:style w:type="paragraph" w:customStyle="1" w:styleId="TableHead">
    <w:name w:val="Table Head"/>
    <w:basedOn w:val="TableText"/>
    <w:rsid w:val="004F1FCD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4F1FCD"/>
    <w:pPr>
      <w:outlineLvl w:val="9"/>
    </w:pPr>
  </w:style>
  <w:style w:type="paragraph" w:customStyle="1" w:styleId="Hesber">
    <w:name w:val="Hesber"/>
    <w:basedOn w:val="a"/>
    <w:rsid w:val="004F1FCD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4F1FCD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4F1FCD"/>
    <w:rPr>
      <w:vertAlign w:val="superscript"/>
    </w:rPr>
  </w:style>
  <w:style w:type="paragraph" w:customStyle="1" w:styleId="HesberHeading">
    <w:name w:val="Hesber Heading"/>
    <w:basedOn w:val="Hesber"/>
    <w:rsid w:val="004F1FCD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4F1FCD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4F1FC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4F1FCD"/>
    <w:rPr>
      <w:vertAlign w:val="superscript"/>
    </w:rPr>
  </w:style>
  <w:style w:type="paragraph" w:customStyle="1" w:styleId="TableBlockOutdent">
    <w:name w:val="Table BlockOutdent"/>
    <w:basedOn w:val="TableBlock"/>
    <w:rsid w:val="004F1FCD"/>
    <w:pPr>
      <w:ind w:left="624" w:hanging="624"/>
    </w:pPr>
  </w:style>
  <w:style w:type="paragraph" w:styleId="a8">
    <w:name w:val="header"/>
    <w:basedOn w:val="a"/>
    <w:rsid w:val="004F1FC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4F1FC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4F1FCD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4F1FCD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4F1FC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locked/>
    <w:rsid w:val="00850E83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4F1FCD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4F1FCD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4F1FCD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4F1FCD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4F1FCD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4F1FCD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4F1FCD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4F1FCD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4F1FCD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4F1FCD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4F1FCD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4F1FCD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4F1FCD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4F1FCD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4F1FCD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4F1FCD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4F1FCD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4F1FCD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4F1FCD"/>
    <w:rPr>
      <w:rFonts w:eastAsia="Times New Roman"/>
    </w:rPr>
  </w:style>
  <w:style w:type="paragraph" w:styleId="af">
    <w:name w:val="List Paragraph"/>
    <w:basedOn w:val="a"/>
    <w:uiPriority w:val="34"/>
    <w:qFormat/>
    <w:rsid w:val="004F1FCD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4F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4F1F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4F1F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4F1FCD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4F1FCD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290d5b49-c690-4c6f-bbb9-1e50dab33ee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24F91-31D7-4D3C-B154-341FFB691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99CB4-7940-4CD1-8304-B1E4FC0A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8</cp:revision>
  <cp:lastPrinted>2023-02-08T13:14:00Z</cp:lastPrinted>
  <dcterms:created xsi:type="dcterms:W3CDTF">2015-04-20T09:58:00Z</dcterms:created>
  <dcterms:modified xsi:type="dcterms:W3CDTF">2023-02-08T13:17:00Z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2200720</vt:r8>
  </property>
</Properties>
</file>